
<file path=[Content_Types].xml><?xml version="1.0" encoding="utf-8"?>
<Types xmlns="http://schemas.openxmlformats.org/package/2006/content-types">
  <Override PartName="/word/footnotes.xml" ContentType="application/vnd.openxmlformats-officedocument.wordprocessingml.footnotes+xml"/>
  <Override PartName="/word/header18.xml" ContentType="application/vnd.openxmlformats-officedocument.wordprocessingml.header+xml"/>
  <Override PartName="/customXml/itemProps3.xml" ContentType="application/vnd.openxmlformats-officedocument.customXmlProperties+xml"/>
  <Override PartName="/customXml/itemProps1.xml" ContentType="application/vnd.openxmlformats-officedocument.customXmlProperties+xml"/>
  <Override PartName="/word/footer9.xml" ContentType="application/vnd.openxmlformats-officedocument.wordprocessingml.footer+xml"/>
  <Override PartName="/word/header16.xml" ContentType="application/vnd.openxmlformats-officedocument.wordprocessingml.header+xml"/>
  <Default Extension="rels" ContentType="application/vnd.openxmlformats-package.relationships+xml"/>
  <Override PartName="/word/footer7.xml" ContentType="application/vnd.openxmlformats-officedocument.wordprocessingml.footer+xml"/>
  <Override PartName="/word/header14.xml" ContentType="application/vnd.openxmlformats-officedocument.wordprocessingml.header+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footer5.xml" ContentType="application/vnd.openxmlformats-officedocument.wordprocessingml.footer+xml"/>
  <Override PartName="/word/header8.xml" ContentType="application/vnd.openxmlformats-officedocument.wordprocessingml.header+xml"/>
  <Override PartName="/word/header12.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header10.xml" ContentType="application/vnd.openxmlformats-officedocument.wordprocessingml.header+xml"/>
  <Override PartName="/word/footer1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header4.xml" ContentType="application/vnd.openxmlformats-officedocument.wordprocessingml.header+xml"/>
  <Override PartName="/word/footer11.xml" ContentType="application/vnd.openxmlformats-officedocument.wordprocessingml.footer+xml"/>
  <Override PartName="/word/header2.xml" ContentType="application/vnd.openxmlformats-officedocument.wordprocessingml.header+xml"/>
  <Override PartName="/word/glossary/settings.xml" ContentType="application/vnd.openxmlformats-officedocument.wordprocessingml.settings+xml"/>
  <Override PartName="/word/glossary/webSettings.xml" ContentType="application/vnd.openxmlformats-officedocument.wordprocessingml.webSettings+xml"/>
  <Default Extension="jpg" ContentType="image/jpeg"/>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Override PartName="/customXml/itemProps4.xml" ContentType="application/vnd.openxmlformats-officedocument.customXmlProperties+xml"/>
  <Override PartName="/customXml/itemProps2.xml" ContentType="application/vnd.openxmlformats-officedocument.customXmlProperties+xml"/>
  <Override PartName="/word/footer8.xml" ContentType="application/vnd.openxmlformats-officedocument.wordprocessingml.footer+xml"/>
  <Override PartName="/word/header17.xml" ContentType="application/vnd.openxmlformats-officedocument.wordprocessingml.header+xml"/>
  <Default Extension="jpeg" ContentType="image/jpeg"/>
  <Override PartName="/word/footer6.xml" ContentType="application/vnd.openxmlformats-officedocument.wordprocessingml.footer+xml"/>
  <Override PartName="/word/header15.xml" ContentType="application/vnd.openxmlformats-officedocument.wordprocessingml.header+xml"/>
  <Override PartName="/word/glossary/fontTable.xml" ContentType="application/vnd.openxmlformats-officedocument.wordprocessingml.fontTable+xml"/>
  <Override PartName="/word/numbering.xml" ContentType="application/vnd.openxmlformats-officedocument.wordprocessingml.numbering+xml"/>
  <Override PartName="/word/endnotes.xml" ContentType="application/vnd.openxmlformats-officedocument.wordprocessingml.endnotes+xml"/>
  <Override PartName="/word/footer4.xml" ContentType="application/vnd.openxmlformats-officedocument.wordprocessingml.footer+xml"/>
  <Override PartName="/word/header9.xml" ContentType="application/vnd.openxmlformats-officedocument.wordprocessingml.header+xml"/>
  <Override PartName="/word/header13.xml" ContentType="application/vnd.openxmlformats-officedocument.wordprocessingml.head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header7.xml" ContentType="application/vnd.openxmlformats-officedocument.wordprocessingml.header+xml"/>
  <Override PartName="/word/header11.xml" ContentType="application/vnd.openxmlformats-officedocument.wordprocessingml.header+xml"/>
  <Override PartName="/word/glossary/document.xml" ContentType="application/vnd.openxmlformats-officedocument.wordprocessingml.document.glossary+xml"/>
  <Override PartName="/word/header5.xml" ContentType="application/vnd.openxmlformats-officedocument.wordprocessingml.header+xml"/>
  <Override PartName="/word/footer12.xml" ContentType="application/vnd.openxmlformats-officedocument.wordprocessingml.footer+xml"/>
  <Override PartName="/word/theme/theme1.xml" ContentType="application/vnd.openxmlformats-officedocument.theme+xml"/>
  <Override PartName="/word/header3.xml" ContentType="application/vnd.openxmlformats-officedocument.wordprocessingml.header+xml"/>
  <Override PartName="/word/footer10.xml" ContentType="application/vnd.openxmlformats-officedocument.wordprocessingml.footer+xml"/>
  <Override PartName="/word/fontTable.xml" ContentType="application/vnd.openxmlformats-officedocument.wordprocessingml.fontTable+xml"/>
  <Override PartName="/word/glossary/styles.xml" ContentType="application/vnd.openxmlformats-officedocument.wordprocessingml.styles+xml"/>
  <Override PartName="/word/glossary/stylesWithEffects.xml" ContentType="application/vnd.ms-word.stylesWithEffect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E07E1" w:rsidRDefault="00101C08">
      <w:r>
        <w:rPr>
          <w:noProof/>
          <w:lang w:eastAsia="en-AU"/>
        </w:rPr>
        <w:drawing>
          <wp:anchor distT="0" distB="0" distL="114300" distR="114300" simplePos="0" relativeHeight="251710464" behindDoc="0" locked="0" layoutInCell="1" allowOverlap="1">
            <wp:simplePos x="0" y="0"/>
            <wp:positionH relativeFrom="column">
              <wp:posOffset>-914400</wp:posOffset>
            </wp:positionH>
            <wp:positionV relativeFrom="paragraph">
              <wp:posOffset>-790575</wp:posOffset>
            </wp:positionV>
            <wp:extent cx="7562215" cy="10697210"/>
            <wp:effectExtent l="0" t="0" r="635" b="8890"/>
            <wp:wrapTopAndBottom/>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2.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562215" cy="10697210"/>
                    </a:xfrm>
                    <a:prstGeom prst="rect">
                      <a:avLst/>
                    </a:prstGeom>
                  </pic:spPr>
                </pic:pic>
              </a:graphicData>
            </a:graphic>
            <wp14:sizeRelH relativeFrom="page">
              <wp14:pctWidth>0</wp14:pctWidth>
            </wp14:sizeRelH>
            <wp14:sizeRelV relativeFrom="page">
              <wp14:pctHeight>0</wp14:pctHeight>
            </wp14:sizeRelV>
          </wp:anchor>
        </w:drawing>
      </w:r>
    </w:p>
    <w:p w:rsidR="000E07E1" w:rsidRDefault="000E07E1">
      <w:pPr>
        <w:sectPr w:rsidR="000E07E1" w:rsidSect="009A4DA2">
          <w:headerReference w:type="even" r:id="rId10"/>
          <w:headerReference w:type="default" r:id="rId11"/>
          <w:footerReference w:type="even" r:id="rId12"/>
          <w:footerReference w:type="default" r:id="rId13"/>
          <w:headerReference w:type="first" r:id="rId14"/>
          <w:footerReference w:type="first" r:id="rId15"/>
          <w:type w:val="continuous"/>
          <w:pgSz w:w="11906" w:h="16838"/>
          <w:pgMar w:top="1245" w:right="993" w:bottom="1440" w:left="1440" w:header="568" w:footer="0" w:gutter="0"/>
          <w:cols w:space="709"/>
          <w:docGrid w:linePitch="360"/>
        </w:sectPr>
      </w:pPr>
    </w:p>
    <w:p w:rsidR="000E07E1" w:rsidRPr="006C6FC5" w:rsidRDefault="000E07E1" w:rsidP="006C6FC5">
      <w:pPr>
        <w:pStyle w:val="Body"/>
      </w:pPr>
    </w:p>
    <w:p w:rsidR="00473E33" w:rsidRPr="00B063ED" w:rsidRDefault="00F808CA" w:rsidP="00DB65EE">
      <w:pPr>
        <w:pStyle w:val="Heading3"/>
      </w:pPr>
      <w:bookmarkStart w:id="0" w:name="_Toc428270553"/>
      <w:bookmarkStart w:id="1" w:name="_Toc428279131"/>
      <w:r>
        <w:t>Statement of Compliance</w:t>
      </w:r>
      <w:bookmarkEnd w:id="0"/>
      <w:bookmarkEnd w:id="1"/>
    </w:p>
    <w:p w:rsidR="00473E33" w:rsidRDefault="00473E33" w:rsidP="00473E33">
      <w:pPr>
        <w:spacing w:before="2" w:after="0" w:line="160" w:lineRule="exact"/>
        <w:rPr>
          <w:sz w:val="16"/>
          <w:szCs w:val="16"/>
        </w:rPr>
      </w:pPr>
    </w:p>
    <w:p w:rsidR="00F808CA" w:rsidRPr="003C3C22" w:rsidRDefault="00F808CA" w:rsidP="00F808CA">
      <w:pPr>
        <w:pStyle w:val="Body"/>
        <w:rPr>
          <w:i/>
        </w:rPr>
      </w:pPr>
      <w:r w:rsidRPr="003C3C22">
        <w:rPr>
          <w:i/>
        </w:rPr>
        <w:t>For year ended 30 June 2015</w:t>
      </w:r>
    </w:p>
    <w:p w:rsidR="00F808CA" w:rsidRPr="00A004DC" w:rsidRDefault="00F808CA" w:rsidP="00F808CA">
      <w:pPr>
        <w:pStyle w:val="Body"/>
      </w:pPr>
      <w:proofErr w:type="spellStart"/>
      <w:r w:rsidRPr="00A004DC">
        <w:t>Hon</w:t>
      </w:r>
      <w:proofErr w:type="spellEnd"/>
      <w:r w:rsidRPr="00A004DC">
        <w:t xml:space="preserve"> Albert Jacob, MLA</w:t>
      </w:r>
    </w:p>
    <w:p w:rsidR="00F808CA" w:rsidRPr="00A004DC" w:rsidRDefault="00F808CA" w:rsidP="00F808CA">
      <w:pPr>
        <w:pStyle w:val="Body"/>
      </w:pPr>
      <w:r w:rsidRPr="00A004DC">
        <w:t>Minister for Environment</w:t>
      </w:r>
    </w:p>
    <w:p w:rsidR="00F808CA" w:rsidRPr="00A004DC" w:rsidRDefault="00F808CA" w:rsidP="00F808CA">
      <w:pPr>
        <w:pStyle w:val="Body"/>
      </w:pPr>
      <w:r w:rsidRPr="00A004DC">
        <w:t xml:space="preserve">In accordance with section 63 of the </w:t>
      </w:r>
      <w:r w:rsidRPr="00A004DC">
        <w:rPr>
          <w:i/>
        </w:rPr>
        <w:t>Financial Management Act 2006</w:t>
      </w:r>
      <w:r w:rsidRPr="00A004DC">
        <w:t xml:space="preserve">, I submit for your information and presentation to Parliament, the Annual Report of the </w:t>
      </w:r>
      <w:r>
        <w:t>Office of the Environmental Protection Authority</w:t>
      </w:r>
      <w:r w:rsidRPr="00A004DC">
        <w:t xml:space="preserve"> for the financial year ended 30 June 2014.</w:t>
      </w:r>
    </w:p>
    <w:p w:rsidR="00F808CA" w:rsidRPr="00A004DC" w:rsidRDefault="00F808CA" w:rsidP="00F808CA">
      <w:pPr>
        <w:pStyle w:val="Body"/>
      </w:pPr>
      <w:r w:rsidRPr="00A004DC">
        <w:t>Th</w:t>
      </w:r>
      <w:r>
        <w:t>is</w:t>
      </w:r>
      <w:r w:rsidRPr="00A004DC">
        <w:t xml:space="preserve"> Annual Report has been prepared in accordance with the provisions of the </w:t>
      </w:r>
      <w:r w:rsidRPr="00A004DC">
        <w:rPr>
          <w:i/>
        </w:rPr>
        <w:t>Financial Management Act 2006</w:t>
      </w:r>
      <w:r w:rsidRPr="00A004DC">
        <w:t>.</w:t>
      </w:r>
    </w:p>
    <w:p w:rsidR="00F808CA" w:rsidRPr="00A004DC" w:rsidRDefault="008508BC" w:rsidP="00F808CA">
      <w:pPr>
        <w:pStyle w:val="Body"/>
      </w:pPr>
      <w:r>
        <w:rPr>
          <w:noProof/>
          <w:lang w:eastAsia="en-AU"/>
        </w:rPr>
        <w:drawing>
          <wp:inline distT="0" distB="0" distL="0" distR="0" wp14:anchorId="05487828" wp14:editId="4836412A">
            <wp:extent cx="1817136" cy="599782"/>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tton sig.jp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29735" cy="603940"/>
                    </a:xfrm>
                    <a:prstGeom prst="rect">
                      <a:avLst/>
                    </a:prstGeom>
                  </pic:spPr>
                </pic:pic>
              </a:graphicData>
            </a:graphic>
          </wp:inline>
        </w:drawing>
      </w:r>
    </w:p>
    <w:p w:rsidR="00F808CA" w:rsidRPr="00A004DC" w:rsidRDefault="001E2233" w:rsidP="00F808CA">
      <w:pPr>
        <w:pStyle w:val="Body"/>
      </w:pPr>
      <w:r>
        <w:t>Anthony Sutton</w:t>
      </w:r>
    </w:p>
    <w:p w:rsidR="00F808CA" w:rsidRPr="00A004DC" w:rsidRDefault="001E2233" w:rsidP="00F808CA">
      <w:pPr>
        <w:pStyle w:val="Body"/>
      </w:pPr>
      <w:r>
        <w:t>A/</w:t>
      </w:r>
      <w:r w:rsidR="00F808CA" w:rsidRPr="00A004DC">
        <w:t>General Manager</w:t>
      </w:r>
    </w:p>
    <w:p w:rsidR="00F808CA" w:rsidRPr="00A004DC" w:rsidRDefault="00E8295B" w:rsidP="00F808CA">
      <w:pPr>
        <w:pStyle w:val="Body"/>
      </w:pPr>
      <w:r>
        <w:t>28</w:t>
      </w:r>
      <w:r w:rsidR="00F808CA" w:rsidRPr="00A004DC">
        <w:t xml:space="preserve"> August 201</w:t>
      </w:r>
      <w:r w:rsidR="005369D5">
        <w:t>5</w:t>
      </w:r>
    </w:p>
    <w:p w:rsidR="00473E33" w:rsidRDefault="00473E33" w:rsidP="003659C2">
      <w:pPr>
        <w:spacing w:before="3" w:after="0" w:line="150" w:lineRule="exact"/>
        <w:ind w:right="66"/>
        <w:rPr>
          <w:sz w:val="15"/>
          <w:szCs w:val="15"/>
        </w:rPr>
      </w:pPr>
    </w:p>
    <w:p w:rsidR="00473E33" w:rsidRDefault="00473E33" w:rsidP="003659C2">
      <w:pPr>
        <w:spacing w:after="0" w:line="200" w:lineRule="exact"/>
        <w:ind w:right="66"/>
        <w:rPr>
          <w:sz w:val="20"/>
          <w:szCs w:val="20"/>
        </w:rPr>
      </w:pPr>
    </w:p>
    <w:p w:rsidR="00473E33" w:rsidRDefault="00473E33" w:rsidP="00473E33">
      <w:pPr>
        <w:spacing w:after="0" w:line="200" w:lineRule="exact"/>
        <w:rPr>
          <w:sz w:val="20"/>
          <w:szCs w:val="20"/>
        </w:rPr>
      </w:pPr>
    </w:p>
    <w:p w:rsidR="000E07E1" w:rsidRDefault="000E07E1" w:rsidP="00473E33">
      <w:pPr>
        <w:spacing w:after="0" w:line="200" w:lineRule="exact"/>
        <w:rPr>
          <w:sz w:val="20"/>
          <w:szCs w:val="20"/>
        </w:rPr>
      </w:pPr>
    </w:p>
    <w:p w:rsidR="000E07E1" w:rsidRDefault="000E07E1" w:rsidP="00473E33">
      <w:pPr>
        <w:spacing w:after="0" w:line="200" w:lineRule="exact"/>
        <w:rPr>
          <w:sz w:val="20"/>
          <w:szCs w:val="20"/>
        </w:rPr>
      </w:pPr>
    </w:p>
    <w:p w:rsidR="000E07E1" w:rsidRDefault="000E07E1" w:rsidP="00473E33">
      <w:pPr>
        <w:spacing w:after="0" w:line="200" w:lineRule="exact"/>
        <w:rPr>
          <w:sz w:val="20"/>
          <w:szCs w:val="20"/>
        </w:rPr>
      </w:pPr>
    </w:p>
    <w:p w:rsidR="00F808CA" w:rsidRPr="00F808CA" w:rsidRDefault="00F808CA" w:rsidP="00DB65EE">
      <w:pPr>
        <w:pStyle w:val="Heading3"/>
      </w:pPr>
      <w:bookmarkStart w:id="2" w:name="_Toc424566712"/>
      <w:bookmarkStart w:id="3" w:name="_Toc428270554"/>
      <w:bookmarkStart w:id="4" w:name="_Toc428279132"/>
      <w:r w:rsidRPr="00F808CA">
        <w:t>Contact us</w:t>
      </w:r>
      <w:bookmarkEnd w:id="2"/>
      <w:bookmarkEnd w:id="3"/>
      <w:bookmarkEnd w:id="4"/>
    </w:p>
    <w:p w:rsidR="00F808CA" w:rsidRDefault="00F808CA" w:rsidP="00F808CA">
      <w:pPr>
        <w:pStyle w:val="Body"/>
      </w:pPr>
      <w:r>
        <w:t>This report was prepared by the Strategic Planning and Policy Division, Office of the Environmental Protection Authority. It is available in alternative formats on request.</w:t>
      </w:r>
    </w:p>
    <w:p w:rsidR="00F808CA" w:rsidRDefault="00F808CA" w:rsidP="00F808CA">
      <w:pPr>
        <w:pStyle w:val="Body"/>
      </w:pPr>
      <w:r>
        <w:t>Office of the Environmental Protection Authority</w:t>
      </w:r>
    </w:p>
    <w:tbl>
      <w:tblPr>
        <w:tblStyle w:val="TableGrid"/>
        <w:tblW w:w="0" w:type="auto"/>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79"/>
        <w:gridCol w:w="2650"/>
        <w:gridCol w:w="2942"/>
      </w:tblGrid>
      <w:tr w:rsidR="00F808CA" w:rsidTr="00087037">
        <w:tc>
          <w:tcPr>
            <w:tcW w:w="3080" w:type="dxa"/>
          </w:tcPr>
          <w:p w:rsidR="00F808CA" w:rsidRDefault="00F808CA" w:rsidP="00087037">
            <w:r>
              <w:t>Address</w:t>
            </w:r>
          </w:p>
          <w:p w:rsidR="00F808CA" w:rsidRDefault="00F808CA" w:rsidP="00087037">
            <w:r>
              <w:t>Level 8 The Atrium</w:t>
            </w:r>
            <w:r>
              <w:br/>
              <w:t>168 St Georges Terrace</w:t>
            </w:r>
            <w:r>
              <w:br/>
              <w:t>Perth WA 6000</w:t>
            </w:r>
          </w:p>
        </w:tc>
        <w:tc>
          <w:tcPr>
            <w:tcW w:w="3081" w:type="dxa"/>
          </w:tcPr>
          <w:p w:rsidR="00F808CA" w:rsidRDefault="00F808CA" w:rsidP="00087037">
            <w:pPr>
              <w:pStyle w:val="Body"/>
              <w:ind w:left="0"/>
            </w:pPr>
            <w:r>
              <w:t xml:space="preserve">Postal </w:t>
            </w:r>
          </w:p>
          <w:p w:rsidR="00F808CA" w:rsidRDefault="00F808CA" w:rsidP="00087037">
            <w:pPr>
              <w:pStyle w:val="Body"/>
              <w:ind w:left="0"/>
            </w:pPr>
            <w:r>
              <w:t>Locked Bag 10</w:t>
            </w:r>
            <w:r>
              <w:br/>
              <w:t>East Perth WA 6892</w:t>
            </w:r>
          </w:p>
        </w:tc>
        <w:tc>
          <w:tcPr>
            <w:tcW w:w="3081" w:type="dxa"/>
          </w:tcPr>
          <w:p w:rsidR="00F808CA" w:rsidRDefault="00F808CA" w:rsidP="00087037">
            <w:pPr>
              <w:pStyle w:val="Body"/>
              <w:ind w:left="0"/>
            </w:pPr>
            <w:r>
              <w:t>Electronic</w:t>
            </w:r>
          </w:p>
          <w:p w:rsidR="00F808CA" w:rsidRDefault="00921835" w:rsidP="00087037">
            <w:pPr>
              <w:pStyle w:val="Body"/>
              <w:ind w:left="0"/>
            </w:pPr>
            <w:hyperlink r:id="rId17" w:history="1">
              <w:r w:rsidR="00F808CA" w:rsidRPr="00B94ED4">
                <w:rPr>
                  <w:rStyle w:val="Hyperlink"/>
                </w:rPr>
                <w:t>www.epa.wa.gov.au</w:t>
              </w:r>
            </w:hyperlink>
            <w:r w:rsidR="00F808CA">
              <w:br/>
            </w:r>
            <w:hyperlink r:id="rId18" w:history="1">
              <w:r w:rsidR="00F808CA" w:rsidRPr="00B94ED4">
                <w:rPr>
                  <w:rStyle w:val="Hyperlink"/>
                </w:rPr>
                <w:t>info@epa.wa.gov.au</w:t>
              </w:r>
            </w:hyperlink>
            <w:r w:rsidR="00F808CA">
              <w:br/>
            </w:r>
            <w:proofErr w:type="spellStart"/>
            <w:r w:rsidR="00F808CA">
              <w:t>Ph</w:t>
            </w:r>
            <w:proofErr w:type="spellEnd"/>
            <w:r w:rsidR="00F808CA">
              <w:t>: 08 6145 0800</w:t>
            </w:r>
          </w:p>
        </w:tc>
      </w:tr>
    </w:tbl>
    <w:p w:rsidR="00473E33" w:rsidRPr="005E6E7B" w:rsidRDefault="00473E33" w:rsidP="005E6E7B">
      <w:pPr>
        <w:rPr>
          <w:rFonts w:ascii="Chalet-NewYorkNineteenSixty" w:eastAsia="HelveticaNeueLT Std Lt" w:hAnsi="Chalet-NewYorkNineteenSixty" w:cstheme="majorBidi"/>
          <w:b/>
          <w:bCs/>
          <w:color w:val="B2A97E" w:themeColor="accent4"/>
          <w:sz w:val="26"/>
          <w:szCs w:val="26"/>
        </w:rPr>
      </w:pPr>
    </w:p>
    <w:p w:rsidR="00473E33" w:rsidRDefault="00473E33" w:rsidP="00473E33">
      <w:pPr>
        <w:spacing w:after="0" w:line="200" w:lineRule="exact"/>
        <w:rPr>
          <w:sz w:val="20"/>
          <w:szCs w:val="20"/>
        </w:rPr>
      </w:pPr>
    </w:p>
    <w:p w:rsidR="000E2AA6" w:rsidRDefault="000E2AA6" w:rsidP="00473E33">
      <w:pPr>
        <w:spacing w:after="0" w:line="200" w:lineRule="exact"/>
        <w:rPr>
          <w:sz w:val="20"/>
          <w:szCs w:val="20"/>
        </w:rPr>
        <w:sectPr w:rsidR="000E2AA6" w:rsidSect="000E07E1">
          <w:headerReference w:type="even" r:id="rId19"/>
          <w:headerReference w:type="default" r:id="rId20"/>
          <w:footerReference w:type="even" r:id="rId21"/>
          <w:footerReference w:type="default" r:id="rId22"/>
          <w:pgSz w:w="11906" w:h="16838"/>
          <w:pgMar w:top="1245" w:right="993" w:bottom="1440" w:left="1440" w:header="568" w:footer="0" w:gutter="0"/>
          <w:cols w:space="709"/>
          <w:docGrid w:linePitch="360"/>
        </w:sectPr>
      </w:pPr>
    </w:p>
    <w:p w:rsidR="00174A2E" w:rsidRDefault="00174A2E" w:rsidP="00166E43">
      <w:pPr>
        <w:pStyle w:val="Body"/>
      </w:pPr>
    </w:p>
    <w:p w:rsidR="00166E43" w:rsidRPr="009A4CC0" w:rsidRDefault="00174A2E" w:rsidP="00166E43">
      <w:pPr>
        <w:pStyle w:val="Body"/>
        <w:rPr>
          <w:szCs w:val="24"/>
        </w:rPr>
      </w:pPr>
      <w:r>
        <w:rPr>
          <w:noProof/>
          <w:lang w:eastAsia="en-AU"/>
        </w:rPr>
        <w:drawing>
          <wp:anchor distT="0" distB="0" distL="114300" distR="114300" simplePos="0" relativeHeight="251674623" behindDoc="1" locked="0" layoutInCell="1" allowOverlap="1" wp14:anchorId="1FEA99B4" wp14:editId="0617513B">
            <wp:simplePos x="0" y="0"/>
            <wp:positionH relativeFrom="page">
              <wp:posOffset>0</wp:posOffset>
            </wp:positionH>
            <wp:positionV relativeFrom="page">
              <wp:posOffset>791845</wp:posOffset>
            </wp:positionV>
            <wp:extent cx="7588800" cy="2606400"/>
            <wp:effectExtent l="0" t="0" r="0" b="3810"/>
            <wp:wrapTopAndBottom/>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l Manager foreword.jp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7588800" cy="2606400"/>
                    </a:xfrm>
                    <a:prstGeom prst="rect">
                      <a:avLst/>
                    </a:prstGeom>
                  </pic:spPr>
                </pic:pic>
              </a:graphicData>
            </a:graphic>
            <wp14:sizeRelH relativeFrom="page">
              <wp14:pctWidth>0</wp14:pctWidth>
            </wp14:sizeRelH>
            <wp14:sizeRelV relativeFrom="page">
              <wp14:pctHeight>0</wp14:pctHeight>
            </wp14:sizeRelV>
          </wp:anchor>
        </w:drawing>
      </w:r>
      <w:r w:rsidR="00166E43" w:rsidRPr="009A4CC0">
        <w:rPr>
          <w:szCs w:val="24"/>
        </w:rPr>
        <w:t>The Office of the Environmental Protection Authority was established in 2009 to support the Environmental Protection Authority and work with other Government departments to ensure environmental values are protected and development is managed in an environmentally responsible manner.</w:t>
      </w:r>
    </w:p>
    <w:p w:rsidR="00166E43" w:rsidRPr="009A4CC0" w:rsidRDefault="00166E43" w:rsidP="00166E43">
      <w:pPr>
        <w:pStyle w:val="Body"/>
        <w:rPr>
          <w:szCs w:val="24"/>
        </w:rPr>
      </w:pPr>
      <w:r w:rsidRPr="009A4CC0">
        <w:rPr>
          <w:szCs w:val="24"/>
        </w:rPr>
        <w:t xml:space="preserve">As part of this support to the EPA, the OEPA provides advice on developing environmental policies </w:t>
      </w:r>
      <w:r>
        <w:rPr>
          <w:szCs w:val="24"/>
        </w:rPr>
        <w:t xml:space="preserve">and guidance, </w:t>
      </w:r>
      <w:r w:rsidRPr="009A4CC0">
        <w:rPr>
          <w:szCs w:val="24"/>
        </w:rPr>
        <w:t xml:space="preserve">and conducts environmental impact assessments of </w:t>
      </w:r>
      <w:r>
        <w:rPr>
          <w:szCs w:val="24"/>
        </w:rPr>
        <w:t xml:space="preserve">significant </w:t>
      </w:r>
      <w:r w:rsidRPr="009A4CC0">
        <w:rPr>
          <w:szCs w:val="24"/>
        </w:rPr>
        <w:t xml:space="preserve">development proposals, planning schemes and </w:t>
      </w:r>
      <w:r>
        <w:rPr>
          <w:szCs w:val="24"/>
        </w:rPr>
        <w:t xml:space="preserve">scheme </w:t>
      </w:r>
      <w:r w:rsidRPr="009A4CC0">
        <w:rPr>
          <w:szCs w:val="24"/>
        </w:rPr>
        <w:t>amendments.</w:t>
      </w:r>
    </w:p>
    <w:p w:rsidR="00166E43" w:rsidRPr="009A4CC0" w:rsidRDefault="00166E43" w:rsidP="00166E43">
      <w:pPr>
        <w:pStyle w:val="Body"/>
        <w:rPr>
          <w:szCs w:val="24"/>
        </w:rPr>
      </w:pPr>
      <w:r w:rsidRPr="009A4CC0">
        <w:rPr>
          <w:szCs w:val="24"/>
        </w:rPr>
        <w:t xml:space="preserve">In conjunction with the </w:t>
      </w:r>
      <w:r w:rsidR="00E621C6">
        <w:rPr>
          <w:szCs w:val="24"/>
        </w:rPr>
        <w:t>D</w:t>
      </w:r>
      <w:r w:rsidRPr="009A4CC0">
        <w:rPr>
          <w:szCs w:val="24"/>
        </w:rPr>
        <w:t xml:space="preserve">epartment’s duties to the EPA, the OEPA is directly responsible to </w:t>
      </w:r>
      <w:r w:rsidR="00CA4C91">
        <w:rPr>
          <w:szCs w:val="24"/>
        </w:rPr>
        <w:t xml:space="preserve">the </w:t>
      </w:r>
      <w:proofErr w:type="spellStart"/>
      <w:r w:rsidR="00CA4C91">
        <w:rPr>
          <w:szCs w:val="24"/>
        </w:rPr>
        <w:t>Hon</w:t>
      </w:r>
      <w:proofErr w:type="spellEnd"/>
      <w:r w:rsidRPr="009A4CC0">
        <w:rPr>
          <w:szCs w:val="24"/>
        </w:rPr>
        <w:t xml:space="preserve"> Albert Jacob </w:t>
      </w:r>
      <w:r w:rsidR="00CA4C91">
        <w:rPr>
          <w:szCs w:val="24"/>
        </w:rPr>
        <w:t xml:space="preserve">MLA, Minister for the Environment, </w:t>
      </w:r>
      <w:r>
        <w:rPr>
          <w:szCs w:val="24"/>
        </w:rPr>
        <w:t>for</w:t>
      </w:r>
      <w:r w:rsidRPr="009A4CC0">
        <w:rPr>
          <w:szCs w:val="24"/>
        </w:rPr>
        <w:t xml:space="preserve"> the management of Ministerial approval statements. The OEPA is also responsible for administering and auditing the compliance of development proposal</w:t>
      </w:r>
      <w:r>
        <w:rPr>
          <w:szCs w:val="24"/>
        </w:rPr>
        <w:t>s with their implementation conditions</w:t>
      </w:r>
      <w:r w:rsidRPr="009A4CC0">
        <w:rPr>
          <w:szCs w:val="24"/>
        </w:rPr>
        <w:t xml:space="preserve"> on behalf of the Minister.</w:t>
      </w:r>
    </w:p>
    <w:p w:rsidR="00166E43" w:rsidRPr="00166E43" w:rsidRDefault="00166E43" w:rsidP="00166E43">
      <w:pPr>
        <w:pStyle w:val="Body"/>
      </w:pPr>
      <w:r w:rsidRPr="00166E43">
        <w:t>The OEPA completed a comprehensive review of the EPA’s policy suite this year, with the publication of five new policies during 2014–15 providing guidance on environmental matters and requirements for timely and efficient EIA process. This review was important to ensure a contemporary framework is being utilised, with four out-of-date policies withdrawn and a further four revised. In addition, the EPA’s interim strategic advice on environmental values in the Perth and Peel regions was finalised during 2014–15, for release in August 2015.</w:t>
      </w:r>
    </w:p>
    <w:p w:rsidR="00166E43" w:rsidRPr="00166E43" w:rsidRDefault="00166E43" w:rsidP="00166E43">
      <w:pPr>
        <w:pStyle w:val="Body"/>
      </w:pPr>
      <w:r w:rsidRPr="00166E43">
        <w:t xml:space="preserve">Significantly, </w:t>
      </w:r>
      <w:r w:rsidR="00183202">
        <w:t>the State</w:t>
      </w:r>
      <w:r w:rsidRPr="00166E43">
        <w:t xml:space="preserve"> and the Commonwealth Government</w:t>
      </w:r>
      <w:r w:rsidR="00183202">
        <w:t>s</w:t>
      </w:r>
      <w:r w:rsidRPr="00166E43">
        <w:t xml:space="preserve"> signed a new Assessment Bilateral Agreement, which came into effect on 1 January 2015. This agreement now accredits the EPA’s Assessment on Proponent Information –Category A level of assessment and further reduces duplication of processes.</w:t>
      </w:r>
    </w:p>
    <w:p w:rsidR="00166E43" w:rsidRPr="009A4CC0" w:rsidRDefault="00166E43" w:rsidP="00166E43">
      <w:pPr>
        <w:pStyle w:val="Body"/>
        <w:rPr>
          <w:color w:val="auto"/>
          <w:szCs w:val="24"/>
        </w:rPr>
      </w:pPr>
      <w:r w:rsidRPr="009A4CC0">
        <w:rPr>
          <w:szCs w:val="24"/>
        </w:rPr>
        <w:lastRenderedPageBreak/>
        <w:t xml:space="preserve">I am pleased to report that in our first year of reporting against new performance indicators, the EPA’s satisfaction with environmental impact assessment and environmental management services </w:t>
      </w:r>
      <w:r>
        <w:rPr>
          <w:szCs w:val="24"/>
        </w:rPr>
        <w:t xml:space="preserve">provided by the OEPA </w:t>
      </w:r>
      <w:r w:rsidRPr="009A4CC0">
        <w:rPr>
          <w:szCs w:val="24"/>
        </w:rPr>
        <w:t xml:space="preserve">exceeded set targets. This is important because it confirms that the work produced by the </w:t>
      </w:r>
      <w:r w:rsidR="00E621C6">
        <w:rPr>
          <w:szCs w:val="24"/>
        </w:rPr>
        <w:t>D</w:t>
      </w:r>
      <w:r>
        <w:rPr>
          <w:szCs w:val="24"/>
        </w:rPr>
        <w:t>epartment</w:t>
      </w:r>
      <w:r w:rsidRPr="009A4CC0">
        <w:rPr>
          <w:szCs w:val="24"/>
        </w:rPr>
        <w:t xml:space="preserve"> provides significant value to the EPA.</w:t>
      </w:r>
    </w:p>
    <w:p w:rsidR="00166E43" w:rsidRPr="009A4CC0" w:rsidRDefault="00166E43" w:rsidP="00166E43">
      <w:pPr>
        <w:pStyle w:val="Body"/>
        <w:rPr>
          <w:szCs w:val="24"/>
        </w:rPr>
      </w:pPr>
      <w:r w:rsidRPr="009A4CC0">
        <w:rPr>
          <w:szCs w:val="24"/>
        </w:rPr>
        <w:t>Thirty-one environmental impact assessment reports were prepared for the EPA and published in 2014–15, covering a diverse range of mining, industrial, infrastructure and oil and gas proposals. Almost half of these reports were requests to change existing conditions, with the majority relating to extension of time limits for proposal implementation. All assessments met agreed timelines, a rise from 88 per cent the previous year.</w:t>
      </w:r>
    </w:p>
    <w:p w:rsidR="00166E43" w:rsidRPr="009A4CC0" w:rsidRDefault="00166E43" w:rsidP="00166E43">
      <w:pPr>
        <w:pStyle w:val="Body"/>
        <w:rPr>
          <w:szCs w:val="24"/>
        </w:rPr>
      </w:pPr>
      <w:r w:rsidRPr="009A4CC0">
        <w:rPr>
          <w:szCs w:val="24"/>
        </w:rPr>
        <w:t xml:space="preserve">There were 259 statutory planning schemes and amendments referred to the EPA in 2014–15, representing </w:t>
      </w:r>
      <w:r>
        <w:rPr>
          <w:szCs w:val="24"/>
        </w:rPr>
        <w:t>an approximately 10</w:t>
      </w:r>
      <w:r w:rsidRPr="009A4CC0">
        <w:rPr>
          <w:szCs w:val="24"/>
        </w:rPr>
        <w:t xml:space="preserve"> per cent increase from the previous financial year.</w:t>
      </w:r>
    </w:p>
    <w:p w:rsidR="00166E43" w:rsidRPr="009A4CC0" w:rsidRDefault="00166E43" w:rsidP="00166E43">
      <w:pPr>
        <w:pStyle w:val="Body"/>
        <w:rPr>
          <w:szCs w:val="24"/>
        </w:rPr>
      </w:pPr>
      <w:r w:rsidRPr="009A4CC0">
        <w:rPr>
          <w:szCs w:val="24"/>
        </w:rPr>
        <w:t xml:space="preserve">The OEPA completed a substantial amount of post-approval work in the year, assessing 32 requests for changes to proposals. </w:t>
      </w:r>
    </w:p>
    <w:p w:rsidR="00166E43" w:rsidRPr="009A4CC0" w:rsidRDefault="00166E43" w:rsidP="00166E43">
      <w:pPr>
        <w:pStyle w:val="Body"/>
        <w:rPr>
          <w:szCs w:val="24"/>
        </w:rPr>
      </w:pPr>
      <w:r w:rsidRPr="009A4CC0">
        <w:rPr>
          <w:szCs w:val="24"/>
        </w:rPr>
        <w:t xml:space="preserve">Importantly, 99 per cent of project-specific conditions did not require significant change following the appeals process, illustrating the recommended conditions are not only designed to avoid, minimise or mitigate potential impacts to the environment, but that they can be practically implemented. </w:t>
      </w:r>
    </w:p>
    <w:p w:rsidR="00166E43" w:rsidRPr="009A4CC0" w:rsidRDefault="00166E43" w:rsidP="00166E43">
      <w:pPr>
        <w:pStyle w:val="Body"/>
        <w:rPr>
          <w:szCs w:val="24"/>
        </w:rPr>
      </w:pPr>
      <w:r w:rsidRPr="009A4CC0">
        <w:rPr>
          <w:szCs w:val="24"/>
        </w:rPr>
        <w:t>During the year, the OEPA completed 60 compliance audits focusing on mining proposals wi</w:t>
      </w:r>
      <w:r>
        <w:rPr>
          <w:szCs w:val="24"/>
        </w:rPr>
        <w:t>thin Banded Iron F</w:t>
      </w:r>
      <w:r w:rsidRPr="009A4CC0">
        <w:rPr>
          <w:szCs w:val="24"/>
        </w:rPr>
        <w:t xml:space="preserve">ormation </w:t>
      </w:r>
      <w:r>
        <w:rPr>
          <w:szCs w:val="24"/>
        </w:rPr>
        <w:t xml:space="preserve">(BIF) </w:t>
      </w:r>
      <w:r w:rsidRPr="009A4CC0">
        <w:rPr>
          <w:szCs w:val="24"/>
        </w:rPr>
        <w:t xml:space="preserve">ranges. Of audits completed this year, 97 per cent of projects were found to be compliant with Ministerial conditions. In the small number of cases found to be non-compliant, I am pleased </w:t>
      </w:r>
      <w:r>
        <w:rPr>
          <w:szCs w:val="24"/>
        </w:rPr>
        <w:t xml:space="preserve">to report </w:t>
      </w:r>
      <w:r w:rsidRPr="009A4CC0">
        <w:rPr>
          <w:szCs w:val="24"/>
        </w:rPr>
        <w:t xml:space="preserve">remedial action was taken in every case within the time specified. </w:t>
      </w:r>
    </w:p>
    <w:p w:rsidR="00166E43" w:rsidRPr="009A4CC0" w:rsidRDefault="00166E43" w:rsidP="00166E43">
      <w:pPr>
        <w:pStyle w:val="Body"/>
        <w:rPr>
          <w:szCs w:val="24"/>
        </w:rPr>
      </w:pPr>
      <w:r w:rsidRPr="009A4CC0">
        <w:rPr>
          <w:szCs w:val="24"/>
        </w:rPr>
        <w:t>Business improvements continued in 2014–15, with a focus on improving consultation and feedback from proponents and the public. One initiative implemented by the OEPA is a close-out letter to proponents following the transmittal of the EPA’s assessment report to the Minister. Feedback has been sought on the OEPA’s risk-based approach to assessment and the use of key environmental factors as well as the timeliness of assessments, suitability of policy and guidance material and the proponent’s interaction with OEPA officers. Overall, the feedback received has been positive and supports the OEPA</w:t>
      </w:r>
      <w:r>
        <w:rPr>
          <w:szCs w:val="24"/>
        </w:rPr>
        <w:t>’</w:t>
      </w:r>
      <w:r w:rsidRPr="009A4CC0">
        <w:rPr>
          <w:szCs w:val="24"/>
        </w:rPr>
        <w:t>s approach to assessment.</w:t>
      </w:r>
    </w:p>
    <w:p w:rsidR="00166E43" w:rsidRPr="009A4CC0" w:rsidRDefault="00166E43" w:rsidP="00166E43">
      <w:pPr>
        <w:pStyle w:val="Body"/>
        <w:rPr>
          <w:szCs w:val="24"/>
        </w:rPr>
      </w:pPr>
      <w:r>
        <w:rPr>
          <w:szCs w:val="24"/>
        </w:rPr>
        <w:t>During the year, the OEPA</w:t>
      </w:r>
      <w:r w:rsidRPr="009A4CC0">
        <w:rPr>
          <w:szCs w:val="24"/>
        </w:rPr>
        <w:t xml:space="preserve"> updated referral forms to reflect the</w:t>
      </w:r>
      <w:r>
        <w:rPr>
          <w:szCs w:val="24"/>
        </w:rPr>
        <w:t xml:space="preserve"> EPA’s</w:t>
      </w:r>
      <w:r w:rsidRPr="009A4CC0">
        <w:rPr>
          <w:szCs w:val="24"/>
        </w:rPr>
        <w:t xml:space="preserve"> contempor</w:t>
      </w:r>
      <w:r>
        <w:rPr>
          <w:szCs w:val="24"/>
        </w:rPr>
        <w:t>ary policy suite</w:t>
      </w:r>
      <w:r w:rsidRPr="009A4CC0">
        <w:rPr>
          <w:szCs w:val="24"/>
        </w:rPr>
        <w:t>. This update has resulted in a significant improvement in the quality of information provided. In addition, the use of the online consultation hub continued to increase this year, provi</w:t>
      </w:r>
      <w:r>
        <w:rPr>
          <w:szCs w:val="24"/>
        </w:rPr>
        <w:t>ng it is</w:t>
      </w:r>
      <w:r w:rsidRPr="009A4CC0">
        <w:rPr>
          <w:szCs w:val="24"/>
        </w:rPr>
        <w:t xml:space="preserve"> a useful </w:t>
      </w:r>
      <w:r>
        <w:rPr>
          <w:szCs w:val="24"/>
        </w:rPr>
        <w:t xml:space="preserve">tool for the </w:t>
      </w:r>
      <w:r w:rsidRPr="009A4CC0">
        <w:rPr>
          <w:szCs w:val="24"/>
        </w:rPr>
        <w:t xml:space="preserve">public. </w:t>
      </w:r>
    </w:p>
    <w:p w:rsidR="00166E43" w:rsidRPr="009A4CC0" w:rsidRDefault="00166E43" w:rsidP="00166E43">
      <w:pPr>
        <w:pStyle w:val="Body"/>
        <w:rPr>
          <w:szCs w:val="24"/>
        </w:rPr>
      </w:pPr>
      <w:r w:rsidRPr="009A4CC0">
        <w:rPr>
          <w:szCs w:val="24"/>
        </w:rPr>
        <w:lastRenderedPageBreak/>
        <w:t>Major progress was made on the development of a case management system and in the embedding of electronic records management. This work will continue to ens</w:t>
      </w:r>
      <w:r>
        <w:rPr>
          <w:szCs w:val="24"/>
        </w:rPr>
        <w:t xml:space="preserve">ure the OEPA is well placed to deliver its services in the </w:t>
      </w:r>
      <w:r w:rsidRPr="009A4CC0">
        <w:rPr>
          <w:szCs w:val="24"/>
        </w:rPr>
        <w:t>future</w:t>
      </w:r>
      <w:r>
        <w:rPr>
          <w:szCs w:val="24"/>
        </w:rPr>
        <w:t>.</w:t>
      </w:r>
    </w:p>
    <w:p w:rsidR="00166E43" w:rsidRPr="009A4CC0" w:rsidRDefault="00166E43" w:rsidP="00166E43">
      <w:pPr>
        <w:pStyle w:val="Body"/>
        <w:rPr>
          <w:szCs w:val="24"/>
        </w:rPr>
      </w:pPr>
      <w:r w:rsidRPr="009A4CC0">
        <w:rPr>
          <w:szCs w:val="24"/>
        </w:rPr>
        <w:t>I would like to take this opportunity to mention the OEPA’s productive and professional working relationships with other government departments, environmental non-government organisations and industry peak bodies. These relationships are crucial to the effective per</w:t>
      </w:r>
      <w:r>
        <w:rPr>
          <w:szCs w:val="24"/>
        </w:rPr>
        <w:t xml:space="preserve">formance of the OEPA and we </w:t>
      </w:r>
      <w:r w:rsidRPr="009A4CC0">
        <w:rPr>
          <w:szCs w:val="24"/>
        </w:rPr>
        <w:t xml:space="preserve">appreciate the contributions made by these groups and individuals. </w:t>
      </w:r>
    </w:p>
    <w:p w:rsidR="00166E43" w:rsidRPr="009A4CC0" w:rsidRDefault="00166E43" w:rsidP="00166E43">
      <w:pPr>
        <w:pStyle w:val="Body"/>
        <w:rPr>
          <w:szCs w:val="24"/>
        </w:rPr>
      </w:pPr>
      <w:r w:rsidRPr="009A4CC0">
        <w:rPr>
          <w:szCs w:val="24"/>
        </w:rPr>
        <w:t>Finally, I would like to acknowledge the continuing collaborative working relationship with the Chairman and Members of the EPA. In particular, on behalf of the staff of the OEPA, I wish to thank outgoing Chairman Dr Paul Vogel for his service over the past eight years and wish him all the best in his future endeavours.</w:t>
      </w:r>
    </w:p>
    <w:p w:rsidR="00166E43" w:rsidRPr="009A4CC0" w:rsidRDefault="00166E43" w:rsidP="00166E43">
      <w:pPr>
        <w:pStyle w:val="Body"/>
        <w:rPr>
          <w:szCs w:val="24"/>
        </w:rPr>
      </w:pPr>
      <w:r>
        <w:rPr>
          <w:noProof/>
          <w:szCs w:val="24"/>
          <w:lang w:eastAsia="en-AU"/>
        </w:rPr>
        <w:drawing>
          <wp:inline distT="0" distB="0" distL="0" distR="0">
            <wp:extent cx="1438275" cy="677118"/>
            <wp:effectExtent l="0" t="0" r="0" b="889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mTaylor2011.jp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442110" cy="678924"/>
                    </a:xfrm>
                    <a:prstGeom prst="rect">
                      <a:avLst/>
                    </a:prstGeom>
                  </pic:spPr>
                </pic:pic>
              </a:graphicData>
            </a:graphic>
          </wp:inline>
        </w:drawing>
      </w:r>
    </w:p>
    <w:p w:rsidR="00166E43" w:rsidRPr="009A4CC0" w:rsidRDefault="00166E43" w:rsidP="00166E43">
      <w:pPr>
        <w:pStyle w:val="Body"/>
        <w:rPr>
          <w:szCs w:val="24"/>
        </w:rPr>
      </w:pPr>
      <w:r w:rsidRPr="009A4CC0">
        <w:rPr>
          <w:szCs w:val="24"/>
        </w:rPr>
        <w:t>Kim Taylor</w:t>
      </w:r>
    </w:p>
    <w:p w:rsidR="00166E43" w:rsidRPr="009A4CC0" w:rsidRDefault="00166E43" w:rsidP="00166E43">
      <w:pPr>
        <w:pStyle w:val="Body"/>
        <w:rPr>
          <w:szCs w:val="24"/>
        </w:rPr>
      </w:pPr>
      <w:r w:rsidRPr="009A4CC0">
        <w:rPr>
          <w:szCs w:val="24"/>
        </w:rPr>
        <w:t>General Manager</w:t>
      </w:r>
    </w:p>
    <w:p w:rsidR="00174A2E" w:rsidRDefault="00166E43" w:rsidP="00166E43">
      <w:pPr>
        <w:pStyle w:val="Body"/>
      </w:pPr>
      <w:r w:rsidRPr="009A4CC0">
        <w:rPr>
          <w:szCs w:val="24"/>
        </w:rPr>
        <w:t>Office of the Environmental Protection Authority</w:t>
      </w:r>
    </w:p>
    <w:p w:rsidR="00174A2E" w:rsidRDefault="00174A2E" w:rsidP="00166E43">
      <w:pPr>
        <w:pStyle w:val="Body"/>
      </w:pPr>
    </w:p>
    <w:p w:rsidR="00174A2E" w:rsidRDefault="00174A2E" w:rsidP="00166E43">
      <w:pPr>
        <w:pStyle w:val="Body"/>
      </w:pPr>
    </w:p>
    <w:p w:rsidR="00174A2E" w:rsidRDefault="00174A2E" w:rsidP="00473E33">
      <w:pPr>
        <w:spacing w:after="0" w:line="200" w:lineRule="exact"/>
        <w:rPr>
          <w:sz w:val="20"/>
          <w:szCs w:val="20"/>
        </w:rPr>
      </w:pPr>
    </w:p>
    <w:p w:rsidR="00174A2E" w:rsidRDefault="00174A2E" w:rsidP="00473E33">
      <w:pPr>
        <w:spacing w:after="0" w:line="200" w:lineRule="exact"/>
        <w:rPr>
          <w:sz w:val="20"/>
          <w:szCs w:val="20"/>
        </w:rPr>
      </w:pPr>
    </w:p>
    <w:p w:rsidR="00174A2E" w:rsidRDefault="00174A2E"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Default="00BA56F7" w:rsidP="00473E33">
      <w:pPr>
        <w:spacing w:after="0" w:line="200" w:lineRule="exact"/>
        <w:rPr>
          <w:sz w:val="20"/>
          <w:szCs w:val="20"/>
        </w:rPr>
      </w:pPr>
    </w:p>
    <w:p w:rsidR="00BA56F7" w:rsidRPr="00BA56F7" w:rsidRDefault="00BA56F7" w:rsidP="00BA56F7">
      <w:pPr>
        <w:spacing w:after="0" w:line="200" w:lineRule="exact"/>
        <w:jc w:val="center"/>
        <w:rPr>
          <w:i/>
          <w:color w:val="808080" w:themeColor="background1" w:themeShade="80"/>
          <w:sz w:val="18"/>
          <w:szCs w:val="18"/>
        </w:rPr>
      </w:pPr>
      <w:r w:rsidRPr="00BA56F7">
        <w:rPr>
          <w:i/>
          <w:color w:val="808080" w:themeColor="background1" w:themeShade="80"/>
          <w:sz w:val="18"/>
          <w:szCs w:val="18"/>
        </w:rPr>
        <w:t>This page is intentionally blank</w:t>
      </w:r>
    </w:p>
    <w:p w:rsidR="00BA56F7" w:rsidRDefault="00BA56F7" w:rsidP="00473E33">
      <w:pPr>
        <w:spacing w:after="0" w:line="200" w:lineRule="exact"/>
        <w:rPr>
          <w:sz w:val="20"/>
          <w:szCs w:val="20"/>
        </w:rPr>
      </w:pPr>
    </w:p>
    <w:p w:rsidR="00166E43" w:rsidRDefault="00166E43" w:rsidP="00473E33">
      <w:pPr>
        <w:spacing w:after="0" w:line="200" w:lineRule="exact"/>
        <w:rPr>
          <w:sz w:val="20"/>
          <w:szCs w:val="20"/>
        </w:rPr>
      </w:pPr>
    </w:p>
    <w:p w:rsidR="00174A2E" w:rsidRDefault="00174A2E"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166E43" w:rsidRDefault="00166E43" w:rsidP="00473E33">
      <w:pPr>
        <w:spacing w:after="0" w:line="200" w:lineRule="exact"/>
        <w:rPr>
          <w:sz w:val="20"/>
          <w:szCs w:val="20"/>
        </w:rPr>
      </w:pPr>
    </w:p>
    <w:p w:rsidR="00900BFC" w:rsidRDefault="00900BFC">
      <w:pPr>
        <w:rPr>
          <w:sz w:val="20"/>
          <w:szCs w:val="20"/>
        </w:rPr>
      </w:pPr>
    </w:p>
    <w:p w:rsidR="00166E43" w:rsidRDefault="00166E43" w:rsidP="00473E33">
      <w:pPr>
        <w:spacing w:after="0" w:line="200" w:lineRule="exact"/>
        <w:rPr>
          <w:sz w:val="20"/>
          <w:szCs w:val="20"/>
        </w:rPr>
      </w:pPr>
    </w:p>
    <w:p w:rsidR="00174A2E" w:rsidRDefault="00174A2E" w:rsidP="00473E33">
      <w:pPr>
        <w:spacing w:after="0" w:line="200" w:lineRule="exact"/>
        <w:rPr>
          <w:sz w:val="20"/>
          <w:szCs w:val="20"/>
        </w:rPr>
      </w:pPr>
    </w:p>
    <w:p w:rsidR="00174A2E" w:rsidRDefault="00174A2E" w:rsidP="00473E33">
      <w:pPr>
        <w:spacing w:after="0" w:line="200" w:lineRule="exact"/>
        <w:rPr>
          <w:sz w:val="20"/>
          <w:szCs w:val="20"/>
        </w:rPr>
      </w:pPr>
    </w:p>
    <w:p w:rsidR="00C4187B" w:rsidRDefault="00C4187B" w:rsidP="00473E33">
      <w:pPr>
        <w:spacing w:after="0" w:line="200" w:lineRule="exact"/>
        <w:rPr>
          <w:sz w:val="20"/>
          <w:szCs w:val="20"/>
        </w:rPr>
        <w:sectPr w:rsidR="00C4187B" w:rsidSect="000E7986">
          <w:headerReference w:type="even" r:id="rId25"/>
          <w:headerReference w:type="default" r:id="rId26"/>
          <w:footerReference w:type="even" r:id="rId27"/>
          <w:footerReference w:type="default" r:id="rId28"/>
          <w:pgSz w:w="11906" w:h="16838"/>
          <w:pgMar w:top="1245" w:right="993" w:bottom="1440" w:left="1440" w:header="568" w:footer="170" w:gutter="0"/>
          <w:pgNumType w:start="1"/>
          <w:cols w:space="709"/>
          <w:docGrid w:linePitch="360"/>
        </w:sectPr>
      </w:pPr>
    </w:p>
    <w:p w:rsidR="002C6C90" w:rsidRDefault="002C6C90" w:rsidP="002C6C90">
      <w:pPr>
        <w:pStyle w:val="Sectionheading"/>
      </w:pPr>
      <w:bookmarkStart w:id="5" w:name="_Toc424566713"/>
      <w:bookmarkStart w:id="6" w:name="_Toc428270555"/>
      <w:bookmarkStart w:id="7" w:name="_Toc428279133"/>
      <w:r>
        <w:lastRenderedPageBreak/>
        <w:t>Contents</w:t>
      </w:r>
      <w:bookmarkEnd w:id="5"/>
      <w:bookmarkEnd w:id="6"/>
      <w:bookmarkEnd w:id="7"/>
    </w:p>
    <w:p w:rsidR="002054CC" w:rsidRDefault="00F76CC1" w:rsidP="00B41C73">
      <w:pPr>
        <w:pStyle w:val="TOC3"/>
        <w:spacing w:line="240" w:lineRule="auto"/>
        <w:rPr>
          <w:rFonts w:eastAsiaTheme="minorEastAsia" w:cstheme="minorBidi"/>
          <w:noProof/>
          <w:color w:val="auto"/>
          <w:szCs w:val="22"/>
          <w:lang w:eastAsia="en-AU"/>
        </w:rPr>
      </w:pPr>
      <w:r>
        <w:rPr>
          <w:b/>
          <w:bCs/>
          <w:noProof/>
          <w:sz w:val="20"/>
        </w:rPr>
        <w:fldChar w:fldCharType="begin"/>
      </w:r>
      <w:r>
        <w:rPr>
          <w:b/>
          <w:bCs/>
          <w:noProof/>
          <w:sz w:val="20"/>
        </w:rPr>
        <w:instrText xml:space="preserve"> TOC \o "1-2" \h \z \t "Heading 3,3,Financials heading 1,1" </w:instrText>
      </w:r>
      <w:r>
        <w:rPr>
          <w:b/>
          <w:bCs/>
          <w:noProof/>
          <w:sz w:val="20"/>
        </w:rPr>
        <w:fldChar w:fldCharType="separate"/>
      </w:r>
    </w:p>
    <w:p w:rsidR="002054CC" w:rsidRDefault="00921835" w:rsidP="00671CBA">
      <w:pPr>
        <w:pStyle w:val="TOC1"/>
        <w:rPr>
          <w:rFonts w:eastAsiaTheme="minorEastAsia" w:cstheme="minorBidi"/>
          <w:color w:val="auto"/>
          <w:sz w:val="22"/>
          <w:szCs w:val="22"/>
          <w:lang w:eastAsia="en-AU"/>
        </w:rPr>
      </w:pPr>
      <w:hyperlink w:anchor="_Toc428279133" w:history="1">
        <w:r w:rsidR="002054CC" w:rsidRPr="00007B63">
          <w:rPr>
            <w:rStyle w:val="Hyperlink"/>
          </w:rPr>
          <w:t>Contents</w:t>
        </w:r>
        <w:r w:rsidR="002054CC">
          <w:rPr>
            <w:webHidden/>
          </w:rPr>
          <w:tab/>
        </w:r>
        <w:r w:rsidR="002054CC">
          <w:rPr>
            <w:webHidden/>
          </w:rPr>
          <w:fldChar w:fldCharType="begin"/>
        </w:r>
        <w:r w:rsidR="002054CC">
          <w:rPr>
            <w:webHidden/>
          </w:rPr>
          <w:instrText xml:space="preserve"> PAGEREF _Toc428279133 \h </w:instrText>
        </w:r>
        <w:r w:rsidR="002054CC">
          <w:rPr>
            <w:webHidden/>
          </w:rPr>
        </w:r>
        <w:r w:rsidR="002054CC">
          <w:rPr>
            <w:webHidden/>
          </w:rPr>
          <w:fldChar w:fldCharType="separate"/>
        </w:r>
        <w:r w:rsidR="00E621C6">
          <w:rPr>
            <w:webHidden/>
          </w:rPr>
          <w:t>5</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34" w:history="1">
        <w:r w:rsidR="002054CC" w:rsidRPr="00007B63">
          <w:rPr>
            <w:rStyle w:val="Hyperlink"/>
          </w:rPr>
          <w:t>Executive summary</w:t>
        </w:r>
        <w:r w:rsidR="002054CC">
          <w:rPr>
            <w:webHidden/>
          </w:rPr>
          <w:tab/>
        </w:r>
        <w:r w:rsidR="002054CC">
          <w:rPr>
            <w:webHidden/>
          </w:rPr>
          <w:fldChar w:fldCharType="begin"/>
        </w:r>
        <w:r w:rsidR="002054CC">
          <w:rPr>
            <w:webHidden/>
          </w:rPr>
          <w:instrText xml:space="preserve"> PAGEREF _Toc428279134 \h </w:instrText>
        </w:r>
        <w:r w:rsidR="002054CC">
          <w:rPr>
            <w:webHidden/>
          </w:rPr>
        </w:r>
        <w:r w:rsidR="002054CC">
          <w:rPr>
            <w:webHidden/>
          </w:rPr>
          <w:fldChar w:fldCharType="separate"/>
        </w:r>
        <w:r w:rsidR="00E621C6">
          <w:rPr>
            <w:webHidden/>
          </w:rPr>
          <w:t>8</w:t>
        </w:r>
        <w:r w:rsidR="002054CC">
          <w:rPr>
            <w:webHidden/>
          </w:rPr>
          <w:fldChar w:fldCharType="end"/>
        </w:r>
      </w:hyperlink>
    </w:p>
    <w:p w:rsidR="002054CC" w:rsidRPr="000558AD" w:rsidRDefault="00921835" w:rsidP="00671CBA">
      <w:pPr>
        <w:pStyle w:val="TOC1"/>
        <w:rPr>
          <w:rFonts w:eastAsiaTheme="minorEastAsia" w:cstheme="minorBidi"/>
          <w:sz w:val="22"/>
          <w:szCs w:val="22"/>
          <w:lang w:eastAsia="en-AU"/>
        </w:rPr>
      </w:pPr>
      <w:hyperlink r:id="rId29" w:anchor="_Toc428279135" w:history="1">
        <w:r w:rsidR="000558AD">
          <w:rPr>
            <w:rStyle w:val="Hyperlink"/>
            <w:color w:val="2F5E9D" w:themeColor="accent1"/>
          </w:rPr>
          <w:t>OVERVIEW</w:t>
        </w:r>
        <w:r w:rsidR="002054CC" w:rsidRPr="000558AD">
          <w:rPr>
            <w:webHidden/>
          </w:rPr>
          <w:tab/>
        </w:r>
        <w:r w:rsidR="002054CC" w:rsidRPr="000558AD">
          <w:rPr>
            <w:webHidden/>
          </w:rPr>
          <w:fldChar w:fldCharType="begin"/>
        </w:r>
        <w:r w:rsidR="002054CC" w:rsidRPr="000558AD">
          <w:rPr>
            <w:webHidden/>
          </w:rPr>
          <w:instrText xml:space="preserve"> PAGEREF _Toc428279135 \h </w:instrText>
        </w:r>
        <w:r w:rsidR="002054CC" w:rsidRPr="000558AD">
          <w:rPr>
            <w:webHidden/>
          </w:rPr>
        </w:r>
        <w:r w:rsidR="002054CC" w:rsidRPr="000558AD">
          <w:rPr>
            <w:webHidden/>
          </w:rPr>
          <w:fldChar w:fldCharType="separate"/>
        </w:r>
        <w:r w:rsidR="00E621C6">
          <w:rPr>
            <w:webHidden/>
          </w:rPr>
          <w:t>8</w:t>
        </w:r>
        <w:r w:rsidR="002054CC" w:rsidRPr="000558AD">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36" w:history="1">
        <w:r w:rsidR="002054CC" w:rsidRPr="00007B63">
          <w:rPr>
            <w:rStyle w:val="Hyperlink"/>
          </w:rPr>
          <w:t>Performance highlights</w:t>
        </w:r>
        <w:r w:rsidR="002054CC">
          <w:rPr>
            <w:webHidden/>
          </w:rPr>
          <w:tab/>
        </w:r>
        <w:r w:rsidR="002054CC">
          <w:rPr>
            <w:webHidden/>
          </w:rPr>
          <w:fldChar w:fldCharType="begin"/>
        </w:r>
        <w:r w:rsidR="002054CC">
          <w:rPr>
            <w:webHidden/>
          </w:rPr>
          <w:instrText xml:space="preserve"> PAGEREF _Toc428279136 \h </w:instrText>
        </w:r>
        <w:r w:rsidR="002054CC">
          <w:rPr>
            <w:webHidden/>
          </w:rPr>
        </w:r>
        <w:r w:rsidR="002054CC">
          <w:rPr>
            <w:webHidden/>
          </w:rPr>
          <w:fldChar w:fldCharType="separate"/>
        </w:r>
        <w:r w:rsidR="00E621C6">
          <w:rPr>
            <w:webHidden/>
          </w:rPr>
          <w:t>8</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37" w:history="1">
        <w:r w:rsidR="002054CC" w:rsidRPr="00007B63">
          <w:rPr>
            <w:rStyle w:val="Hyperlink"/>
          </w:rPr>
          <w:t>Operational structure</w:t>
        </w:r>
        <w:r w:rsidR="002054CC">
          <w:rPr>
            <w:webHidden/>
          </w:rPr>
          <w:tab/>
        </w:r>
        <w:r w:rsidR="002054CC">
          <w:rPr>
            <w:webHidden/>
          </w:rPr>
          <w:fldChar w:fldCharType="begin"/>
        </w:r>
        <w:r w:rsidR="002054CC">
          <w:rPr>
            <w:webHidden/>
          </w:rPr>
          <w:instrText xml:space="preserve"> PAGEREF _Toc428279137 \h </w:instrText>
        </w:r>
        <w:r w:rsidR="002054CC">
          <w:rPr>
            <w:webHidden/>
          </w:rPr>
        </w:r>
        <w:r w:rsidR="002054CC">
          <w:rPr>
            <w:webHidden/>
          </w:rPr>
          <w:fldChar w:fldCharType="separate"/>
        </w:r>
        <w:r w:rsidR="00E621C6">
          <w:rPr>
            <w:webHidden/>
          </w:rPr>
          <w:t>8</w:t>
        </w:r>
        <w:r w:rsidR="002054CC">
          <w:rPr>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38" w:history="1">
        <w:r w:rsidR="002054CC" w:rsidRPr="00007B63">
          <w:rPr>
            <w:rStyle w:val="Hyperlink"/>
            <w:noProof/>
          </w:rPr>
          <w:t>Assessment and Compliance Division</w:t>
        </w:r>
        <w:r w:rsidR="002054CC">
          <w:rPr>
            <w:noProof/>
            <w:webHidden/>
          </w:rPr>
          <w:tab/>
        </w:r>
        <w:r w:rsidR="002054CC">
          <w:rPr>
            <w:noProof/>
            <w:webHidden/>
          </w:rPr>
          <w:fldChar w:fldCharType="begin"/>
        </w:r>
        <w:r w:rsidR="002054CC">
          <w:rPr>
            <w:noProof/>
            <w:webHidden/>
          </w:rPr>
          <w:instrText xml:space="preserve"> PAGEREF _Toc428279138 \h </w:instrText>
        </w:r>
        <w:r w:rsidR="002054CC">
          <w:rPr>
            <w:noProof/>
            <w:webHidden/>
          </w:rPr>
        </w:r>
        <w:r w:rsidR="002054CC">
          <w:rPr>
            <w:noProof/>
            <w:webHidden/>
          </w:rPr>
          <w:fldChar w:fldCharType="separate"/>
        </w:r>
        <w:r w:rsidR="00E621C6">
          <w:rPr>
            <w:noProof/>
            <w:webHidden/>
          </w:rPr>
          <w:t>8</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39" w:history="1">
        <w:r w:rsidR="002054CC" w:rsidRPr="00007B63">
          <w:rPr>
            <w:rStyle w:val="Hyperlink"/>
            <w:noProof/>
          </w:rPr>
          <w:t>Strategic Policy and Planning Division</w:t>
        </w:r>
        <w:r w:rsidR="002054CC">
          <w:rPr>
            <w:noProof/>
            <w:webHidden/>
          </w:rPr>
          <w:tab/>
        </w:r>
        <w:r w:rsidR="002054CC">
          <w:rPr>
            <w:noProof/>
            <w:webHidden/>
          </w:rPr>
          <w:fldChar w:fldCharType="begin"/>
        </w:r>
        <w:r w:rsidR="002054CC">
          <w:rPr>
            <w:noProof/>
            <w:webHidden/>
          </w:rPr>
          <w:instrText xml:space="preserve"> PAGEREF _Toc428279139 \h </w:instrText>
        </w:r>
        <w:r w:rsidR="002054CC">
          <w:rPr>
            <w:noProof/>
            <w:webHidden/>
          </w:rPr>
        </w:r>
        <w:r w:rsidR="002054CC">
          <w:rPr>
            <w:noProof/>
            <w:webHidden/>
          </w:rPr>
          <w:fldChar w:fldCharType="separate"/>
        </w:r>
        <w:r w:rsidR="00E621C6">
          <w:rPr>
            <w:noProof/>
            <w:webHidden/>
          </w:rPr>
          <w:t>9</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40" w:history="1">
        <w:r w:rsidR="002054CC" w:rsidRPr="00007B63">
          <w:rPr>
            <w:rStyle w:val="Hyperlink"/>
            <w:noProof/>
          </w:rPr>
          <w:t>Business Operations Division</w:t>
        </w:r>
        <w:r w:rsidR="002054CC">
          <w:rPr>
            <w:noProof/>
            <w:webHidden/>
          </w:rPr>
          <w:tab/>
        </w:r>
        <w:r w:rsidR="002054CC">
          <w:rPr>
            <w:noProof/>
            <w:webHidden/>
          </w:rPr>
          <w:fldChar w:fldCharType="begin"/>
        </w:r>
        <w:r w:rsidR="002054CC">
          <w:rPr>
            <w:noProof/>
            <w:webHidden/>
          </w:rPr>
          <w:instrText xml:space="preserve"> PAGEREF _Toc428279140 \h </w:instrText>
        </w:r>
        <w:r w:rsidR="002054CC">
          <w:rPr>
            <w:noProof/>
            <w:webHidden/>
          </w:rPr>
        </w:r>
        <w:r w:rsidR="002054CC">
          <w:rPr>
            <w:noProof/>
            <w:webHidden/>
          </w:rPr>
          <w:fldChar w:fldCharType="separate"/>
        </w:r>
        <w:r w:rsidR="00E621C6">
          <w:rPr>
            <w:noProof/>
            <w:webHidden/>
          </w:rPr>
          <w:t>9</w:t>
        </w:r>
        <w:r w:rsidR="002054CC">
          <w:rPr>
            <w:noProof/>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41" w:history="1">
        <w:r w:rsidR="002054CC" w:rsidRPr="00007B63">
          <w:rPr>
            <w:rStyle w:val="Hyperlink"/>
          </w:rPr>
          <w:t>Enabling legislation and the role of the OEPA</w:t>
        </w:r>
        <w:r w:rsidR="002054CC">
          <w:rPr>
            <w:webHidden/>
          </w:rPr>
          <w:tab/>
        </w:r>
        <w:r w:rsidR="002054CC">
          <w:rPr>
            <w:webHidden/>
          </w:rPr>
          <w:fldChar w:fldCharType="begin"/>
        </w:r>
        <w:r w:rsidR="002054CC">
          <w:rPr>
            <w:webHidden/>
          </w:rPr>
          <w:instrText xml:space="preserve"> PAGEREF _Toc428279141 \h </w:instrText>
        </w:r>
        <w:r w:rsidR="002054CC">
          <w:rPr>
            <w:webHidden/>
          </w:rPr>
        </w:r>
        <w:r w:rsidR="002054CC">
          <w:rPr>
            <w:webHidden/>
          </w:rPr>
          <w:fldChar w:fldCharType="separate"/>
        </w:r>
        <w:r w:rsidR="00E621C6">
          <w:rPr>
            <w:webHidden/>
          </w:rPr>
          <w:t>9</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42" w:history="1">
        <w:r w:rsidR="002054CC" w:rsidRPr="00007B63">
          <w:rPr>
            <w:rStyle w:val="Hyperlink"/>
          </w:rPr>
          <w:t>Enabling legislation</w:t>
        </w:r>
        <w:r w:rsidR="002054CC">
          <w:rPr>
            <w:webHidden/>
          </w:rPr>
          <w:tab/>
        </w:r>
        <w:r w:rsidR="002054CC">
          <w:rPr>
            <w:webHidden/>
          </w:rPr>
          <w:fldChar w:fldCharType="begin"/>
        </w:r>
        <w:r w:rsidR="002054CC">
          <w:rPr>
            <w:webHidden/>
          </w:rPr>
          <w:instrText xml:space="preserve"> PAGEREF _Toc428279142 \h </w:instrText>
        </w:r>
        <w:r w:rsidR="002054CC">
          <w:rPr>
            <w:webHidden/>
          </w:rPr>
        </w:r>
        <w:r w:rsidR="002054CC">
          <w:rPr>
            <w:webHidden/>
          </w:rPr>
          <w:fldChar w:fldCharType="separate"/>
        </w:r>
        <w:r w:rsidR="00E621C6">
          <w:rPr>
            <w:webHidden/>
          </w:rPr>
          <w:t>9</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43" w:history="1">
        <w:r w:rsidR="002054CC" w:rsidRPr="00007B63">
          <w:rPr>
            <w:rStyle w:val="Hyperlink"/>
          </w:rPr>
          <w:t>Responsible Minister</w:t>
        </w:r>
        <w:r w:rsidR="002054CC">
          <w:rPr>
            <w:webHidden/>
          </w:rPr>
          <w:tab/>
        </w:r>
        <w:r w:rsidR="002054CC">
          <w:rPr>
            <w:webHidden/>
          </w:rPr>
          <w:fldChar w:fldCharType="begin"/>
        </w:r>
        <w:r w:rsidR="002054CC">
          <w:rPr>
            <w:webHidden/>
          </w:rPr>
          <w:instrText xml:space="preserve"> PAGEREF _Toc428279143 \h </w:instrText>
        </w:r>
        <w:r w:rsidR="002054CC">
          <w:rPr>
            <w:webHidden/>
          </w:rPr>
        </w:r>
        <w:r w:rsidR="002054CC">
          <w:rPr>
            <w:webHidden/>
          </w:rPr>
          <w:fldChar w:fldCharType="separate"/>
        </w:r>
        <w:r w:rsidR="00E621C6">
          <w:rPr>
            <w:webHidden/>
          </w:rPr>
          <w:t>10</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44" w:history="1">
        <w:r w:rsidR="002054CC" w:rsidRPr="00007B63">
          <w:rPr>
            <w:rStyle w:val="Hyperlink"/>
          </w:rPr>
          <w:t>The role of the OEPA</w:t>
        </w:r>
        <w:r w:rsidR="002054CC">
          <w:rPr>
            <w:webHidden/>
          </w:rPr>
          <w:tab/>
        </w:r>
        <w:r w:rsidR="002054CC">
          <w:rPr>
            <w:webHidden/>
          </w:rPr>
          <w:fldChar w:fldCharType="begin"/>
        </w:r>
        <w:r w:rsidR="002054CC">
          <w:rPr>
            <w:webHidden/>
          </w:rPr>
          <w:instrText xml:space="preserve"> PAGEREF _Toc428279144 \h </w:instrText>
        </w:r>
        <w:r w:rsidR="002054CC">
          <w:rPr>
            <w:webHidden/>
          </w:rPr>
        </w:r>
        <w:r w:rsidR="002054CC">
          <w:rPr>
            <w:webHidden/>
          </w:rPr>
          <w:fldChar w:fldCharType="separate"/>
        </w:r>
        <w:r w:rsidR="00E621C6">
          <w:rPr>
            <w:webHidden/>
          </w:rPr>
          <w:t>10</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45" w:history="1">
        <w:r w:rsidR="002054CC" w:rsidRPr="00007B63">
          <w:rPr>
            <w:rStyle w:val="Hyperlink"/>
          </w:rPr>
          <w:t>Subsidiary legislation</w:t>
        </w:r>
        <w:r w:rsidR="002054CC">
          <w:rPr>
            <w:webHidden/>
          </w:rPr>
          <w:tab/>
        </w:r>
        <w:r w:rsidR="002054CC">
          <w:rPr>
            <w:webHidden/>
          </w:rPr>
          <w:fldChar w:fldCharType="begin"/>
        </w:r>
        <w:r w:rsidR="002054CC">
          <w:rPr>
            <w:webHidden/>
          </w:rPr>
          <w:instrText xml:space="preserve"> PAGEREF _Toc428279145 \h </w:instrText>
        </w:r>
        <w:r w:rsidR="002054CC">
          <w:rPr>
            <w:webHidden/>
          </w:rPr>
        </w:r>
        <w:r w:rsidR="002054CC">
          <w:rPr>
            <w:webHidden/>
          </w:rPr>
          <w:fldChar w:fldCharType="separate"/>
        </w:r>
        <w:r w:rsidR="00E621C6">
          <w:rPr>
            <w:webHidden/>
          </w:rPr>
          <w:t>10</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46" w:history="1">
        <w:r w:rsidR="002054CC" w:rsidRPr="00007B63">
          <w:rPr>
            <w:rStyle w:val="Hyperlink"/>
          </w:rPr>
          <w:t>Organisational structure</w:t>
        </w:r>
        <w:r w:rsidR="002054CC">
          <w:rPr>
            <w:webHidden/>
          </w:rPr>
          <w:tab/>
        </w:r>
        <w:r w:rsidR="002054CC">
          <w:rPr>
            <w:webHidden/>
          </w:rPr>
          <w:fldChar w:fldCharType="begin"/>
        </w:r>
        <w:r w:rsidR="002054CC">
          <w:rPr>
            <w:webHidden/>
          </w:rPr>
          <w:instrText xml:space="preserve"> PAGEREF _Toc428279146 \h </w:instrText>
        </w:r>
        <w:r w:rsidR="002054CC">
          <w:rPr>
            <w:webHidden/>
          </w:rPr>
        </w:r>
        <w:r w:rsidR="002054CC">
          <w:rPr>
            <w:webHidden/>
          </w:rPr>
          <w:fldChar w:fldCharType="separate"/>
        </w:r>
        <w:r w:rsidR="00E621C6">
          <w:rPr>
            <w:webHidden/>
          </w:rPr>
          <w:t>11</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47" w:history="1">
        <w:r w:rsidR="002054CC" w:rsidRPr="00007B63">
          <w:rPr>
            <w:rStyle w:val="Hyperlink"/>
          </w:rPr>
          <w:t>Our vision</w:t>
        </w:r>
        <w:r w:rsidR="002054CC">
          <w:rPr>
            <w:webHidden/>
          </w:rPr>
          <w:tab/>
        </w:r>
        <w:r w:rsidR="002054CC">
          <w:rPr>
            <w:webHidden/>
          </w:rPr>
          <w:fldChar w:fldCharType="begin"/>
        </w:r>
        <w:r w:rsidR="002054CC">
          <w:rPr>
            <w:webHidden/>
          </w:rPr>
          <w:instrText xml:space="preserve"> PAGEREF _Toc428279147 \h </w:instrText>
        </w:r>
        <w:r w:rsidR="002054CC">
          <w:rPr>
            <w:webHidden/>
          </w:rPr>
        </w:r>
        <w:r w:rsidR="002054CC">
          <w:rPr>
            <w:webHidden/>
          </w:rPr>
          <w:fldChar w:fldCharType="separate"/>
        </w:r>
        <w:r w:rsidR="00E621C6">
          <w:rPr>
            <w:webHidden/>
          </w:rPr>
          <w:t>12</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48" w:history="1">
        <w:r w:rsidR="002054CC" w:rsidRPr="00007B63">
          <w:rPr>
            <w:rStyle w:val="Hyperlink"/>
          </w:rPr>
          <w:t>Our purpose</w:t>
        </w:r>
        <w:r w:rsidR="002054CC">
          <w:rPr>
            <w:webHidden/>
          </w:rPr>
          <w:tab/>
        </w:r>
        <w:r w:rsidR="002054CC">
          <w:rPr>
            <w:webHidden/>
          </w:rPr>
          <w:fldChar w:fldCharType="begin"/>
        </w:r>
        <w:r w:rsidR="002054CC">
          <w:rPr>
            <w:webHidden/>
          </w:rPr>
          <w:instrText xml:space="preserve"> PAGEREF _Toc428279148 \h </w:instrText>
        </w:r>
        <w:r w:rsidR="002054CC">
          <w:rPr>
            <w:webHidden/>
          </w:rPr>
        </w:r>
        <w:r w:rsidR="002054CC">
          <w:rPr>
            <w:webHidden/>
          </w:rPr>
          <w:fldChar w:fldCharType="separate"/>
        </w:r>
        <w:r w:rsidR="00E621C6">
          <w:rPr>
            <w:webHidden/>
          </w:rPr>
          <w:t>12</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49" w:history="1">
        <w:r w:rsidR="002054CC" w:rsidRPr="00007B63">
          <w:rPr>
            <w:rStyle w:val="Hyperlink"/>
          </w:rPr>
          <w:t>Performance management framework</w:t>
        </w:r>
        <w:r w:rsidR="002054CC">
          <w:rPr>
            <w:webHidden/>
          </w:rPr>
          <w:tab/>
        </w:r>
        <w:r w:rsidR="002054CC">
          <w:rPr>
            <w:webHidden/>
          </w:rPr>
          <w:fldChar w:fldCharType="begin"/>
        </w:r>
        <w:r w:rsidR="002054CC">
          <w:rPr>
            <w:webHidden/>
          </w:rPr>
          <w:instrText xml:space="preserve"> PAGEREF _Toc428279149 \h </w:instrText>
        </w:r>
        <w:r w:rsidR="002054CC">
          <w:rPr>
            <w:webHidden/>
          </w:rPr>
        </w:r>
        <w:r w:rsidR="002054CC">
          <w:rPr>
            <w:webHidden/>
          </w:rPr>
          <w:fldChar w:fldCharType="separate"/>
        </w:r>
        <w:r w:rsidR="00E621C6">
          <w:rPr>
            <w:webHidden/>
          </w:rPr>
          <w:t>12</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50" w:history="1">
        <w:r w:rsidR="002054CC" w:rsidRPr="00007B63">
          <w:rPr>
            <w:rStyle w:val="Hyperlink"/>
          </w:rPr>
          <w:t>Changes to Outcome Based Management Framework</w:t>
        </w:r>
        <w:r w:rsidR="002054CC">
          <w:rPr>
            <w:webHidden/>
          </w:rPr>
          <w:tab/>
        </w:r>
        <w:r w:rsidR="002054CC">
          <w:rPr>
            <w:webHidden/>
          </w:rPr>
          <w:fldChar w:fldCharType="begin"/>
        </w:r>
        <w:r w:rsidR="002054CC">
          <w:rPr>
            <w:webHidden/>
          </w:rPr>
          <w:instrText xml:space="preserve"> PAGEREF _Toc428279150 \h </w:instrText>
        </w:r>
        <w:r w:rsidR="002054CC">
          <w:rPr>
            <w:webHidden/>
          </w:rPr>
        </w:r>
        <w:r w:rsidR="002054CC">
          <w:rPr>
            <w:webHidden/>
          </w:rPr>
          <w:fldChar w:fldCharType="separate"/>
        </w:r>
        <w:r w:rsidR="00E621C6">
          <w:rPr>
            <w:webHidden/>
          </w:rPr>
          <w:t>14</w:t>
        </w:r>
        <w:r w:rsidR="002054CC">
          <w:rPr>
            <w:webHidden/>
          </w:rPr>
          <w:fldChar w:fldCharType="end"/>
        </w:r>
      </w:hyperlink>
    </w:p>
    <w:p w:rsidR="002054CC" w:rsidRPr="002054CC" w:rsidRDefault="00921835" w:rsidP="00671CBA">
      <w:pPr>
        <w:pStyle w:val="TOC1"/>
        <w:rPr>
          <w:rFonts w:eastAsiaTheme="minorEastAsia"/>
          <w:color w:val="auto"/>
          <w:sz w:val="22"/>
          <w:szCs w:val="22"/>
          <w:lang w:eastAsia="en-AU"/>
        </w:rPr>
      </w:pPr>
      <w:hyperlink r:id="rId30" w:anchor="_Toc428279151" w:history="1">
        <w:r w:rsidR="000558AD">
          <w:rPr>
            <w:rStyle w:val="Hyperlink"/>
            <w:color w:val="2F5E9D" w:themeColor="accent1"/>
          </w:rPr>
          <w:t>AGENCY PERFORMANCE</w:t>
        </w:r>
        <w:r w:rsidR="002054CC" w:rsidRPr="002054CC">
          <w:rPr>
            <w:webHidden/>
            <w:color w:val="2F5E9D" w:themeColor="accent1"/>
          </w:rPr>
          <w:tab/>
        </w:r>
        <w:r w:rsidR="002054CC" w:rsidRPr="002054CC">
          <w:rPr>
            <w:webHidden/>
            <w:color w:val="2F5E9D" w:themeColor="accent1"/>
          </w:rPr>
          <w:fldChar w:fldCharType="begin"/>
        </w:r>
        <w:r w:rsidR="002054CC" w:rsidRPr="002054CC">
          <w:rPr>
            <w:webHidden/>
            <w:color w:val="2F5E9D" w:themeColor="accent1"/>
          </w:rPr>
          <w:instrText xml:space="preserve"> PAGEREF _Toc428279151 \h </w:instrText>
        </w:r>
        <w:r w:rsidR="002054CC" w:rsidRPr="002054CC">
          <w:rPr>
            <w:webHidden/>
            <w:color w:val="2F5E9D" w:themeColor="accent1"/>
          </w:rPr>
        </w:r>
        <w:r w:rsidR="002054CC" w:rsidRPr="002054CC">
          <w:rPr>
            <w:webHidden/>
            <w:color w:val="2F5E9D" w:themeColor="accent1"/>
          </w:rPr>
          <w:fldChar w:fldCharType="separate"/>
        </w:r>
        <w:r w:rsidR="00E621C6">
          <w:rPr>
            <w:webHidden/>
            <w:color w:val="2F5E9D" w:themeColor="accent1"/>
          </w:rPr>
          <w:t>15</w:t>
        </w:r>
        <w:r w:rsidR="002054CC" w:rsidRPr="002054CC">
          <w:rPr>
            <w:webHidden/>
            <w:color w:val="2F5E9D" w:themeColor="accent1"/>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52" w:history="1">
        <w:r w:rsidR="002054CC" w:rsidRPr="00007B63">
          <w:rPr>
            <w:rStyle w:val="Hyperlink"/>
          </w:rPr>
          <w:t>Report on operations</w:t>
        </w:r>
        <w:r w:rsidR="002054CC">
          <w:rPr>
            <w:webHidden/>
          </w:rPr>
          <w:tab/>
        </w:r>
        <w:r w:rsidR="002054CC">
          <w:rPr>
            <w:webHidden/>
          </w:rPr>
          <w:fldChar w:fldCharType="begin"/>
        </w:r>
        <w:r w:rsidR="002054CC">
          <w:rPr>
            <w:webHidden/>
          </w:rPr>
          <w:instrText xml:space="preserve"> PAGEREF _Toc428279152 \h </w:instrText>
        </w:r>
        <w:r w:rsidR="002054CC">
          <w:rPr>
            <w:webHidden/>
          </w:rPr>
        </w:r>
        <w:r w:rsidR="002054CC">
          <w:rPr>
            <w:webHidden/>
          </w:rPr>
          <w:fldChar w:fldCharType="separate"/>
        </w:r>
        <w:r w:rsidR="00E621C6">
          <w:rPr>
            <w:webHidden/>
          </w:rPr>
          <w:t>15</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53" w:history="1">
        <w:r w:rsidR="002054CC" w:rsidRPr="00007B63">
          <w:rPr>
            <w:rStyle w:val="Hyperlink"/>
          </w:rPr>
          <w:t>Service 1: Environmental impact assessment services to the EPA</w:t>
        </w:r>
        <w:r w:rsidR="002054CC">
          <w:rPr>
            <w:webHidden/>
          </w:rPr>
          <w:tab/>
        </w:r>
        <w:r w:rsidR="002054CC">
          <w:rPr>
            <w:webHidden/>
          </w:rPr>
          <w:fldChar w:fldCharType="begin"/>
        </w:r>
        <w:r w:rsidR="002054CC">
          <w:rPr>
            <w:webHidden/>
          </w:rPr>
          <w:instrText xml:space="preserve"> PAGEREF _Toc428279153 \h </w:instrText>
        </w:r>
        <w:r w:rsidR="002054CC">
          <w:rPr>
            <w:webHidden/>
          </w:rPr>
        </w:r>
        <w:r w:rsidR="002054CC">
          <w:rPr>
            <w:webHidden/>
          </w:rPr>
          <w:fldChar w:fldCharType="separate"/>
        </w:r>
        <w:r w:rsidR="00E621C6">
          <w:rPr>
            <w:webHidden/>
          </w:rPr>
          <w:t>15</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55" w:history="1">
        <w:r w:rsidR="002054CC" w:rsidRPr="00007B63">
          <w:rPr>
            <w:rStyle w:val="Hyperlink"/>
          </w:rPr>
          <w:t>Environmental impact assessment of mining proposals</w:t>
        </w:r>
        <w:r w:rsidR="002054CC">
          <w:rPr>
            <w:webHidden/>
          </w:rPr>
          <w:tab/>
        </w:r>
        <w:r w:rsidR="002054CC">
          <w:rPr>
            <w:webHidden/>
          </w:rPr>
          <w:fldChar w:fldCharType="begin"/>
        </w:r>
        <w:r w:rsidR="002054CC">
          <w:rPr>
            <w:webHidden/>
          </w:rPr>
          <w:instrText xml:space="preserve"> PAGEREF _Toc428279155 \h </w:instrText>
        </w:r>
        <w:r w:rsidR="002054CC">
          <w:rPr>
            <w:webHidden/>
          </w:rPr>
        </w:r>
        <w:r w:rsidR="002054CC">
          <w:rPr>
            <w:webHidden/>
          </w:rPr>
          <w:fldChar w:fldCharType="separate"/>
        </w:r>
        <w:r w:rsidR="00E621C6">
          <w:rPr>
            <w:webHidden/>
          </w:rPr>
          <w:t>18</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56" w:history="1">
        <w:r w:rsidR="002054CC" w:rsidRPr="00007B63">
          <w:rPr>
            <w:rStyle w:val="Hyperlink"/>
          </w:rPr>
          <w:t>Overview</w:t>
        </w:r>
        <w:r w:rsidR="002054CC">
          <w:rPr>
            <w:webHidden/>
          </w:rPr>
          <w:tab/>
        </w:r>
        <w:r w:rsidR="002054CC">
          <w:rPr>
            <w:webHidden/>
          </w:rPr>
          <w:fldChar w:fldCharType="begin"/>
        </w:r>
        <w:r w:rsidR="002054CC">
          <w:rPr>
            <w:webHidden/>
          </w:rPr>
          <w:instrText xml:space="preserve"> PAGEREF _Toc428279156 \h </w:instrText>
        </w:r>
        <w:r w:rsidR="002054CC">
          <w:rPr>
            <w:webHidden/>
          </w:rPr>
        </w:r>
        <w:r w:rsidR="002054CC">
          <w:rPr>
            <w:webHidden/>
          </w:rPr>
          <w:fldChar w:fldCharType="separate"/>
        </w:r>
        <w:r w:rsidR="00E621C6">
          <w:rPr>
            <w:webHidden/>
          </w:rPr>
          <w:t>18</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57" w:history="1">
        <w:r w:rsidR="002054CC" w:rsidRPr="00007B63">
          <w:rPr>
            <w:rStyle w:val="Hyperlink"/>
          </w:rPr>
          <w:t>Case Study</w:t>
        </w:r>
        <w:r w:rsidR="002054CC">
          <w:rPr>
            <w:webHidden/>
          </w:rPr>
          <w:tab/>
        </w:r>
        <w:r w:rsidR="002054CC">
          <w:rPr>
            <w:webHidden/>
          </w:rPr>
          <w:fldChar w:fldCharType="begin"/>
        </w:r>
        <w:r w:rsidR="002054CC">
          <w:rPr>
            <w:webHidden/>
          </w:rPr>
          <w:instrText xml:space="preserve"> PAGEREF _Toc428279157 \h </w:instrText>
        </w:r>
        <w:r w:rsidR="002054CC">
          <w:rPr>
            <w:webHidden/>
          </w:rPr>
        </w:r>
        <w:r w:rsidR="002054CC">
          <w:rPr>
            <w:webHidden/>
          </w:rPr>
          <w:fldChar w:fldCharType="separate"/>
        </w:r>
        <w:r w:rsidR="00E621C6">
          <w:rPr>
            <w:webHidden/>
          </w:rPr>
          <w:t>19</w:t>
        </w:r>
        <w:r w:rsidR="002054CC">
          <w:rPr>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58" w:history="1">
        <w:r w:rsidR="002054CC" w:rsidRPr="00007B63">
          <w:rPr>
            <w:rStyle w:val="Hyperlink"/>
            <w:noProof/>
          </w:rPr>
          <w:t>Koodaideri iron ore and infrastructure project</w:t>
        </w:r>
        <w:r w:rsidR="002054CC">
          <w:rPr>
            <w:noProof/>
            <w:webHidden/>
          </w:rPr>
          <w:tab/>
        </w:r>
        <w:r w:rsidR="002054CC">
          <w:rPr>
            <w:noProof/>
            <w:webHidden/>
          </w:rPr>
          <w:fldChar w:fldCharType="begin"/>
        </w:r>
        <w:r w:rsidR="002054CC">
          <w:rPr>
            <w:noProof/>
            <w:webHidden/>
          </w:rPr>
          <w:instrText xml:space="preserve"> PAGEREF _Toc428279158 \h </w:instrText>
        </w:r>
        <w:r w:rsidR="002054CC">
          <w:rPr>
            <w:noProof/>
            <w:webHidden/>
          </w:rPr>
        </w:r>
        <w:r w:rsidR="002054CC">
          <w:rPr>
            <w:noProof/>
            <w:webHidden/>
          </w:rPr>
          <w:fldChar w:fldCharType="separate"/>
        </w:r>
        <w:r w:rsidR="00E621C6">
          <w:rPr>
            <w:noProof/>
            <w:webHidden/>
          </w:rPr>
          <w:t>19</w:t>
        </w:r>
        <w:r w:rsidR="002054CC">
          <w:rPr>
            <w:noProof/>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59" w:history="1">
        <w:r w:rsidR="002054CC" w:rsidRPr="00007B63">
          <w:rPr>
            <w:rStyle w:val="Hyperlink"/>
          </w:rPr>
          <w:t>Environmental impact assessment of industrial proposals</w:t>
        </w:r>
        <w:r w:rsidR="002054CC">
          <w:rPr>
            <w:webHidden/>
          </w:rPr>
          <w:tab/>
        </w:r>
        <w:r w:rsidR="002054CC">
          <w:rPr>
            <w:webHidden/>
          </w:rPr>
          <w:fldChar w:fldCharType="begin"/>
        </w:r>
        <w:r w:rsidR="002054CC">
          <w:rPr>
            <w:webHidden/>
          </w:rPr>
          <w:instrText xml:space="preserve"> PAGEREF _Toc428279159 \h </w:instrText>
        </w:r>
        <w:r w:rsidR="002054CC">
          <w:rPr>
            <w:webHidden/>
          </w:rPr>
        </w:r>
        <w:r w:rsidR="002054CC">
          <w:rPr>
            <w:webHidden/>
          </w:rPr>
          <w:fldChar w:fldCharType="separate"/>
        </w:r>
        <w:r w:rsidR="00E621C6">
          <w:rPr>
            <w:webHidden/>
          </w:rPr>
          <w:t>21</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60" w:history="1">
        <w:r w:rsidR="002054CC" w:rsidRPr="00007B63">
          <w:rPr>
            <w:rStyle w:val="Hyperlink"/>
          </w:rPr>
          <w:t>Overview</w:t>
        </w:r>
        <w:r w:rsidR="002054CC">
          <w:rPr>
            <w:webHidden/>
          </w:rPr>
          <w:tab/>
        </w:r>
        <w:r w:rsidR="002054CC">
          <w:rPr>
            <w:webHidden/>
          </w:rPr>
          <w:fldChar w:fldCharType="begin"/>
        </w:r>
        <w:r w:rsidR="002054CC">
          <w:rPr>
            <w:webHidden/>
          </w:rPr>
          <w:instrText xml:space="preserve"> PAGEREF _Toc428279160 \h </w:instrText>
        </w:r>
        <w:r w:rsidR="002054CC">
          <w:rPr>
            <w:webHidden/>
          </w:rPr>
        </w:r>
        <w:r w:rsidR="002054CC">
          <w:rPr>
            <w:webHidden/>
          </w:rPr>
          <w:fldChar w:fldCharType="separate"/>
        </w:r>
        <w:r w:rsidR="00E621C6">
          <w:rPr>
            <w:webHidden/>
          </w:rPr>
          <w:t>21</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61" w:history="1">
        <w:r w:rsidR="002054CC" w:rsidRPr="00007B63">
          <w:rPr>
            <w:rStyle w:val="Hyperlink"/>
          </w:rPr>
          <w:t>Case Study</w:t>
        </w:r>
        <w:r w:rsidR="002054CC">
          <w:rPr>
            <w:webHidden/>
          </w:rPr>
          <w:tab/>
        </w:r>
        <w:r w:rsidR="002054CC">
          <w:rPr>
            <w:webHidden/>
          </w:rPr>
          <w:fldChar w:fldCharType="begin"/>
        </w:r>
        <w:r w:rsidR="002054CC">
          <w:rPr>
            <w:webHidden/>
          </w:rPr>
          <w:instrText xml:space="preserve"> PAGEREF _Toc428279161 \h </w:instrText>
        </w:r>
        <w:r w:rsidR="002054CC">
          <w:rPr>
            <w:webHidden/>
          </w:rPr>
        </w:r>
        <w:r w:rsidR="002054CC">
          <w:rPr>
            <w:webHidden/>
          </w:rPr>
          <w:fldChar w:fldCharType="separate"/>
        </w:r>
        <w:r w:rsidR="00E621C6">
          <w:rPr>
            <w:webHidden/>
          </w:rPr>
          <w:t>22</w:t>
        </w:r>
        <w:r w:rsidR="002054CC">
          <w:rPr>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62" w:history="1">
        <w:r w:rsidR="002054CC" w:rsidRPr="00007B63">
          <w:rPr>
            <w:rStyle w:val="Hyperlink"/>
            <w:noProof/>
          </w:rPr>
          <w:t>Kwinana Waste to Energy Project</w:t>
        </w:r>
        <w:r w:rsidR="002054CC">
          <w:rPr>
            <w:noProof/>
            <w:webHidden/>
          </w:rPr>
          <w:tab/>
        </w:r>
        <w:r w:rsidR="002054CC">
          <w:rPr>
            <w:noProof/>
            <w:webHidden/>
          </w:rPr>
          <w:fldChar w:fldCharType="begin"/>
        </w:r>
        <w:r w:rsidR="002054CC">
          <w:rPr>
            <w:noProof/>
            <w:webHidden/>
          </w:rPr>
          <w:instrText xml:space="preserve"> PAGEREF _Toc428279162 \h </w:instrText>
        </w:r>
        <w:r w:rsidR="002054CC">
          <w:rPr>
            <w:noProof/>
            <w:webHidden/>
          </w:rPr>
        </w:r>
        <w:r w:rsidR="002054CC">
          <w:rPr>
            <w:noProof/>
            <w:webHidden/>
          </w:rPr>
          <w:fldChar w:fldCharType="separate"/>
        </w:r>
        <w:r w:rsidR="00E621C6">
          <w:rPr>
            <w:noProof/>
            <w:webHidden/>
          </w:rPr>
          <w:t>22</w:t>
        </w:r>
        <w:r w:rsidR="002054CC">
          <w:rPr>
            <w:noProof/>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63" w:history="1">
        <w:r w:rsidR="002054CC" w:rsidRPr="00007B63">
          <w:rPr>
            <w:rStyle w:val="Hyperlink"/>
          </w:rPr>
          <w:t>Environmental impact assessment of infrastructure proposals</w:t>
        </w:r>
        <w:r w:rsidR="002054CC">
          <w:rPr>
            <w:webHidden/>
          </w:rPr>
          <w:tab/>
        </w:r>
        <w:r w:rsidR="002054CC">
          <w:rPr>
            <w:webHidden/>
          </w:rPr>
          <w:fldChar w:fldCharType="begin"/>
        </w:r>
        <w:r w:rsidR="002054CC">
          <w:rPr>
            <w:webHidden/>
          </w:rPr>
          <w:instrText xml:space="preserve"> PAGEREF _Toc428279163 \h </w:instrText>
        </w:r>
        <w:r w:rsidR="002054CC">
          <w:rPr>
            <w:webHidden/>
          </w:rPr>
        </w:r>
        <w:r w:rsidR="002054CC">
          <w:rPr>
            <w:webHidden/>
          </w:rPr>
          <w:fldChar w:fldCharType="separate"/>
        </w:r>
        <w:r w:rsidR="00E621C6">
          <w:rPr>
            <w:webHidden/>
          </w:rPr>
          <w:t>23</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64" w:history="1">
        <w:r w:rsidR="002054CC" w:rsidRPr="00007B63">
          <w:rPr>
            <w:rStyle w:val="Hyperlink"/>
          </w:rPr>
          <w:t>Overview</w:t>
        </w:r>
        <w:r w:rsidR="002054CC">
          <w:rPr>
            <w:webHidden/>
          </w:rPr>
          <w:tab/>
        </w:r>
        <w:r w:rsidR="002054CC">
          <w:rPr>
            <w:webHidden/>
          </w:rPr>
          <w:fldChar w:fldCharType="begin"/>
        </w:r>
        <w:r w:rsidR="002054CC">
          <w:rPr>
            <w:webHidden/>
          </w:rPr>
          <w:instrText xml:space="preserve"> PAGEREF _Toc428279164 \h </w:instrText>
        </w:r>
        <w:r w:rsidR="002054CC">
          <w:rPr>
            <w:webHidden/>
          </w:rPr>
        </w:r>
        <w:r w:rsidR="002054CC">
          <w:rPr>
            <w:webHidden/>
          </w:rPr>
          <w:fldChar w:fldCharType="separate"/>
        </w:r>
        <w:r w:rsidR="00E621C6">
          <w:rPr>
            <w:webHidden/>
          </w:rPr>
          <w:t>23</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65" w:history="1">
        <w:r w:rsidR="002054CC" w:rsidRPr="00007B63">
          <w:rPr>
            <w:rStyle w:val="Hyperlink"/>
          </w:rPr>
          <w:t>Case Study</w:t>
        </w:r>
        <w:r w:rsidR="002054CC">
          <w:rPr>
            <w:webHidden/>
          </w:rPr>
          <w:tab/>
        </w:r>
        <w:r w:rsidR="002054CC">
          <w:rPr>
            <w:webHidden/>
          </w:rPr>
          <w:fldChar w:fldCharType="begin"/>
        </w:r>
        <w:r w:rsidR="002054CC">
          <w:rPr>
            <w:webHidden/>
          </w:rPr>
          <w:instrText xml:space="preserve"> PAGEREF _Toc428279165 \h </w:instrText>
        </w:r>
        <w:r w:rsidR="002054CC">
          <w:rPr>
            <w:webHidden/>
          </w:rPr>
        </w:r>
        <w:r w:rsidR="002054CC">
          <w:rPr>
            <w:webHidden/>
          </w:rPr>
          <w:fldChar w:fldCharType="separate"/>
        </w:r>
        <w:r w:rsidR="00E621C6">
          <w:rPr>
            <w:webHidden/>
          </w:rPr>
          <w:t>24</w:t>
        </w:r>
        <w:r w:rsidR="002054CC">
          <w:rPr>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66" w:history="1">
        <w:r w:rsidR="002054CC" w:rsidRPr="00007B63">
          <w:rPr>
            <w:rStyle w:val="Hyperlink"/>
            <w:noProof/>
          </w:rPr>
          <w:t>Balla Balla Infrastructure – Rail and Conveyor Project</w:t>
        </w:r>
        <w:r w:rsidR="002054CC">
          <w:rPr>
            <w:noProof/>
            <w:webHidden/>
          </w:rPr>
          <w:tab/>
        </w:r>
        <w:r w:rsidR="002054CC">
          <w:rPr>
            <w:noProof/>
            <w:webHidden/>
          </w:rPr>
          <w:fldChar w:fldCharType="begin"/>
        </w:r>
        <w:r w:rsidR="002054CC">
          <w:rPr>
            <w:noProof/>
            <w:webHidden/>
          </w:rPr>
          <w:instrText xml:space="preserve"> PAGEREF _Toc428279166 \h </w:instrText>
        </w:r>
        <w:r w:rsidR="002054CC">
          <w:rPr>
            <w:noProof/>
            <w:webHidden/>
          </w:rPr>
        </w:r>
        <w:r w:rsidR="002054CC">
          <w:rPr>
            <w:noProof/>
            <w:webHidden/>
          </w:rPr>
          <w:fldChar w:fldCharType="separate"/>
        </w:r>
        <w:r w:rsidR="00E621C6">
          <w:rPr>
            <w:noProof/>
            <w:webHidden/>
          </w:rPr>
          <w:t>24</w:t>
        </w:r>
        <w:r w:rsidR="002054CC">
          <w:rPr>
            <w:noProof/>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67" w:history="1">
        <w:r w:rsidR="002054CC" w:rsidRPr="00007B63">
          <w:rPr>
            <w:rStyle w:val="Hyperlink"/>
          </w:rPr>
          <w:t xml:space="preserve">Environmental impact assessment of planning schemes </w:t>
        </w:r>
        <w:r w:rsidR="00B41C73">
          <w:rPr>
            <w:rStyle w:val="Hyperlink"/>
          </w:rPr>
          <w:br/>
        </w:r>
        <w:r w:rsidR="002054CC" w:rsidRPr="00007B63">
          <w:rPr>
            <w:rStyle w:val="Hyperlink"/>
          </w:rPr>
          <w:t>and scheme amendments</w:t>
        </w:r>
        <w:r w:rsidR="002054CC">
          <w:rPr>
            <w:webHidden/>
          </w:rPr>
          <w:tab/>
        </w:r>
        <w:r w:rsidR="002054CC">
          <w:rPr>
            <w:webHidden/>
          </w:rPr>
          <w:fldChar w:fldCharType="begin"/>
        </w:r>
        <w:r w:rsidR="002054CC">
          <w:rPr>
            <w:webHidden/>
          </w:rPr>
          <w:instrText xml:space="preserve"> PAGEREF _Toc428279167 \h </w:instrText>
        </w:r>
        <w:r w:rsidR="002054CC">
          <w:rPr>
            <w:webHidden/>
          </w:rPr>
        </w:r>
        <w:r w:rsidR="002054CC">
          <w:rPr>
            <w:webHidden/>
          </w:rPr>
          <w:fldChar w:fldCharType="separate"/>
        </w:r>
        <w:r w:rsidR="00E621C6">
          <w:rPr>
            <w:webHidden/>
          </w:rPr>
          <w:t>26</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68" w:history="1">
        <w:r w:rsidR="002054CC" w:rsidRPr="00007B63">
          <w:rPr>
            <w:rStyle w:val="Hyperlink"/>
          </w:rPr>
          <w:t>Post assessment</w:t>
        </w:r>
        <w:r w:rsidR="002054CC">
          <w:rPr>
            <w:webHidden/>
          </w:rPr>
          <w:tab/>
        </w:r>
        <w:r w:rsidR="002054CC">
          <w:rPr>
            <w:webHidden/>
          </w:rPr>
          <w:fldChar w:fldCharType="begin"/>
        </w:r>
        <w:r w:rsidR="002054CC">
          <w:rPr>
            <w:webHidden/>
          </w:rPr>
          <w:instrText xml:space="preserve"> PAGEREF _Toc428279168 \h </w:instrText>
        </w:r>
        <w:r w:rsidR="002054CC">
          <w:rPr>
            <w:webHidden/>
          </w:rPr>
        </w:r>
        <w:r w:rsidR="002054CC">
          <w:rPr>
            <w:webHidden/>
          </w:rPr>
          <w:fldChar w:fldCharType="separate"/>
        </w:r>
        <w:r w:rsidR="00E621C6">
          <w:rPr>
            <w:webHidden/>
          </w:rPr>
          <w:t>26</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69" w:history="1">
        <w:r w:rsidR="002054CC" w:rsidRPr="00007B63">
          <w:rPr>
            <w:rStyle w:val="Hyperlink"/>
            <w:lang w:val="en-US"/>
          </w:rPr>
          <w:t>Changes to proposals – Section 45C</w:t>
        </w:r>
        <w:r w:rsidR="002054CC">
          <w:rPr>
            <w:webHidden/>
          </w:rPr>
          <w:tab/>
        </w:r>
        <w:r w:rsidR="002054CC">
          <w:rPr>
            <w:webHidden/>
          </w:rPr>
          <w:fldChar w:fldCharType="begin"/>
        </w:r>
        <w:r w:rsidR="002054CC">
          <w:rPr>
            <w:webHidden/>
          </w:rPr>
          <w:instrText xml:space="preserve"> PAGEREF _Toc428279169 \h </w:instrText>
        </w:r>
        <w:r w:rsidR="002054CC">
          <w:rPr>
            <w:webHidden/>
          </w:rPr>
        </w:r>
        <w:r w:rsidR="002054CC">
          <w:rPr>
            <w:webHidden/>
          </w:rPr>
          <w:fldChar w:fldCharType="separate"/>
        </w:r>
        <w:r w:rsidR="00E621C6">
          <w:rPr>
            <w:webHidden/>
          </w:rPr>
          <w:t>27</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70" w:history="1">
        <w:r w:rsidR="002054CC" w:rsidRPr="00007B63">
          <w:rPr>
            <w:rStyle w:val="Hyperlink"/>
          </w:rPr>
          <w:t>Amendment of implementation conditions – Section 46</w:t>
        </w:r>
        <w:r w:rsidR="002054CC">
          <w:rPr>
            <w:webHidden/>
          </w:rPr>
          <w:tab/>
        </w:r>
        <w:r w:rsidR="002054CC">
          <w:rPr>
            <w:webHidden/>
          </w:rPr>
          <w:fldChar w:fldCharType="begin"/>
        </w:r>
        <w:r w:rsidR="002054CC">
          <w:rPr>
            <w:webHidden/>
          </w:rPr>
          <w:instrText xml:space="preserve"> PAGEREF _Toc428279170 \h </w:instrText>
        </w:r>
        <w:r w:rsidR="002054CC">
          <w:rPr>
            <w:webHidden/>
          </w:rPr>
        </w:r>
        <w:r w:rsidR="002054CC">
          <w:rPr>
            <w:webHidden/>
          </w:rPr>
          <w:fldChar w:fldCharType="separate"/>
        </w:r>
        <w:r w:rsidR="00E621C6">
          <w:rPr>
            <w:webHidden/>
          </w:rPr>
          <w:t>27</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71" w:history="1">
        <w:r w:rsidR="002054CC" w:rsidRPr="00007B63">
          <w:rPr>
            <w:rStyle w:val="Hyperlink"/>
          </w:rPr>
          <w:t>Minor changes to Implementation Conditions – Section 46C</w:t>
        </w:r>
        <w:r w:rsidR="002054CC">
          <w:rPr>
            <w:webHidden/>
          </w:rPr>
          <w:tab/>
        </w:r>
        <w:r w:rsidR="002054CC">
          <w:rPr>
            <w:webHidden/>
          </w:rPr>
          <w:fldChar w:fldCharType="begin"/>
        </w:r>
        <w:r w:rsidR="002054CC">
          <w:rPr>
            <w:webHidden/>
          </w:rPr>
          <w:instrText xml:space="preserve"> PAGEREF _Toc428279171 \h </w:instrText>
        </w:r>
        <w:r w:rsidR="002054CC">
          <w:rPr>
            <w:webHidden/>
          </w:rPr>
        </w:r>
        <w:r w:rsidR="002054CC">
          <w:rPr>
            <w:webHidden/>
          </w:rPr>
          <w:fldChar w:fldCharType="separate"/>
        </w:r>
        <w:r w:rsidR="00E621C6">
          <w:rPr>
            <w:webHidden/>
          </w:rPr>
          <w:t>27</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72" w:history="1">
        <w:r w:rsidR="002054CC" w:rsidRPr="00007B63">
          <w:rPr>
            <w:rStyle w:val="Hyperlink"/>
          </w:rPr>
          <w:t>Service 2: Environmental management services to the EPA</w:t>
        </w:r>
        <w:r w:rsidR="002054CC">
          <w:rPr>
            <w:webHidden/>
          </w:rPr>
          <w:tab/>
        </w:r>
        <w:r w:rsidR="002054CC">
          <w:rPr>
            <w:webHidden/>
          </w:rPr>
          <w:fldChar w:fldCharType="begin"/>
        </w:r>
        <w:r w:rsidR="002054CC">
          <w:rPr>
            <w:webHidden/>
          </w:rPr>
          <w:instrText xml:space="preserve"> PAGEREF _Toc428279172 \h </w:instrText>
        </w:r>
        <w:r w:rsidR="002054CC">
          <w:rPr>
            <w:webHidden/>
          </w:rPr>
        </w:r>
        <w:r w:rsidR="002054CC">
          <w:rPr>
            <w:webHidden/>
          </w:rPr>
          <w:fldChar w:fldCharType="separate"/>
        </w:r>
        <w:r w:rsidR="00E621C6">
          <w:rPr>
            <w:webHidden/>
          </w:rPr>
          <w:t>29</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74" w:history="1">
        <w:r w:rsidR="002054CC" w:rsidRPr="00007B63">
          <w:rPr>
            <w:rStyle w:val="Hyperlink"/>
          </w:rPr>
          <w:t>Policy and guidance</w:t>
        </w:r>
        <w:r w:rsidR="002054CC">
          <w:rPr>
            <w:webHidden/>
          </w:rPr>
          <w:tab/>
        </w:r>
        <w:r w:rsidR="002054CC">
          <w:rPr>
            <w:webHidden/>
          </w:rPr>
          <w:fldChar w:fldCharType="begin"/>
        </w:r>
        <w:r w:rsidR="002054CC">
          <w:rPr>
            <w:webHidden/>
          </w:rPr>
          <w:instrText xml:space="preserve"> PAGEREF _Toc428279174 \h </w:instrText>
        </w:r>
        <w:r w:rsidR="002054CC">
          <w:rPr>
            <w:webHidden/>
          </w:rPr>
        </w:r>
        <w:r w:rsidR="002054CC">
          <w:rPr>
            <w:webHidden/>
          </w:rPr>
          <w:fldChar w:fldCharType="separate"/>
        </w:r>
        <w:r w:rsidR="00E621C6">
          <w:rPr>
            <w:webHidden/>
          </w:rPr>
          <w:t>30</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75" w:history="1">
        <w:r w:rsidR="002054CC" w:rsidRPr="00007B63">
          <w:rPr>
            <w:rStyle w:val="Hyperlink"/>
          </w:rPr>
          <w:t>Bilateral Agreement</w:t>
        </w:r>
        <w:r w:rsidR="002054CC">
          <w:rPr>
            <w:webHidden/>
          </w:rPr>
          <w:tab/>
        </w:r>
        <w:r w:rsidR="002054CC">
          <w:rPr>
            <w:webHidden/>
          </w:rPr>
          <w:fldChar w:fldCharType="begin"/>
        </w:r>
        <w:r w:rsidR="002054CC">
          <w:rPr>
            <w:webHidden/>
          </w:rPr>
          <w:instrText xml:space="preserve"> PAGEREF _Toc428279175 \h </w:instrText>
        </w:r>
        <w:r w:rsidR="002054CC">
          <w:rPr>
            <w:webHidden/>
          </w:rPr>
        </w:r>
        <w:r w:rsidR="002054CC">
          <w:rPr>
            <w:webHidden/>
          </w:rPr>
          <w:fldChar w:fldCharType="separate"/>
        </w:r>
        <w:r w:rsidR="00E621C6">
          <w:rPr>
            <w:webHidden/>
          </w:rPr>
          <w:t>30</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76" w:history="1">
        <w:r w:rsidR="002054CC" w:rsidRPr="00007B63">
          <w:rPr>
            <w:rStyle w:val="Hyperlink"/>
          </w:rPr>
          <w:t>Perth-Peel strategic assessment</w:t>
        </w:r>
        <w:r w:rsidR="002054CC">
          <w:rPr>
            <w:webHidden/>
          </w:rPr>
          <w:tab/>
        </w:r>
        <w:r w:rsidR="002054CC">
          <w:rPr>
            <w:webHidden/>
          </w:rPr>
          <w:fldChar w:fldCharType="begin"/>
        </w:r>
        <w:r w:rsidR="002054CC">
          <w:rPr>
            <w:webHidden/>
          </w:rPr>
          <w:instrText xml:space="preserve"> PAGEREF _Toc428279176 \h </w:instrText>
        </w:r>
        <w:r w:rsidR="002054CC">
          <w:rPr>
            <w:webHidden/>
          </w:rPr>
        </w:r>
        <w:r w:rsidR="002054CC">
          <w:rPr>
            <w:webHidden/>
          </w:rPr>
          <w:fldChar w:fldCharType="separate"/>
        </w:r>
        <w:r w:rsidR="00E621C6">
          <w:rPr>
            <w:webHidden/>
          </w:rPr>
          <w:t>31</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77" w:history="1">
        <w:r w:rsidR="002054CC" w:rsidRPr="00007B63">
          <w:rPr>
            <w:rStyle w:val="Hyperlink"/>
          </w:rPr>
          <w:t>Regulatory framework for shale and tight gas</w:t>
        </w:r>
        <w:r w:rsidR="002054CC">
          <w:rPr>
            <w:webHidden/>
          </w:rPr>
          <w:tab/>
        </w:r>
        <w:r w:rsidR="002054CC">
          <w:rPr>
            <w:webHidden/>
          </w:rPr>
          <w:fldChar w:fldCharType="begin"/>
        </w:r>
        <w:r w:rsidR="002054CC">
          <w:rPr>
            <w:webHidden/>
          </w:rPr>
          <w:instrText xml:space="preserve"> PAGEREF _Toc428279177 \h </w:instrText>
        </w:r>
        <w:r w:rsidR="002054CC">
          <w:rPr>
            <w:webHidden/>
          </w:rPr>
        </w:r>
        <w:r w:rsidR="002054CC">
          <w:rPr>
            <w:webHidden/>
          </w:rPr>
          <w:fldChar w:fldCharType="separate"/>
        </w:r>
        <w:r w:rsidR="00E621C6">
          <w:rPr>
            <w:webHidden/>
          </w:rPr>
          <w:t>31</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78" w:history="1">
        <w:r w:rsidR="002054CC" w:rsidRPr="00007B63">
          <w:rPr>
            <w:rStyle w:val="Hyperlink"/>
          </w:rPr>
          <w:t>Memoranda of Understanding</w:t>
        </w:r>
        <w:r w:rsidR="002054CC">
          <w:rPr>
            <w:webHidden/>
          </w:rPr>
          <w:tab/>
        </w:r>
        <w:r w:rsidR="002054CC">
          <w:rPr>
            <w:webHidden/>
          </w:rPr>
          <w:fldChar w:fldCharType="begin"/>
        </w:r>
        <w:r w:rsidR="002054CC">
          <w:rPr>
            <w:webHidden/>
          </w:rPr>
          <w:instrText xml:space="preserve"> PAGEREF _Toc428279178 \h </w:instrText>
        </w:r>
        <w:r w:rsidR="002054CC">
          <w:rPr>
            <w:webHidden/>
          </w:rPr>
        </w:r>
        <w:r w:rsidR="002054CC">
          <w:rPr>
            <w:webHidden/>
          </w:rPr>
          <w:fldChar w:fldCharType="separate"/>
        </w:r>
        <w:r w:rsidR="00E621C6">
          <w:rPr>
            <w:webHidden/>
          </w:rPr>
          <w:t>32</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79" w:history="1">
        <w:r w:rsidR="002054CC" w:rsidRPr="00007B63">
          <w:rPr>
            <w:rStyle w:val="Hyperlink"/>
          </w:rPr>
          <w:t>Comprehensive Policy Review Project</w:t>
        </w:r>
        <w:r w:rsidR="002054CC">
          <w:rPr>
            <w:webHidden/>
          </w:rPr>
          <w:tab/>
        </w:r>
        <w:r w:rsidR="002054CC">
          <w:rPr>
            <w:webHidden/>
          </w:rPr>
          <w:fldChar w:fldCharType="begin"/>
        </w:r>
        <w:r w:rsidR="002054CC">
          <w:rPr>
            <w:webHidden/>
          </w:rPr>
          <w:instrText xml:space="preserve"> PAGEREF _Toc428279179 \h </w:instrText>
        </w:r>
        <w:r w:rsidR="002054CC">
          <w:rPr>
            <w:webHidden/>
          </w:rPr>
        </w:r>
        <w:r w:rsidR="002054CC">
          <w:rPr>
            <w:webHidden/>
          </w:rPr>
          <w:fldChar w:fldCharType="separate"/>
        </w:r>
        <w:r w:rsidR="00E621C6">
          <w:rPr>
            <w:webHidden/>
          </w:rPr>
          <w:t>32</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80" w:history="1">
        <w:r w:rsidR="002054CC" w:rsidRPr="00007B63">
          <w:rPr>
            <w:rStyle w:val="Hyperlink"/>
          </w:rPr>
          <w:t>New and revised policy and guidance</w:t>
        </w:r>
        <w:r w:rsidR="002054CC">
          <w:rPr>
            <w:webHidden/>
          </w:rPr>
          <w:tab/>
        </w:r>
        <w:r w:rsidR="002054CC">
          <w:rPr>
            <w:webHidden/>
          </w:rPr>
          <w:fldChar w:fldCharType="begin"/>
        </w:r>
        <w:r w:rsidR="002054CC">
          <w:rPr>
            <w:webHidden/>
          </w:rPr>
          <w:instrText xml:space="preserve"> PAGEREF _Toc428279180 \h </w:instrText>
        </w:r>
        <w:r w:rsidR="002054CC">
          <w:rPr>
            <w:webHidden/>
          </w:rPr>
        </w:r>
        <w:r w:rsidR="002054CC">
          <w:rPr>
            <w:webHidden/>
          </w:rPr>
          <w:fldChar w:fldCharType="separate"/>
        </w:r>
        <w:r w:rsidR="00E621C6">
          <w:rPr>
            <w:webHidden/>
          </w:rPr>
          <w:t>33</w:t>
        </w:r>
        <w:r w:rsidR="002054CC">
          <w:rPr>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81" w:history="1">
        <w:r w:rsidR="002054CC" w:rsidRPr="00007B63">
          <w:rPr>
            <w:rStyle w:val="Hyperlink"/>
            <w:noProof/>
          </w:rPr>
          <w:t>Environmental Assessment Guidelines</w:t>
        </w:r>
        <w:r w:rsidR="002054CC">
          <w:rPr>
            <w:noProof/>
            <w:webHidden/>
          </w:rPr>
          <w:tab/>
        </w:r>
        <w:r w:rsidR="002054CC">
          <w:rPr>
            <w:noProof/>
            <w:webHidden/>
          </w:rPr>
          <w:fldChar w:fldCharType="begin"/>
        </w:r>
        <w:r w:rsidR="002054CC">
          <w:rPr>
            <w:noProof/>
            <w:webHidden/>
          </w:rPr>
          <w:instrText xml:space="preserve"> PAGEREF _Toc428279181 \h </w:instrText>
        </w:r>
        <w:r w:rsidR="002054CC">
          <w:rPr>
            <w:noProof/>
            <w:webHidden/>
          </w:rPr>
        </w:r>
        <w:r w:rsidR="002054CC">
          <w:rPr>
            <w:noProof/>
            <w:webHidden/>
          </w:rPr>
          <w:fldChar w:fldCharType="separate"/>
        </w:r>
        <w:r w:rsidR="00E621C6">
          <w:rPr>
            <w:noProof/>
            <w:webHidden/>
          </w:rPr>
          <w:t>33</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82" w:history="1">
        <w:r w:rsidR="002054CC" w:rsidRPr="00007B63">
          <w:rPr>
            <w:rStyle w:val="Hyperlink"/>
            <w:noProof/>
          </w:rPr>
          <w:t>WA Environmental Offsets Guidelines</w:t>
        </w:r>
        <w:r w:rsidR="002054CC">
          <w:rPr>
            <w:noProof/>
            <w:webHidden/>
          </w:rPr>
          <w:tab/>
        </w:r>
        <w:r w:rsidR="002054CC">
          <w:rPr>
            <w:noProof/>
            <w:webHidden/>
          </w:rPr>
          <w:fldChar w:fldCharType="begin"/>
        </w:r>
        <w:r w:rsidR="002054CC">
          <w:rPr>
            <w:noProof/>
            <w:webHidden/>
          </w:rPr>
          <w:instrText xml:space="preserve"> PAGEREF _Toc428279182 \h </w:instrText>
        </w:r>
        <w:r w:rsidR="002054CC">
          <w:rPr>
            <w:noProof/>
            <w:webHidden/>
          </w:rPr>
        </w:r>
        <w:r w:rsidR="002054CC">
          <w:rPr>
            <w:noProof/>
            <w:webHidden/>
          </w:rPr>
          <w:fldChar w:fldCharType="separate"/>
        </w:r>
        <w:r w:rsidR="00E621C6">
          <w:rPr>
            <w:noProof/>
            <w:webHidden/>
          </w:rPr>
          <w:t>34</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83" w:history="1">
        <w:r w:rsidR="002054CC" w:rsidRPr="00007B63">
          <w:rPr>
            <w:rStyle w:val="Hyperlink"/>
            <w:noProof/>
          </w:rPr>
          <w:t>Strategic advice</w:t>
        </w:r>
        <w:r w:rsidR="002054CC">
          <w:rPr>
            <w:noProof/>
            <w:webHidden/>
          </w:rPr>
          <w:tab/>
        </w:r>
        <w:r w:rsidR="002054CC">
          <w:rPr>
            <w:noProof/>
            <w:webHidden/>
          </w:rPr>
          <w:fldChar w:fldCharType="begin"/>
        </w:r>
        <w:r w:rsidR="002054CC">
          <w:rPr>
            <w:noProof/>
            <w:webHidden/>
          </w:rPr>
          <w:instrText xml:space="preserve"> PAGEREF _Toc428279183 \h </w:instrText>
        </w:r>
        <w:r w:rsidR="002054CC">
          <w:rPr>
            <w:noProof/>
            <w:webHidden/>
          </w:rPr>
        </w:r>
        <w:r w:rsidR="002054CC">
          <w:rPr>
            <w:noProof/>
            <w:webHidden/>
          </w:rPr>
          <w:fldChar w:fldCharType="separate"/>
        </w:r>
        <w:r w:rsidR="00E621C6">
          <w:rPr>
            <w:noProof/>
            <w:webHidden/>
          </w:rPr>
          <w:t>34</w:t>
        </w:r>
        <w:r w:rsidR="002054CC">
          <w:rPr>
            <w:noProof/>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84" w:history="1">
        <w:r w:rsidR="002054CC" w:rsidRPr="00007B63">
          <w:rPr>
            <w:rStyle w:val="Hyperlink"/>
          </w:rPr>
          <w:t>WAMSI Dredging Science Node</w:t>
        </w:r>
        <w:r w:rsidR="002054CC">
          <w:rPr>
            <w:webHidden/>
          </w:rPr>
          <w:tab/>
        </w:r>
        <w:r w:rsidR="002054CC">
          <w:rPr>
            <w:webHidden/>
          </w:rPr>
          <w:fldChar w:fldCharType="begin"/>
        </w:r>
        <w:r w:rsidR="002054CC">
          <w:rPr>
            <w:webHidden/>
          </w:rPr>
          <w:instrText xml:space="preserve"> PAGEREF _Toc428279184 \h </w:instrText>
        </w:r>
        <w:r w:rsidR="002054CC">
          <w:rPr>
            <w:webHidden/>
          </w:rPr>
        </w:r>
        <w:r w:rsidR="002054CC">
          <w:rPr>
            <w:webHidden/>
          </w:rPr>
          <w:fldChar w:fldCharType="separate"/>
        </w:r>
        <w:r w:rsidR="00E621C6">
          <w:rPr>
            <w:webHidden/>
          </w:rPr>
          <w:t>34</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85" w:history="1">
        <w:r w:rsidR="002054CC" w:rsidRPr="00007B63">
          <w:rPr>
            <w:rStyle w:val="Hyperlink"/>
          </w:rPr>
          <w:t>Service 3: Compliance monitoring services to the Minister</w:t>
        </w:r>
        <w:r w:rsidR="002054CC">
          <w:rPr>
            <w:webHidden/>
          </w:rPr>
          <w:tab/>
        </w:r>
        <w:r w:rsidR="002054CC">
          <w:rPr>
            <w:webHidden/>
          </w:rPr>
          <w:fldChar w:fldCharType="begin"/>
        </w:r>
        <w:r w:rsidR="002054CC">
          <w:rPr>
            <w:webHidden/>
          </w:rPr>
          <w:instrText xml:space="preserve"> PAGEREF _Toc428279185 \h </w:instrText>
        </w:r>
        <w:r w:rsidR="002054CC">
          <w:rPr>
            <w:webHidden/>
          </w:rPr>
        </w:r>
        <w:r w:rsidR="002054CC">
          <w:rPr>
            <w:webHidden/>
          </w:rPr>
          <w:fldChar w:fldCharType="separate"/>
        </w:r>
        <w:r w:rsidR="00E621C6">
          <w:rPr>
            <w:webHidden/>
          </w:rPr>
          <w:t>36</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87" w:history="1">
        <w:r w:rsidR="002054CC" w:rsidRPr="00007B63">
          <w:rPr>
            <w:rStyle w:val="Hyperlink"/>
          </w:rPr>
          <w:t>Compliance and audit activity</w:t>
        </w:r>
        <w:r w:rsidR="002054CC">
          <w:rPr>
            <w:webHidden/>
          </w:rPr>
          <w:tab/>
        </w:r>
        <w:r w:rsidR="002054CC">
          <w:rPr>
            <w:webHidden/>
          </w:rPr>
          <w:fldChar w:fldCharType="begin"/>
        </w:r>
        <w:r w:rsidR="002054CC">
          <w:rPr>
            <w:webHidden/>
          </w:rPr>
          <w:instrText xml:space="preserve"> PAGEREF _Toc428279187 \h </w:instrText>
        </w:r>
        <w:r w:rsidR="002054CC">
          <w:rPr>
            <w:webHidden/>
          </w:rPr>
        </w:r>
        <w:r w:rsidR="002054CC">
          <w:rPr>
            <w:webHidden/>
          </w:rPr>
          <w:fldChar w:fldCharType="separate"/>
        </w:r>
        <w:r w:rsidR="00E621C6">
          <w:rPr>
            <w:webHidden/>
          </w:rPr>
          <w:t>37</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88" w:history="1">
        <w:r w:rsidR="002054CC" w:rsidRPr="00007B63">
          <w:rPr>
            <w:rStyle w:val="Hyperlink"/>
          </w:rPr>
          <w:t>Significant proposals audited</w:t>
        </w:r>
        <w:r w:rsidR="002054CC">
          <w:rPr>
            <w:webHidden/>
          </w:rPr>
          <w:tab/>
        </w:r>
        <w:r w:rsidR="002054CC">
          <w:rPr>
            <w:webHidden/>
          </w:rPr>
          <w:fldChar w:fldCharType="begin"/>
        </w:r>
        <w:r w:rsidR="002054CC">
          <w:rPr>
            <w:webHidden/>
          </w:rPr>
          <w:instrText xml:space="preserve"> PAGEREF _Toc428279188 \h </w:instrText>
        </w:r>
        <w:r w:rsidR="002054CC">
          <w:rPr>
            <w:webHidden/>
          </w:rPr>
        </w:r>
        <w:r w:rsidR="002054CC">
          <w:rPr>
            <w:webHidden/>
          </w:rPr>
          <w:fldChar w:fldCharType="separate"/>
        </w:r>
        <w:r w:rsidR="00E621C6">
          <w:rPr>
            <w:webHidden/>
          </w:rPr>
          <w:t>37</w:t>
        </w:r>
        <w:r w:rsidR="002054CC">
          <w:rPr>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89" w:history="1">
        <w:r w:rsidR="002054CC" w:rsidRPr="00007B63">
          <w:rPr>
            <w:rStyle w:val="Hyperlink"/>
            <w:noProof/>
          </w:rPr>
          <w:t>Gorgon Gas Development and Associated Jansz Feed Pipeline</w:t>
        </w:r>
        <w:r w:rsidR="002054CC">
          <w:rPr>
            <w:noProof/>
            <w:webHidden/>
          </w:rPr>
          <w:tab/>
        </w:r>
        <w:r w:rsidR="002054CC">
          <w:rPr>
            <w:noProof/>
            <w:webHidden/>
          </w:rPr>
          <w:fldChar w:fldCharType="begin"/>
        </w:r>
        <w:r w:rsidR="002054CC">
          <w:rPr>
            <w:noProof/>
            <w:webHidden/>
          </w:rPr>
          <w:instrText xml:space="preserve"> PAGEREF _Toc428279189 \h </w:instrText>
        </w:r>
        <w:r w:rsidR="002054CC">
          <w:rPr>
            <w:noProof/>
            <w:webHidden/>
          </w:rPr>
        </w:r>
        <w:r w:rsidR="002054CC">
          <w:rPr>
            <w:noProof/>
            <w:webHidden/>
          </w:rPr>
          <w:fldChar w:fldCharType="separate"/>
        </w:r>
        <w:r w:rsidR="00E621C6">
          <w:rPr>
            <w:noProof/>
            <w:webHidden/>
          </w:rPr>
          <w:t>38</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90" w:history="1">
        <w:r w:rsidR="002054CC" w:rsidRPr="00007B63">
          <w:rPr>
            <w:rStyle w:val="Hyperlink"/>
            <w:noProof/>
          </w:rPr>
          <w:t>Wheatstone LNG Development</w:t>
        </w:r>
        <w:r w:rsidR="002054CC">
          <w:rPr>
            <w:noProof/>
            <w:webHidden/>
          </w:rPr>
          <w:tab/>
        </w:r>
        <w:r w:rsidR="002054CC">
          <w:rPr>
            <w:noProof/>
            <w:webHidden/>
          </w:rPr>
          <w:fldChar w:fldCharType="begin"/>
        </w:r>
        <w:r w:rsidR="002054CC">
          <w:rPr>
            <w:noProof/>
            <w:webHidden/>
          </w:rPr>
          <w:instrText xml:space="preserve"> PAGEREF _Toc428279190 \h </w:instrText>
        </w:r>
        <w:r w:rsidR="002054CC">
          <w:rPr>
            <w:noProof/>
            <w:webHidden/>
          </w:rPr>
        </w:r>
        <w:r w:rsidR="002054CC">
          <w:rPr>
            <w:noProof/>
            <w:webHidden/>
          </w:rPr>
          <w:fldChar w:fldCharType="separate"/>
        </w:r>
        <w:r w:rsidR="00E621C6">
          <w:rPr>
            <w:noProof/>
            <w:webHidden/>
          </w:rPr>
          <w:t>38</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91" w:history="1">
        <w:r w:rsidR="002054CC" w:rsidRPr="00007B63">
          <w:rPr>
            <w:rStyle w:val="Hyperlink"/>
            <w:noProof/>
          </w:rPr>
          <w:t>Magellan Lead Carbonate Project</w:t>
        </w:r>
        <w:r w:rsidR="002054CC">
          <w:rPr>
            <w:noProof/>
            <w:webHidden/>
          </w:rPr>
          <w:tab/>
        </w:r>
        <w:r w:rsidR="002054CC">
          <w:rPr>
            <w:noProof/>
            <w:webHidden/>
          </w:rPr>
          <w:fldChar w:fldCharType="begin"/>
        </w:r>
        <w:r w:rsidR="002054CC">
          <w:rPr>
            <w:noProof/>
            <w:webHidden/>
          </w:rPr>
          <w:instrText xml:space="preserve"> PAGEREF _Toc428279191 \h </w:instrText>
        </w:r>
        <w:r w:rsidR="002054CC">
          <w:rPr>
            <w:noProof/>
            <w:webHidden/>
          </w:rPr>
        </w:r>
        <w:r w:rsidR="002054CC">
          <w:rPr>
            <w:noProof/>
            <w:webHidden/>
          </w:rPr>
          <w:fldChar w:fldCharType="separate"/>
        </w:r>
        <w:r w:rsidR="00E621C6">
          <w:rPr>
            <w:noProof/>
            <w:webHidden/>
          </w:rPr>
          <w:t>38</w:t>
        </w:r>
        <w:r w:rsidR="002054CC">
          <w:rPr>
            <w:noProof/>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192" w:history="1">
        <w:r w:rsidR="002054CC" w:rsidRPr="00007B63">
          <w:rPr>
            <w:rStyle w:val="Hyperlink"/>
          </w:rPr>
          <w:t>Improving our business</w:t>
        </w:r>
        <w:r w:rsidR="002054CC">
          <w:rPr>
            <w:webHidden/>
          </w:rPr>
          <w:tab/>
        </w:r>
        <w:r w:rsidR="002054CC">
          <w:rPr>
            <w:webHidden/>
          </w:rPr>
          <w:fldChar w:fldCharType="begin"/>
        </w:r>
        <w:r w:rsidR="002054CC">
          <w:rPr>
            <w:webHidden/>
          </w:rPr>
          <w:instrText xml:space="preserve"> PAGEREF _Toc428279192 \h </w:instrText>
        </w:r>
        <w:r w:rsidR="002054CC">
          <w:rPr>
            <w:webHidden/>
          </w:rPr>
        </w:r>
        <w:r w:rsidR="002054CC">
          <w:rPr>
            <w:webHidden/>
          </w:rPr>
          <w:fldChar w:fldCharType="separate"/>
        </w:r>
        <w:r w:rsidR="00E621C6">
          <w:rPr>
            <w:webHidden/>
          </w:rPr>
          <w:t>38</w:t>
        </w:r>
        <w:r w:rsidR="002054CC">
          <w:rPr>
            <w:webHidden/>
          </w:rPr>
          <w:fldChar w:fldCharType="end"/>
        </w:r>
      </w:hyperlink>
    </w:p>
    <w:p w:rsidR="002054CC" w:rsidRPr="00B41C73" w:rsidRDefault="00921835" w:rsidP="00671CBA">
      <w:pPr>
        <w:pStyle w:val="TOC2"/>
        <w:rPr>
          <w:rFonts w:eastAsiaTheme="minorEastAsia" w:cstheme="minorBidi"/>
          <w:color w:val="auto"/>
          <w:szCs w:val="22"/>
          <w:lang w:eastAsia="en-AU"/>
        </w:rPr>
      </w:pPr>
      <w:hyperlink w:anchor="_Toc428279193" w:history="1">
        <w:r w:rsidR="002054CC" w:rsidRPr="00B41C73">
          <w:rPr>
            <w:rStyle w:val="Hyperlink"/>
            <w:b w:val="0"/>
          </w:rPr>
          <w:t>Environmental impact assessment – Reform</w:t>
        </w:r>
        <w:r w:rsidR="002054CC" w:rsidRPr="00B41C73">
          <w:rPr>
            <w:webHidden/>
          </w:rPr>
          <w:tab/>
        </w:r>
        <w:r w:rsidR="002054CC" w:rsidRPr="00B41C73">
          <w:rPr>
            <w:webHidden/>
          </w:rPr>
          <w:fldChar w:fldCharType="begin"/>
        </w:r>
        <w:r w:rsidR="002054CC" w:rsidRPr="00B41C73">
          <w:rPr>
            <w:webHidden/>
          </w:rPr>
          <w:instrText xml:space="preserve"> PAGEREF _Toc428279193 \h </w:instrText>
        </w:r>
        <w:r w:rsidR="002054CC" w:rsidRPr="00B41C73">
          <w:rPr>
            <w:webHidden/>
          </w:rPr>
        </w:r>
        <w:r w:rsidR="002054CC" w:rsidRPr="00B41C73">
          <w:rPr>
            <w:webHidden/>
          </w:rPr>
          <w:fldChar w:fldCharType="separate"/>
        </w:r>
        <w:r w:rsidR="00E621C6">
          <w:rPr>
            <w:webHidden/>
          </w:rPr>
          <w:t>38</w:t>
        </w:r>
        <w:r w:rsidR="002054CC" w:rsidRPr="00B41C73">
          <w:rPr>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94" w:history="1">
        <w:r w:rsidR="002054CC" w:rsidRPr="00007B63">
          <w:rPr>
            <w:rStyle w:val="Hyperlink"/>
            <w:noProof/>
          </w:rPr>
          <w:t>Close out letter from the General Manager – feedback from proponents</w:t>
        </w:r>
        <w:r w:rsidR="002054CC">
          <w:rPr>
            <w:noProof/>
            <w:webHidden/>
          </w:rPr>
          <w:tab/>
        </w:r>
        <w:r w:rsidR="002054CC">
          <w:rPr>
            <w:noProof/>
            <w:webHidden/>
          </w:rPr>
          <w:fldChar w:fldCharType="begin"/>
        </w:r>
        <w:r w:rsidR="002054CC">
          <w:rPr>
            <w:noProof/>
            <w:webHidden/>
          </w:rPr>
          <w:instrText xml:space="preserve"> PAGEREF _Toc428279194 \h </w:instrText>
        </w:r>
        <w:r w:rsidR="002054CC">
          <w:rPr>
            <w:noProof/>
            <w:webHidden/>
          </w:rPr>
        </w:r>
        <w:r w:rsidR="002054CC">
          <w:rPr>
            <w:noProof/>
            <w:webHidden/>
          </w:rPr>
          <w:fldChar w:fldCharType="separate"/>
        </w:r>
        <w:r w:rsidR="00E621C6">
          <w:rPr>
            <w:noProof/>
            <w:webHidden/>
          </w:rPr>
          <w:t>38</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95" w:history="1">
        <w:r w:rsidR="002054CC" w:rsidRPr="00007B63">
          <w:rPr>
            <w:rStyle w:val="Hyperlink"/>
            <w:noProof/>
          </w:rPr>
          <w:t>Environmental assessment guidance for referrals</w:t>
        </w:r>
        <w:r w:rsidR="002054CC">
          <w:rPr>
            <w:noProof/>
            <w:webHidden/>
          </w:rPr>
          <w:tab/>
        </w:r>
        <w:r w:rsidR="002054CC">
          <w:rPr>
            <w:noProof/>
            <w:webHidden/>
          </w:rPr>
          <w:fldChar w:fldCharType="begin"/>
        </w:r>
        <w:r w:rsidR="002054CC">
          <w:rPr>
            <w:noProof/>
            <w:webHidden/>
          </w:rPr>
          <w:instrText xml:space="preserve"> PAGEREF _Toc428279195 \h </w:instrText>
        </w:r>
        <w:r w:rsidR="002054CC">
          <w:rPr>
            <w:noProof/>
            <w:webHidden/>
          </w:rPr>
        </w:r>
        <w:r w:rsidR="002054CC">
          <w:rPr>
            <w:noProof/>
            <w:webHidden/>
          </w:rPr>
          <w:fldChar w:fldCharType="separate"/>
        </w:r>
        <w:r w:rsidR="00E621C6">
          <w:rPr>
            <w:noProof/>
            <w:webHidden/>
          </w:rPr>
          <w:t>39</w:t>
        </w:r>
        <w:r w:rsidR="002054CC">
          <w:rPr>
            <w:noProof/>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96" w:history="1">
        <w:r w:rsidR="002054CC" w:rsidRPr="00007B63">
          <w:rPr>
            <w:rStyle w:val="Hyperlink"/>
          </w:rPr>
          <w:t>Public consultation</w:t>
        </w:r>
        <w:r w:rsidR="002054CC">
          <w:rPr>
            <w:webHidden/>
          </w:rPr>
          <w:tab/>
        </w:r>
        <w:r w:rsidR="002054CC">
          <w:rPr>
            <w:webHidden/>
          </w:rPr>
          <w:fldChar w:fldCharType="begin"/>
        </w:r>
        <w:r w:rsidR="002054CC">
          <w:rPr>
            <w:webHidden/>
          </w:rPr>
          <w:instrText xml:space="preserve"> PAGEREF _Toc428279196 \h </w:instrText>
        </w:r>
        <w:r w:rsidR="002054CC">
          <w:rPr>
            <w:webHidden/>
          </w:rPr>
        </w:r>
        <w:r w:rsidR="002054CC">
          <w:rPr>
            <w:webHidden/>
          </w:rPr>
          <w:fldChar w:fldCharType="separate"/>
        </w:r>
        <w:r w:rsidR="00E621C6">
          <w:rPr>
            <w:webHidden/>
          </w:rPr>
          <w:t>39</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197" w:history="1">
        <w:r w:rsidR="002054CC" w:rsidRPr="00007B63">
          <w:rPr>
            <w:rStyle w:val="Hyperlink"/>
          </w:rPr>
          <w:t>Information management</w:t>
        </w:r>
        <w:r w:rsidR="002054CC">
          <w:rPr>
            <w:webHidden/>
          </w:rPr>
          <w:tab/>
        </w:r>
        <w:r w:rsidR="002054CC">
          <w:rPr>
            <w:webHidden/>
          </w:rPr>
          <w:fldChar w:fldCharType="begin"/>
        </w:r>
        <w:r w:rsidR="002054CC">
          <w:rPr>
            <w:webHidden/>
          </w:rPr>
          <w:instrText xml:space="preserve"> PAGEREF _Toc428279197 \h </w:instrText>
        </w:r>
        <w:r w:rsidR="002054CC">
          <w:rPr>
            <w:webHidden/>
          </w:rPr>
        </w:r>
        <w:r w:rsidR="002054CC">
          <w:rPr>
            <w:webHidden/>
          </w:rPr>
          <w:fldChar w:fldCharType="separate"/>
        </w:r>
        <w:r w:rsidR="00E621C6">
          <w:rPr>
            <w:webHidden/>
          </w:rPr>
          <w:t>41</w:t>
        </w:r>
        <w:r w:rsidR="002054CC">
          <w:rPr>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198" w:history="1">
        <w:r w:rsidR="002054CC" w:rsidRPr="00007B63">
          <w:rPr>
            <w:rStyle w:val="Hyperlink"/>
            <w:noProof/>
          </w:rPr>
          <w:t>Case Management System</w:t>
        </w:r>
        <w:r w:rsidR="002054CC">
          <w:rPr>
            <w:noProof/>
            <w:webHidden/>
          </w:rPr>
          <w:tab/>
        </w:r>
        <w:r w:rsidR="002054CC">
          <w:rPr>
            <w:noProof/>
            <w:webHidden/>
          </w:rPr>
          <w:fldChar w:fldCharType="begin"/>
        </w:r>
        <w:r w:rsidR="002054CC">
          <w:rPr>
            <w:noProof/>
            <w:webHidden/>
          </w:rPr>
          <w:instrText xml:space="preserve"> PAGEREF _Toc428279198 \h </w:instrText>
        </w:r>
        <w:r w:rsidR="002054CC">
          <w:rPr>
            <w:noProof/>
            <w:webHidden/>
          </w:rPr>
        </w:r>
        <w:r w:rsidR="002054CC">
          <w:rPr>
            <w:noProof/>
            <w:webHidden/>
          </w:rPr>
          <w:fldChar w:fldCharType="separate"/>
        </w:r>
        <w:r w:rsidR="00E621C6">
          <w:rPr>
            <w:noProof/>
            <w:webHidden/>
          </w:rPr>
          <w:t>41</w:t>
        </w:r>
        <w:r w:rsidR="002054CC">
          <w:rPr>
            <w:noProof/>
            <w:webHidden/>
          </w:rPr>
          <w:fldChar w:fldCharType="end"/>
        </w:r>
      </w:hyperlink>
    </w:p>
    <w:p w:rsidR="002054CC" w:rsidRPr="000558AD" w:rsidRDefault="00921835" w:rsidP="00671CBA">
      <w:pPr>
        <w:pStyle w:val="TOC1"/>
        <w:rPr>
          <w:rFonts w:eastAsiaTheme="minorEastAsia"/>
          <w:sz w:val="22"/>
          <w:szCs w:val="22"/>
          <w:lang w:eastAsia="en-AU"/>
        </w:rPr>
      </w:pPr>
      <w:hyperlink r:id="rId31" w:anchor="_Toc428279199" w:history="1">
        <w:r w:rsidR="000558AD">
          <w:rPr>
            <w:rStyle w:val="Hyperlink"/>
            <w:color w:val="2F5E9D" w:themeColor="accent1"/>
          </w:rPr>
          <w:t>DISCLOSURES AND LEGAL COMPLIANCE</w:t>
        </w:r>
        <w:r w:rsidR="002054CC" w:rsidRPr="000558AD">
          <w:rPr>
            <w:webHidden/>
          </w:rPr>
          <w:tab/>
        </w:r>
        <w:r w:rsidR="002054CC" w:rsidRPr="000558AD">
          <w:rPr>
            <w:webHidden/>
          </w:rPr>
          <w:fldChar w:fldCharType="begin"/>
        </w:r>
        <w:r w:rsidR="002054CC" w:rsidRPr="000558AD">
          <w:rPr>
            <w:webHidden/>
          </w:rPr>
          <w:instrText xml:space="preserve"> PAGEREF _Toc428279199 \h </w:instrText>
        </w:r>
        <w:r w:rsidR="002054CC" w:rsidRPr="000558AD">
          <w:rPr>
            <w:webHidden/>
          </w:rPr>
        </w:r>
        <w:r w:rsidR="002054CC" w:rsidRPr="000558AD">
          <w:rPr>
            <w:webHidden/>
          </w:rPr>
          <w:fldChar w:fldCharType="separate"/>
        </w:r>
        <w:r w:rsidR="00E621C6">
          <w:rPr>
            <w:webHidden/>
          </w:rPr>
          <w:t>43</w:t>
        </w:r>
        <w:r w:rsidR="002054CC" w:rsidRPr="000558AD">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r:id="rId32" w:anchor="_Toc428279200" w:history="1">
        <w:r w:rsidR="002054CC" w:rsidRPr="00007B63">
          <w:rPr>
            <w:rStyle w:val="Hyperlink"/>
          </w:rPr>
          <w:t>Financial Statements</w:t>
        </w:r>
        <w:r w:rsidR="002054CC">
          <w:rPr>
            <w:webHidden/>
          </w:rPr>
          <w:tab/>
        </w:r>
        <w:r w:rsidR="002054CC">
          <w:rPr>
            <w:webHidden/>
          </w:rPr>
          <w:fldChar w:fldCharType="begin"/>
        </w:r>
        <w:r w:rsidR="002054CC">
          <w:rPr>
            <w:webHidden/>
          </w:rPr>
          <w:instrText xml:space="preserve"> PAGEREF _Toc428279200 \h </w:instrText>
        </w:r>
        <w:r w:rsidR="002054CC">
          <w:rPr>
            <w:webHidden/>
          </w:rPr>
        </w:r>
        <w:r w:rsidR="002054CC">
          <w:rPr>
            <w:webHidden/>
          </w:rPr>
          <w:fldChar w:fldCharType="separate"/>
        </w:r>
        <w:r w:rsidR="00E621C6">
          <w:rPr>
            <w:webHidden/>
          </w:rPr>
          <w:t>44</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210" w:history="1">
        <w:r w:rsidR="002054CC" w:rsidRPr="00007B63">
          <w:rPr>
            <w:rStyle w:val="Hyperlink"/>
          </w:rPr>
          <w:t>Notes to the Financial Statements</w:t>
        </w:r>
        <w:r w:rsidR="002054CC">
          <w:rPr>
            <w:webHidden/>
          </w:rPr>
          <w:tab/>
        </w:r>
        <w:r w:rsidR="002054CC">
          <w:rPr>
            <w:webHidden/>
          </w:rPr>
          <w:fldChar w:fldCharType="begin"/>
        </w:r>
        <w:r w:rsidR="002054CC">
          <w:rPr>
            <w:webHidden/>
          </w:rPr>
          <w:instrText xml:space="preserve"> PAGEREF _Toc428279210 \h </w:instrText>
        </w:r>
        <w:r w:rsidR="002054CC">
          <w:rPr>
            <w:webHidden/>
          </w:rPr>
        </w:r>
        <w:r w:rsidR="002054CC">
          <w:rPr>
            <w:webHidden/>
          </w:rPr>
          <w:fldChar w:fldCharType="separate"/>
        </w:r>
        <w:r w:rsidR="00E621C6">
          <w:rPr>
            <w:webHidden/>
          </w:rPr>
          <w:t>55</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r:id="rId33" w:anchor="_Toc428279211" w:history="1">
        <w:r w:rsidR="002054CC" w:rsidRPr="00007B63">
          <w:rPr>
            <w:rStyle w:val="Hyperlink"/>
          </w:rPr>
          <w:t>Key Performance Indicators</w:t>
        </w:r>
        <w:r w:rsidR="002054CC">
          <w:rPr>
            <w:webHidden/>
          </w:rPr>
          <w:tab/>
        </w:r>
        <w:r w:rsidR="002054CC">
          <w:rPr>
            <w:webHidden/>
          </w:rPr>
          <w:fldChar w:fldCharType="begin"/>
        </w:r>
        <w:r w:rsidR="002054CC">
          <w:rPr>
            <w:webHidden/>
          </w:rPr>
          <w:instrText xml:space="preserve"> PAGEREF _Toc428279211 \h </w:instrText>
        </w:r>
        <w:r w:rsidR="002054CC">
          <w:rPr>
            <w:webHidden/>
          </w:rPr>
        </w:r>
        <w:r w:rsidR="002054CC">
          <w:rPr>
            <w:webHidden/>
          </w:rPr>
          <w:fldChar w:fldCharType="separate"/>
        </w:r>
        <w:r w:rsidR="00E621C6">
          <w:rPr>
            <w:webHidden/>
          </w:rPr>
          <w:t>90</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r:id="rId34" w:anchor="_Toc428279222" w:history="1">
        <w:r w:rsidR="002054CC" w:rsidRPr="00007B63">
          <w:rPr>
            <w:rStyle w:val="Hyperlink"/>
          </w:rPr>
          <w:t>Other disclosures</w:t>
        </w:r>
        <w:r w:rsidR="002054CC">
          <w:rPr>
            <w:webHidden/>
          </w:rPr>
          <w:tab/>
        </w:r>
        <w:r w:rsidR="002054CC">
          <w:rPr>
            <w:webHidden/>
          </w:rPr>
          <w:fldChar w:fldCharType="begin"/>
        </w:r>
        <w:r w:rsidR="002054CC">
          <w:rPr>
            <w:webHidden/>
          </w:rPr>
          <w:instrText xml:space="preserve"> PAGEREF _Toc428279222 \h </w:instrText>
        </w:r>
        <w:r w:rsidR="002054CC">
          <w:rPr>
            <w:webHidden/>
          </w:rPr>
        </w:r>
        <w:r w:rsidR="002054CC">
          <w:rPr>
            <w:webHidden/>
          </w:rPr>
          <w:fldChar w:fldCharType="separate"/>
        </w:r>
        <w:r w:rsidR="00E621C6">
          <w:rPr>
            <w:webHidden/>
          </w:rPr>
          <w:t>100</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223" w:history="1">
        <w:r w:rsidR="002054CC" w:rsidRPr="00007B63">
          <w:rPr>
            <w:rStyle w:val="Hyperlink"/>
            <w:rFonts w:eastAsia="Times New Roman"/>
          </w:rPr>
          <w:t>Ministerial directives</w:t>
        </w:r>
        <w:r w:rsidR="002054CC">
          <w:rPr>
            <w:webHidden/>
          </w:rPr>
          <w:tab/>
        </w:r>
        <w:r w:rsidR="002054CC">
          <w:rPr>
            <w:webHidden/>
          </w:rPr>
          <w:fldChar w:fldCharType="begin"/>
        </w:r>
        <w:r w:rsidR="002054CC">
          <w:rPr>
            <w:webHidden/>
          </w:rPr>
          <w:instrText xml:space="preserve"> PAGEREF _Toc428279223 \h </w:instrText>
        </w:r>
        <w:r w:rsidR="002054CC">
          <w:rPr>
            <w:webHidden/>
          </w:rPr>
        </w:r>
        <w:r w:rsidR="002054CC">
          <w:rPr>
            <w:webHidden/>
          </w:rPr>
          <w:fldChar w:fldCharType="separate"/>
        </w:r>
        <w:r w:rsidR="00E621C6">
          <w:rPr>
            <w:webHidden/>
          </w:rPr>
          <w:t>100</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224" w:history="1">
        <w:r w:rsidR="002054CC" w:rsidRPr="00007B63">
          <w:rPr>
            <w:rStyle w:val="Hyperlink"/>
            <w:rFonts w:eastAsia="Times New Roman"/>
          </w:rPr>
          <w:t>Other financial disclosures (TI 903)</w:t>
        </w:r>
        <w:r w:rsidR="002054CC">
          <w:rPr>
            <w:webHidden/>
          </w:rPr>
          <w:tab/>
        </w:r>
        <w:r w:rsidR="002054CC">
          <w:rPr>
            <w:webHidden/>
          </w:rPr>
          <w:fldChar w:fldCharType="begin"/>
        </w:r>
        <w:r w:rsidR="002054CC">
          <w:rPr>
            <w:webHidden/>
          </w:rPr>
          <w:instrText xml:space="preserve"> PAGEREF _Toc428279224 \h </w:instrText>
        </w:r>
        <w:r w:rsidR="002054CC">
          <w:rPr>
            <w:webHidden/>
          </w:rPr>
        </w:r>
        <w:r w:rsidR="002054CC">
          <w:rPr>
            <w:webHidden/>
          </w:rPr>
          <w:fldChar w:fldCharType="separate"/>
        </w:r>
        <w:r w:rsidR="00E621C6">
          <w:rPr>
            <w:webHidden/>
          </w:rPr>
          <w:t>100</w:t>
        </w:r>
        <w:r w:rsidR="002054CC">
          <w:rPr>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225" w:history="1">
        <w:r w:rsidR="002054CC" w:rsidRPr="00007B63">
          <w:rPr>
            <w:rStyle w:val="Hyperlink"/>
            <w:rFonts w:eastAsia="Times New Roman"/>
            <w:noProof/>
          </w:rPr>
          <w:t>Pricing</w:t>
        </w:r>
        <w:r w:rsidR="002054CC" w:rsidRPr="00007B63">
          <w:rPr>
            <w:rStyle w:val="Hyperlink"/>
            <w:rFonts w:eastAsia="Times New Roman"/>
            <w:noProof/>
            <w:spacing w:val="11"/>
          </w:rPr>
          <w:t xml:space="preserve"> </w:t>
        </w:r>
        <w:r w:rsidR="002054CC" w:rsidRPr="00007B63">
          <w:rPr>
            <w:rStyle w:val="Hyperlink"/>
            <w:rFonts w:eastAsia="Times New Roman"/>
            <w:noProof/>
          </w:rPr>
          <w:t>policies</w:t>
        </w:r>
        <w:r w:rsidR="002054CC" w:rsidRPr="00007B63">
          <w:rPr>
            <w:rStyle w:val="Hyperlink"/>
            <w:rFonts w:eastAsia="Times New Roman"/>
            <w:noProof/>
            <w:spacing w:val="12"/>
          </w:rPr>
          <w:t xml:space="preserve"> </w:t>
        </w:r>
        <w:r w:rsidR="002054CC" w:rsidRPr="00007B63">
          <w:rPr>
            <w:rStyle w:val="Hyperlink"/>
            <w:rFonts w:eastAsia="Times New Roman"/>
            <w:noProof/>
          </w:rPr>
          <w:t>of</w:t>
        </w:r>
        <w:r w:rsidR="002054CC" w:rsidRPr="00007B63">
          <w:rPr>
            <w:rStyle w:val="Hyperlink"/>
            <w:rFonts w:eastAsia="Times New Roman"/>
            <w:noProof/>
            <w:spacing w:val="12"/>
          </w:rPr>
          <w:t xml:space="preserve"> </w:t>
        </w:r>
        <w:r w:rsidR="002054CC" w:rsidRPr="00007B63">
          <w:rPr>
            <w:rStyle w:val="Hyperlink"/>
            <w:rFonts w:eastAsia="Times New Roman"/>
            <w:noProof/>
          </w:rPr>
          <w:t>se</w:t>
        </w:r>
        <w:r w:rsidR="002054CC" w:rsidRPr="00007B63">
          <w:rPr>
            <w:rStyle w:val="Hyperlink"/>
            <w:rFonts w:eastAsia="Times New Roman"/>
            <w:noProof/>
            <w:spacing w:val="6"/>
          </w:rPr>
          <w:t>r</w:t>
        </w:r>
        <w:r w:rsidR="002054CC" w:rsidRPr="00007B63">
          <w:rPr>
            <w:rStyle w:val="Hyperlink"/>
            <w:rFonts w:eastAsia="Times New Roman"/>
            <w:noProof/>
          </w:rPr>
          <w:t>vices</w:t>
        </w:r>
        <w:r w:rsidR="002054CC" w:rsidRPr="00007B63">
          <w:rPr>
            <w:rStyle w:val="Hyperlink"/>
            <w:rFonts w:eastAsia="Times New Roman"/>
            <w:noProof/>
            <w:spacing w:val="-14"/>
          </w:rPr>
          <w:t xml:space="preserve"> </w:t>
        </w:r>
        <w:r w:rsidR="002054CC" w:rsidRPr="00007B63">
          <w:rPr>
            <w:rStyle w:val="Hyperlink"/>
            <w:rFonts w:eastAsia="Times New Roman"/>
            <w:noProof/>
          </w:rPr>
          <w:t>provided</w:t>
        </w:r>
        <w:r w:rsidR="002054CC">
          <w:rPr>
            <w:noProof/>
            <w:webHidden/>
          </w:rPr>
          <w:tab/>
        </w:r>
        <w:r w:rsidR="002054CC">
          <w:rPr>
            <w:noProof/>
            <w:webHidden/>
          </w:rPr>
          <w:fldChar w:fldCharType="begin"/>
        </w:r>
        <w:r w:rsidR="002054CC">
          <w:rPr>
            <w:noProof/>
            <w:webHidden/>
          </w:rPr>
          <w:instrText xml:space="preserve"> PAGEREF _Toc428279225 \h </w:instrText>
        </w:r>
        <w:r w:rsidR="002054CC">
          <w:rPr>
            <w:noProof/>
            <w:webHidden/>
          </w:rPr>
        </w:r>
        <w:r w:rsidR="002054CC">
          <w:rPr>
            <w:noProof/>
            <w:webHidden/>
          </w:rPr>
          <w:fldChar w:fldCharType="separate"/>
        </w:r>
        <w:r w:rsidR="00E621C6">
          <w:rPr>
            <w:noProof/>
            <w:webHidden/>
          </w:rPr>
          <w:t>100</w:t>
        </w:r>
        <w:r w:rsidR="002054CC">
          <w:rPr>
            <w:noProof/>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226" w:history="1">
        <w:r w:rsidR="002054CC" w:rsidRPr="00007B63">
          <w:rPr>
            <w:rStyle w:val="Hyperlink"/>
            <w:rFonts w:eastAsia="Times New Roman"/>
          </w:rPr>
          <w:t>Gove</w:t>
        </w:r>
        <w:r w:rsidR="002054CC" w:rsidRPr="00007B63">
          <w:rPr>
            <w:rStyle w:val="Hyperlink"/>
            <w:rFonts w:eastAsia="Times New Roman"/>
            <w:spacing w:val="6"/>
          </w:rPr>
          <w:t>r</w:t>
        </w:r>
        <w:r w:rsidR="002054CC" w:rsidRPr="00007B63">
          <w:rPr>
            <w:rStyle w:val="Hyperlink"/>
            <w:rFonts w:eastAsia="Times New Roman"/>
          </w:rPr>
          <w:t>nance</w:t>
        </w:r>
        <w:r w:rsidR="002054CC" w:rsidRPr="00007B63">
          <w:rPr>
            <w:rStyle w:val="Hyperlink"/>
            <w:rFonts w:eastAsia="Times New Roman"/>
            <w:spacing w:val="-10"/>
          </w:rPr>
          <w:t xml:space="preserve"> </w:t>
        </w:r>
        <w:r w:rsidR="002054CC" w:rsidRPr="00007B63">
          <w:rPr>
            <w:rStyle w:val="Hyperlink"/>
            <w:rFonts w:eastAsia="Times New Roman"/>
          </w:rPr>
          <w:t>disclosu</w:t>
        </w:r>
        <w:r w:rsidR="002054CC" w:rsidRPr="00007B63">
          <w:rPr>
            <w:rStyle w:val="Hyperlink"/>
            <w:rFonts w:eastAsia="Times New Roman"/>
            <w:spacing w:val="-3"/>
          </w:rPr>
          <w:t>r</w:t>
        </w:r>
        <w:r w:rsidR="002054CC" w:rsidRPr="00007B63">
          <w:rPr>
            <w:rStyle w:val="Hyperlink"/>
            <w:rFonts w:eastAsia="Times New Roman"/>
          </w:rPr>
          <w:t>es</w:t>
        </w:r>
        <w:r w:rsidR="002054CC" w:rsidRPr="00007B63">
          <w:rPr>
            <w:rStyle w:val="Hyperlink"/>
            <w:rFonts w:eastAsia="Times New Roman"/>
            <w:spacing w:val="24"/>
          </w:rPr>
          <w:t xml:space="preserve"> </w:t>
        </w:r>
        <w:r w:rsidR="002054CC" w:rsidRPr="00007B63">
          <w:rPr>
            <w:rStyle w:val="Hyperlink"/>
            <w:rFonts w:eastAsia="Times New Roman"/>
          </w:rPr>
          <w:t>(TI</w:t>
        </w:r>
        <w:r w:rsidR="002054CC" w:rsidRPr="00007B63">
          <w:rPr>
            <w:rStyle w:val="Hyperlink"/>
            <w:rFonts w:eastAsia="Times New Roman"/>
            <w:spacing w:val="31"/>
          </w:rPr>
          <w:t xml:space="preserve"> </w:t>
        </w:r>
        <w:r w:rsidR="002054CC" w:rsidRPr="00007B63">
          <w:rPr>
            <w:rStyle w:val="Hyperlink"/>
            <w:rFonts w:eastAsia="Times New Roman"/>
          </w:rPr>
          <w:t>903)</w:t>
        </w:r>
        <w:r w:rsidR="002054CC">
          <w:rPr>
            <w:webHidden/>
          </w:rPr>
          <w:tab/>
        </w:r>
        <w:r w:rsidR="002054CC">
          <w:rPr>
            <w:webHidden/>
          </w:rPr>
          <w:fldChar w:fldCharType="begin"/>
        </w:r>
        <w:r w:rsidR="002054CC">
          <w:rPr>
            <w:webHidden/>
          </w:rPr>
          <w:instrText xml:space="preserve"> PAGEREF _Toc428279226 \h </w:instrText>
        </w:r>
        <w:r w:rsidR="002054CC">
          <w:rPr>
            <w:webHidden/>
          </w:rPr>
        </w:r>
        <w:r w:rsidR="002054CC">
          <w:rPr>
            <w:webHidden/>
          </w:rPr>
          <w:fldChar w:fldCharType="separate"/>
        </w:r>
        <w:r w:rsidR="00E621C6">
          <w:rPr>
            <w:webHidden/>
          </w:rPr>
          <w:t>100</w:t>
        </w:r>
        <w:r w:rsidR="002054CC">
          <w:rPr>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227" w:history="1">
        <w:r w:rsidR="002054CC" w:rsidRPr="00007B63">
          <w:rPr>
            <w:rStyle w:val="Hyperlink"/>
            <w:noProof/>
          </w:rPr>
          <w:t>Contracts with senior officers</w:t>
        </w:r>
        <w:r w:rsidR="002054CC">
          <w:rPr>
            <w:noProof/>
            <w:webHidden/>
          </w:rPr>
          <w:tab/>
        </w:r>
        <w:r w:rsidR="002054CC">
          <w:rPr>
            <w:noProof/>
            <w:webHidden/>
          </w:rPr>
          <w:fldChar w:fldCharType="begin"/>
        </w:r>
        <w:r w:rsidR="002054CC">
          <w:rPr>
            <w:noProof/>
            <w:webHidden/>
          </w:rPr>
          <w:instrText xml:space="preserve"> PAGEREF _Toc428279227 \h </w:instrText>
        </w:r>
        <w:r w:rsidR="002054CC">
          <w:rPr>
            <w:noProof/>
            <w:webHidden/>
          </w:rPr>
        </w:r>
        <w:r w:rsidR="002054CC">
          <w:rPr>
            <w:noProof/>
            <w:webHidden/>
          </w:rPr>
          <w:fldChar w:fldCharType="separate"/>
        </w:r>
        <w:r w:rsidR="00E621C6">
          <w:rPr>
            <w:noProof/>
            <w:webHidden/>
          </w:rPr>
          <w:t>100</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228" w:history="1">
        <w:r w:rsidR="002054CC" w:rsidRPr="00007B63">
          <w:rPr>
            <w:rStyle w:val="Hyperlink"/>
            <w:rFonts w:eastAsia="Times New Roman"/>
            <w:noProof/>
          </w:rPr>
          <w:t>Board remuneration</w:t>
        </w:r>
        <w:r w:rsidR="002054CC">
          <w:rPr>
            <w:noProof/>
            <w:webHidden/>
          </w:rPr>
          <w:tab/>
        </w:r>
        <w:r w:rsidR="002054CC">
          <w:rPr>
            <w:noProof/>
            <w:webHidden/>
          </w:rPr>
          <w:fldChar w:fldCharType="begin"/>
        </w:r>
        <w:r w:rsidR="002054CC">
          <w:rPr>
            <w:noProof/>
            <w:webHidden/>
          </w:rPr>
          <w:instrText xml:space="preserve"> PAGEREF _Toc428279228 \h </w:instrText>
        </w:r>
        <w:r w:rsidR="002054CC">
          <w:rPr>
            <w:noProof/>
            <w:webHidden/>
          </w:rPr>
        </w:r>
        <w:r w:rsidR="002054CC">
          <w:rPr>
            <w:noProof/>
            <w:webHidden/>
          </w:rPr>
          <w:fldChar w:fldCharType="separate"/>
        </w:r>
        <w:r w:rsidR="00E621C6">
          <w:rPr>
            <w:noProof/>
            <w:webHidden/>
          </w:rPr>
          <w:t>100</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229" w:history="1">
        <w:r w:rsidR="002054CC" w:rsidRPr="00007B63">
          <w:rPr>
            <w:rStyle w:val="Hyperlink"/>
            <w:rFonts w:eastAsia="Times New Roman"/>
            <w:noProof/>
          </w:rPr>
          <w:t>Workers Compensation</w:t>
        </w:r>
        <w:r w:rsidR="002054CC">
          <w:rPr>
            <w:noProof/>
            <w:webHidden/>
          </w:rPr>
          <w:tab/>
        </w:r>
        <w:r w:rsidR="002054CC">
          <w:rPr>
            <w:noProof/>
            <w:webHidden/>
          </w:rPr>
          <w:fldChar w:fldCharType="begin"/>
        </w:r>
        <w:r w:rsidR="002054CC">
          <w:rPr>
            <w:noProof/>
            <w:webHidden/>
          </w:rPr>
          <w:instrText xml:space="preserve"> PAGEREF _Toc428279229 \h </w:instrText>
        </w:r>
        <w:r w:rsidR="002054CC">
          <w:rPr>
            <w:noProof/>
            <w:webHidden/>
          </w:rPr>
        </w:r>
        <w:r w:rsidR="002054CC">
          <w:rPr>
            <w:noProof/>
            <w:webHidden/>
          </w:rPr>
          <w:fldChar w:fldCharType="separate"/>
        </w:r>
        <w:r w:rsidR="00E621C6">
          <w:rPr>
            <w:noProof/>
            <w:webHidden/>
          </w:rPr>
          <w:t>101</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230" w:history="1">
        <w:r w:rsidR="002054CC" w:rsidRPr="00007B63">
          <w:rPr>
            <w:rStyle w:val="Hyperlink"/>
            <w:noProof/>
          </w:rPr>
          <w:t>Employment and Industrial Relations</w:t>
        </w:r>
        <w:r w:rsidR="002054CC">
          <w:rPr>
            <w:noProof/>
            <w:webHidden/>
          </w:rPr>
          <w:tab/>
        </w:r>
        <w:r w:rsidR="002054CC">
          <w:rPr>
            <w:noProof/>
            <w:webHidden/>
          </w:rPr>
          <w:fldChar w:fldCharType="begin"/>
        </w:r>
        <w:r w:rsidR="002054CC">
          <w:rPr>
            <w:noProof/>
            <w:webHidden/>
          </w:rPr>
          <w:instrText xml:space="preserve"> PAGEREF _Toc428279230 \h </w:instrText>
        </w:r>
        <w:r w:rsidR="002054CC">
          <w:rPr>
            <w:noProof/>
            <w:webHidden/>
          </w:rPr>
        </w:r>
        <w:r w:rsidR="002054CC">
          <w:rPr>
            <w:noProof/>
            <w:webHidden/>
          </w:rPr>
          <w:fldChar w:fldCharType="separate"/>
        </w:r>
        <w:r w:rsidR="00E621C6">
          <w:rPr>
            <w:noProof/>
            <w:webHidden/>
          </w:rPr>
          <w:t>101</w:t>
        </w:r>
        <w:r w:rsidR="002054CC">
          <w:rPr>
            <w:noProof/>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231" w:history="1">
        <w:r w:rsidR="002054CC" w:rsidRPr="00007B63">
          <w:rPr>
            <w:rStyle w:val="Hyperlink"/>
          </w:rPr>
          <w:t>Public interest disclosures</w:t>
        </w:r>
        <w:r w:rsidR="002054CC">
          <w:rPr>
            <w:webHidden/>
          </w:rPr>
          <w:tab/>
        </w:r>
        <w:r w:rsidR="002054CC">
          <w:rPr>
            <w:webHidden/>
          </w:rPr>
          <w:fldChar w:fldCharType="begin"/>
        </w:r>
        <w:r w:rsidR="002054CC">
          <w:rPr>
            <w:webHidden/>
          </w:rPr>
          <w:instrText xml:space="preserve"> PAGEREF _Toc428279231 \h </w:instrText>
        </w:r>
        <w:r w:rsidR="002054CC">
          <w:rPr>
            <w:webHidden/>
          </w:rPr>
        </w:r>
        <w:r w:rsidR="002054CC">
          <w:rPr>
            <w:webHidden/>
          </w:rPr>
          <w:fldChar w:fldCharType="separate"/>
        </w:r>
        <w:r w:rsidR="00E621C6">
          <w:rPr>
            <w:webHidden/>
          </w:rPr>
          <w:t>101</w:t>
        </w:r>
        <w:r w:rsidR="002054CC">
          <w:rPr>
            <w:webHidden/>
          </w:rPr>
          <w:fldChar w:fldCharType="end"/>
        </w:r>
      </w:hyperlink>
    </w:p>
    <w:p w:rsidR="002054CC" w:rsidRDefault="00921835" w:rsidP="00671CBA">
      <w:pPr>
        <w:pStyle w:val="TOC2"/>
        <w:rPr>
          <w:rFonts w:eastAsiaTheme="minorEastAsia" w:cstheme="minorBidi"/>
          <w:color w:val="auto"/>
          <w:szCs w:val="22"/>
          <w:lang w:eastAsia="en-AU"/>
        </w:rPr>
      </w:pPr>
      <w:hyperlink w:anchor="_Toc428279232" w:history="1">
        <w:r w:rsidR="002054CC" w:rsidRPr="00007B63">
          <w:rPr>
            <w:rStyle w:val="Hyperlink"/>
          </w:rPr>
          <w:t>Other legal requirements</w:t>
        </w:r>
        <w:r w:rsidR="002054CC">
          <w:rPr>
            <w:webHidden/>
          </w:rPr>
          <w:tab/>
        </w:r>
        <w:r w:rsidR="002054CC">
          <w:rPr>
            <w:webHidden/>
          </w:rPr>
          <w:fldChar w:fldCharType="begin"/>
        </w:r>
        <w:r w:rsidR="002054CC">
          <w:rPr>
            <w:webHidden/>
          </w:rPr>
          <w:instrText xml:space="preserve"> PAGEREF _Toc428279232 \h </w:instrText>
        </w:r>
        <w:r w:rsidR="002054CC">
          <w:rPr>
            <w:webHidden/>
          </w:rPr>
        </w:r>
        <w:r w:rsidR="002054CC">
          <w:rPr>
            <w:webHidden/>
          </w:rPr>
          <w:fldChar w:fldCharType="separate"/>
        </w:r>
        <w:r w:rsidR="00E621C6">
          <w:rPr>
            <w:webHidden/>
          </w:rPr>
          <w:t>102</w:t>
        </w:r>
        <w:r w:rsidR="002054CC">
          <w:rPr>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233" w:history="1">
        <w:r w:rsidR="002054CC" w:rsidRPr="00007B63">
          <w:rPr>
            <w:rStyle w:val="Hyperlink"/>
            <w:noProof/>
          </w:rPr>
          <w:t>Expenditure on advertising, market research, polling and direct mail</w:t>
        </w:r>
        <w:r w:rsidR="002054CC">
          <w:rPr>
            <w:noProof/>
            <w:webHidden/>
          </w:rPr>
          <w:tab/>
        </w:r>
        <w:r w:rsidR="002054CC">
          <w:rPr>
            <w:noProof/>
            <w:webHidden/>
          </w:rPr>
          <w:fldChar w:fldCharType="begin"/>
        </w:r>
        <w:r w:rsidR="002054CC">
          <w:rPr>
            <w:noProof/>
            <w:webHidden/>
          </w:rPr>
          <w:instrText xml:space="preserve"> PAGEREF _Toc428279233 \h </w:instrText>
        </w:r>
        <w:r w:rsidR="002054CC">
          <w:rPr>
            <w:noProof/>
            <w:webHidden/>
          </w:rPr>
        </w:r>
        <w:r w:rsidR="002054CC">
          <w:rPr>
            <w:noProof/>
            <w:webHidden/>
          </w:rPr>
          <w:fldChar w:fldCharType="separate"/>
        </w:r>
        <w:r w:rsidR="00E621C6">
          <w:rPr>
            <w:noProof/>
            <w:webHidden/>
          </w:rPr>
          <w:t>102</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234" w:history="1">
        <w:r w:rsidR="002054CC" w:rsidRPr="00007B63">
          <w:rPr>
            <w:rStyle w:val="Hyperlink"/>
            <w:noProof/>
          </w:rPr>
          <w:t>Disability access and inclusion plan outcomes</w:t>
        </w:r>
        <w:r w:rsidR="002054CC">
          <w:rPr>
            <w:noProof/>
            <w:webHidden/>
          </w:rPr>
          <w:tab/>
        </w:r>
        <w:r w:rsidR="002054CC">
          <w:rPr>
            <w:noProof/>
            <w:webHidden/>
          </w:rPr>
          <w:fldChar w:fldCharType="begin"/>
        </w:r>
        <w:r w:rsidR="002054CC">
          <w:rPr>
            <w:noProof/>
            <w:webHidden/>
          </w:rPr>
          <w:instrText xml:space="preserve"> PAGEREF _Toc428279234 \h </w:instrText>
        </w:r>
        <w:r w:rsidR="002054CC">
          <w:rPr>
            <w:noProof/>
            <w:webHidden/>
          </w:rPr>
        </w:r>
        <w:r w:rsidR="002054CC">
          <w:rPr>
            <w:noProof/>
            <w:webHidden/>
          </w:rPr>
          <w:fldChar w:fldCharType="separate"/>
        </w:r>
        <w:r w:rsidR="00E621C6">
          <w:rPr>
            <w:noProof/>
            <w:webHidden/>
          </w:rPr>
          <w:t>102</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235" w:history="1">
        <w:r w:rsidR="002054CC" w:rsidRPr="00007B63">
          <w:rPr>
            <w:rStyle w:val="Hyperlink"/>
            <w:noProof/>
          </w:rPr>
          <w:t>Compliance with Public Sector Standards and ethical codes</w:t>
        </w:r>
        <w:r w:rsidR="002054CC">
          <w:rPr>
            <w:noProof/>
            <w:webHidden/>
          </w:rPr>
          <w:tab/>
        </w:r>
        <w:r w:rsidR="002054CC">
          <w:rPr>
            <w:noProof/>
            <w:webHidden/>
          </w:rPr>
          <w:fldChar w:fldCharType="begin"/>
        </w:r>
        <w:r w:rsidR="002054CC">
          <w:rPr>
            <w:noProof/>
            <w:webHidden/>
          </w:rPr>
          <w:instrText xml:space="preserve"> PAGEREF _Toc428279235 \h </w:instrText>
        </w:r>
        <w:r w:rsidR="002054CC">
          <w:rPr>
            <w:noProof/>
            <w:webHidden/>
          </w:rPr>
        </w:r>
        <w:r w:rsidR="002054CC">
          <w:rPr>
            <w:noProof/>
            <w:webHidden/>
          </w:rPr>
          <w:fldChar w:fldCharType="separate"/>
        </w:r>
        <w:r w:rsidR="00E621C6">
          <w:rPr>
            <w:noProof/>
            <w:webHidden/>
          </w:rPr>
          <w:t>103</w:t>
        </w:r>
        <w:r w:rsidR="002054CC">
          <w:rPr>
            <w:noProof/>
            <w:webHidden/>
          </w:rPr>
          <w:fldChar w:fldCharType="end"/>
        </w:r>
      </w:hyperlink>
    </w:p>
    <w:p w:rsidR="002054CC" w:rsidRDefault="00921835" w:rsidP="00B41C73">
      <w:pPr>
        <w:pStyle w:val="TOC3"/>
        <w:spacing w:line="240" w:lineRule="auto"/>
        <w:rPr>
          <w:rFonts w:eastAsiaTheme="minorEastAsia" w:cstheme="minorBidi"/>
          <w:noProof/>
          <w:color w:val="auto"/>
          <w:szCs w:val="22"/>
          <w:lang w:eastAsia="en-AU"/>
        </w:rPr>
      </w:pPr>
      <w:hyperlink w:anchor="_Toc428279236" w:history="1">
        <w:r w:rsidR="002054CC" w:rsidRPr="00007B63">
          <w:rPr>
            <w:rStyle w:val="Hyperlink"/>
            <w:noProof/>
          </w:rPr>
          <w:t>Government policy requirements</w:t>
        </w:r>
        <w:r w:rsidR="002054CC">
          <w:rPr>
            <w:noProof/>
            <w:webHidden/>
          </w:rPr>
          <w:tab/>
        </w:r>
        <w:r w:rsidR="002054CC">
          <w:rPr>
            <w:noProof/>
            <w:webHidden/>
          </w:rPr>
          <w:fldChar w:fldCharType="begin"/>
        </w:r>
        <w:r w:rsidR="002054CC">
          <w:rPr>
            <w:noProof/>
            <w:webHidden/>
          </w:rPr>
          <w:instrText xml:space="preserve"> PAGEREF _Toc428279236 \h </w:instrText>
        </w:r>
        <w:r w:rsidR="002054CC">
          <w:rPr>
            <w:noProof/>
            <w:webHidden/>
          </w:rPr>
        </w:r>
        <w:r w:rsidR="002054CC">
          <w:rPr>
            <w:noProof/>
            <w:webHidden/>
          </w:rPr>
          <w:fldChar w:fldCharType="separate"/>
        </w:r>
        <w:r w:rsidR="00E621C6">
          <w:rPr>
            <w:noProof/>
            <w:webHidden/>
          </w:rPr>
          <w:t>103</w:t>
        </w:r>
        <w:r w:rsidR="002054CC">
          <w:rPr>
            <w:noProof/>
            <w:webHidden/>
          </w:rPr>
          <w:fldChar w:fldCharType="end"/>
        </w:r>
      </w:hyperlink>
    </w:p>
    <w:p w:rsidR="000558AD" w:rsidRPr="00B41C73" w:rsidRDefault="000558AD" w:rsidP="00671CBA">
      <w:pPr>
        <w:pStyle w:val="TOC1"/>
        <w:rPr>
          <w:rStyle w:val="Hyperlink"/>
          <w:color w:val="2F5E9D" w:themeColor="accent1"/>
        </w:rPr>
      </w:pPr>
      <w:r w:rsidRPr="00B41C73">
        <w:rPr>
          <w:rStyle w:val="Hyperlink"/>
          <w:color w:val="2F5E9D" w:themeColor="accent1"/>
        </w:rPr>
        <w:t>APPENDICES</w:t>
      </w:r>
      <w:r w:rsidR="00B41C73" w:rsidRPr="00B41C73">
        <w:rPr>
          <w:rStyle w:val="Hyperlink"/>
          <w:color w:val="2F5E9D" w:themeColor="accent1"/>
        </w:rPr>
        <w:tab/>
        <w:t>102</w:t>
      </w:r>
    </w:p>
    <w:p w:rsidR="002054CC" w:rsidRDefault="00921835" w:rsidP="00671CBA">
      <w:pPr>
        <w:pStyle w:val="TOC1"/>
        <w:rPr>
          <w:rFonts w:eastAsiaTheme="minorEastAsia" w:cstheme="minorBidi"/>
          <w:color w:val="auto"/>
          <w:sz w:val="22"/>
          <w:szCs w:val="22"/>
          <w:lang w:eastAsia="en-AU"/>
        </w:rPr>
      </w:pPr>
      <w:hyperlink w:anchor="_Toc428279237" w:history="1">
        <w:r w:rsidR="002054CC" w:rsidRPr="00007B63">
          <w:rPr>
            <w:rStyle w:val="Hyperlink"/>
          </w:rPr>
          <w:t xml:space="preserve">Appendix 1 – Public reports and recommendations to the Minister </w:t>
        </w:r>
        <w:r w:rsidR="002054CC">
          <w:rPr>
            <w:webHidden/>
          </w:rPr>
          <w:tab/>
        </w:r>
        <w:r w:rsidR="002054CC">
          <w:rPr>
            <w:webHidden/>
          </w:rPr>
          <w:fldChar w:fldCharType="begin"/>
        </w:r>
        <w:r w:rsidR="002054CC">
          <w:rPr>
            <w:webHidden/>
          </w:rPr>
          <w:instrText xml:space="preserve"> PAGEREF _Toc428279237 \h </w:instrText>
        </w:r>
        <w:r w:rsidR="002054CC">
          <w:rPr>
            <w:webHidden/>
          </w:rPr>
        </w:r>
        <w:r w:rsidR="002054CC">
          <w:rPr>
            <w:webHidden/>
          </w:rPr>
          <w:fldChar w:fldCharType="separate"/>
        </w:r>
        <w:r w:rsidR="00E621C6">
          <w:rPr>
            <w:webHidden/>
          </w:rPr>
          <w:t>105</w:t>
        </w:r>
        <w:r w:rsidR="002054CC">
          <w:rPr>
            <w:webHidden/>
          </w:rPr>
          <w:fldChar w:fldCharType="end"/>
        </w:r>
      </w:hyperlink>
    </w:p>
    <w:p w:rsidR="002054CC" w:rsidRDefault="00921835" w:rsidP="00671CBA">
      <w:pPr>
        <w:pStyle w:val="TOC1"/>
        <w:rPr>
          <w:rFonts w:eastAsiaTheme="minorEastAsia" w:cstheme="minorBidi"/>
          <w:color w:val="auto"/>
          <w:sz w:val="22"/>
          <w:szCs w:val="22"/>
          <w:lang w:eastAsia="en-AU"/>
        </w:rPr>
      </w:pPr>
      <w:hyperlink w:anchor="_Toc428279242" w:history="1">
        <w:r w:rsidR="002054CC" w:rsidRPr="00007B63">
          <w:rPr>
            <w:rStyle w:val="Hyperlink"/>
          </w:rPr>
          <w:t>Appendix 2 Other EPA and OEPA publications during 2014–15</w:t>
        </w:r>
        <w:r w:rsidR="002054CC">
          <w:rPr>
            <w:webHidden/>
          </w:rPr>
          <w:tab/>
        </w:r>
        <w:r w:rsidR="002054CC">
          <w:rPr>
            <w:webHidden/>
          </w:rPr>
          <w:fldChar w:fldCharType="begin"/>
        </w:r>
        <w:r w:rsidR="002054CC">
          <w:rPr>
            <w:webHidden/>
          </w:rPr>
          <w:instrText xml:space="preserve"> PAGEREF _Toc428279242 \h </w:instrText>
        </w:r>
        <w:r w:rsidR="002054CC">
          <w:rPr>
            <w:webHidden/>
          </w:rPr>
        </w:r>
        <w:r w:rsidR="002054CC">
          <w:rPr>
            <w:webHidden/>
          </w:rPr>
          <w:fldChar w:fldCharType="separate"/>
        </w:r>
        <w:r w:rsidR="00E621C6">
          <w:rPr>
            <w:webHidden/>
          </w:rPr>
          <w:t>108</w:t>
        </w:r>
        <w:r w:rsidR="002054CC">
          <w:rPr>
            <w:webHidden/>
          </w:rPr>
          <w:fldChar w:fldCharType="end"/>
        </w:r>
      </w:hyperlink>
    </w:p>
    <w:p w:rsidR="00174A2E" w:rsidRDefault="00F76CC1" w:rsidP="00B41C73">
      <w:pPr>
        <w:spacing w:after="0" w:line="240" w:lineRule="auto"/>
        <w:rPr>
          <w:sz w:val="20"/>
          <w:szCs w:val="20"/>
        </w:rPr>
      </w:pPr>
      <w:r>
        <w:rPr>
          <w:rFonts w:cstheme="minorHAnsi"/>
          <w:b/>
          <w:bCs/>
          <w:noProof/>
          <w:sz w:val="20"/>
          <w:szCs w:val="20"/>
        </w:rPr>
        <w:fldChar w:fldCharType="end"/>
      </w:r>
    </w:p>
    <w:p w:rsidR="005E35EB" w:rsidRDefault="005E35EB" w:rsidP="00473E33">
      <w:pPr>
        <w:spacing w:after="0" w:line="200" w:lineRule="exact"/>
        <w:rPr>
          <w:sz w:val="20"/>
          <w:szCs w:val="20"/>
        </w:rPr>
      </w:pPr>
    </w:p>
    <w:p w:rsidR="005E35EB" w:rsidRDefault="005E35EB" w:rsidP="00473E33">
      <w:pPr>
        <w:spacing w:after="0" w:line="200" w:lineRule="exact"/>
        <w:rPr>
          <w:sz w:val="20"/>
          <w:szCs w:val="20"/>
        </w:rPr>
      </w:pPr>
    </w:p>
    <w:p w:rsidR="00C4187B" w:rsidRDefault="00C4187B" w:rsidP="00473E33">
      <w:pPr>
        <w:spacing w:after="0" w:line="200" w:lineRule="exact"/>
        <w:rPr>
          <w:sz w:val="20"/>
          <w:szCs w:val="20"/>
        </w:rPr>
        <w:sectPr w:rsidR="00C4187B" w:rsidSect="007343DA">
          <w:headerReference w:type="even" r:id="rId35"/>
          <w:headerReference w:type="default" r:id="rId36"/>
          <w:footerReference w:type="even" r:id="rId37"/>
          <w:pgSz w:w="11906" w:h="16838"/>
          <w:pgMar w:top="1245" w:right="993" w:bottom="1440" w:left="1440" w:header="568" w:footer="170" w:gutter="0"/>
          <w:cols w:space="709"/>
          <w:docGrid w:linePitch="360"/>
        </w:sectPr>
      </w:pPr>
    </w:p>
    <w:bookmarkStart w:id="9" w:name="_Toc428279134"/>
    <w:p w:rsidR="005E6E7B" w:rsidRDefault="002A3D82" w:rsidP="002A3D82">
      <w:pPr>
        <w:pStyle w:val="Sectionheading"/>
      </w:pPr>
      <w:r>
        <w:rPr>
          <w:noProof/>
          <w:lang w:eastAsia="en-AU"/>
        </w:rPr>
        <w:lastRenderedPageBreak/>
        <mc:AlternateContent>
          <mc:Choice Requires="wps">
            <w:drawing>
              <wp:anchor distT="0" distB="0" distL="114300" distR="114300" simplePos="0" relativeHeight="251671552" behindDoc="0" locked="1" layoutInCell="1" allowOverlap="1" wp14:anchorId="3B8745B7" wp14:editId="4F8A42CA">
                <wp:simplePos x="0" y="0"/>
                <wp:positionH relativeFrom="page">
                  <wp:posOffset>824230</wp:posOffset>
                </wp:positionH>
                <wp:positionV relativeFrom="page">
                  <wp:posOffset>914400</wp:posOffset>
                </wp:positionV>
                <wp:extent cx="3906000" cy="532800"/>
                <wp:effectExtent l="0" t="0" r="0" b="635"/>
                <wp:wrapNone/>
                <wp:docPr id="16" name="Text Box 16"/>
                <wp:cNvGraphicFramePr/>
                <a:graphic xmlns:a="http://schemas.openxmlformats.org/drawingml/2006/main">
                  <a:graphicData uri="http://schemas.microsoft.com/office/word/2010/wordprocessingShape">
                    <wps:wsp>
                      <wps:cNvSpPr txBox="1"/>
                      <wps:spPr>
                        <a:xfrm>
                          <a:off x="0" y="0"/>
                          <a:ext cx="3906000" cy="532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1C6" w:rsidRPr="002B771E" w:rsidRDefault="00E621C6" w:rsidP="000E07E1">
                            <w:pPr>
                              <w:pStyle w:val="Chapterheading"/>
                            </w:pPr>
                            <w:bookmarkStart w:id="10" w:name="_Toc428279135"/>
                            <w:r>
                              <w:t>Overview</w:t>
                            </w:r>
                            <w:bookmarkEnd w:id="1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16" o:spid="_x0000_s1026" type="#_x0000_t202" style="position:absolute;margin-left:64.9pt;margin-top:1in;width:307.55pt;height:41.95pt;z-index:251671552;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" filled="f" stroked="f" strokeweight=".5pt">
                <v:textbox>
                  <w:txbxContent>
                    <w:p w:rsidR="00E621C6" w:rsidRPr="002B771E" w:rsidRDefault="00E621C6" w:rsidP="000E07E1">
                      <w:pPr>
                        <w:pStyle w:val="Chapterheading"/>
                      </w:pPr>
                      <w:bookmarkStart w:id="11" w:name="_Toc428279135"/>
                      <w:r>
                        <w:t>Overview</w:t>
                      </w:r>
                      <w:bookmarkEnd w:id="11"/>
                    </w:p>
                  </w:txbxContent>
                </v:textbox>
                <w10:wrap anchorx="page" anchory="page"/>
                <w10:anchorlock/>
              </v:shape>
            </w:pict>
          </mc:Fallback>
        </mc:AlternateContent>
      </w:r>
      <w:r w:rsidR="0006345C">
        <w:rPr>
          <w:noProof/>
          <w:lang w:eastAsia="en-AU"/>
        </w:rPr>
        <w:drawing>
          <wp:anchor distT="0" distB="0" distL="114300" distR="114300" simplePos="0" relativeHeight="251667456" behindDoc="0" locked="1" layoutInCell="1" allowOverlap="1" wp14:anchorId="063119E6" wp14:editId="24BB5038">
            <wp:simplePos x="0" y="0"/>
            <wp:positionH relativeFrom="page">
              <wp:posOffset>0</wp:posOffset>
            </wp:positionH>
            <wp:positionV relativeFrom="page">
              <wp:posOffset>791845</wp:posOffset>
            </wp:positionV>
            <wp:extent cx="7563600" cy="1083600"/>
            <wp:effectExtent l="0" t="0" r="0" b="2540"/>
            <wp:wrapTopAndBottom/>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overview.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7563600" cy="1083600"/>
                    </a:xfrm>
                    <a:prstGeom prst="rect">
                      <a:avLst/>
                    </a:prstGeom>
                  </pic:spPr>
                </pic:pic>
              </a:graphicData>
            </a:graphic>
            <wp14:sizeRelH relativeFrom="margin">
              <wp14:pctWidth>0</wp14:pctWidth>
            </wp14:sizeRelH>
            <wp14:sizeRelV relativeFrom="margin">
              <wp14:pctHeight>0</wp14:pctHeight>
            </wp14:sizeRelV>
          </wp:anchor>
        </w:drawing>
      </w:r>
      <w:r w:rsidR="00B4543C">
        <w:t>Executive s</w:t>
      </w:r>
      <w:r w:rsidR="005E6E7B">
        <w:t>ummary</w:t>
      </w:r>
      <w:bookmarkEnd w:id="9"/>
    </w:p>
    <w:p w:rsidR="005E6E7B" w:rsidRDefault="005E6E7B" w:rsidP="005E6E7B">
      <w:pPr>
        <w:pStyle w:val="Heading1"/>
      </w:pPr>
      <w:bookmarkStart w:id="11" w:name="_Toc428279136"/>
      <w:r>
        <w:t>Performance highlights</w:t>
      </w:r>
      <w:bookmarkEnd w:id="11"/>
    </w:p>
    <w:p w:rsidR="005E6E7B" w:rsidRDefault="00EE0824" w:rsidP="00067EE9">
      <w:pPr>
        <w:pStyle w:val="ListParagraph"/>
      </w:pPr>
      <w:r>
        <w:t>The EPA’s satisfaction with the OEPA’s environmental impact assessment</w:t>
      </w:r>
      <w:r w:rsidR="00A63121">
        <w:t xml:space="preserve"> services during the year was 89</w:t>
      </w:r>
      <w:r>
        <w:t>%.</w:t>
      </w:r>
    </w:p>
    <w:p w:rsidR="00B47FEB" w:rsidRDefault="00B47FEB" w:rsidP="00067EE9">
      <w:pPr>
        <w:pStyle w:val="ListParagraph"/>
      </w:pPr>
      <w:r w:rsidRPr="00B47FEB">
        <w:t>99% of project-specific conditions did not require significant change following the appeal process</w:t>
      </w:r>
      <w:r>
        <w:t>.</w:t>
      </w:r>
    </w:p>
    <w:p w:rsidR="00B47FEB" w:rsidRDefault="00B47FEB" w:rsidP="00067EE9">
      <w:pPr>
        <w:pStyle w:val="ListParagraph"/>
      </w:pPr>
      <w:r>
        <w:t>100% of environmental impact assessments met agreed timelines.</w:t>
      </w:r>
    </w:p>
    <w:p w:rsidR="00FC374D" w:rsidRDefault="00FC374D" w:rsidP="00067EE9">
      <w:pPr>
        <w:pStyle w:val="ListParagraph"/>
      </w:pPr>
      <w:r>
        <w:t>97% of projects audited during the year are compliant with Ministerial conditions.</w:t>
      </w:r>
    </w:p>
    <w:p w:rsidR="00497BBB" w:rsidRDefault="00497BBB" w:rsidP="00067EE9">
      <w:pPr>
        <w:pStyle w:val="ListParagraph"/>
      </w:pPr>
      <w:r>
        <w:t>The EPA’s satisfaction with the OEPA’s provision of environmental management services during the year was 9</w:t>
      </w:r>
      <w:r w:rsidR="00B44F99">
        <w:t>2</w:t>
      </w:r>
      <w:r>
        <w:t>%.</w:t>
      </w:r>
    </w:p>
    <w:p w:rsidR="00737834" w:rsidRDefault="00737834" w:rsidP="00067EE9">
      <w:pPr>
        <w:pStyle w:val="Lastbullet"/>
      </w:pPr>
      <w:r>
        <w:t>A comprehensive review of the EPA’s policy suite was completed during the year.</w:t>
      </w:r>
    </w:p>
    <w:p w:rsidR="00E55F3F" w:rsidRDefault="00E55F3F" w:rsidP="00E55F3F">
      <w:pPr>
        <w:pStyle w:val="Sectionheading"/>
      </w:pPr>
      <w:bookmarkStart w:id="12" w:name="_Toc428279137"/>
      <w:r>
        <w:t>O</w:t>
      </w:r>
      <w:r w:rsidR="00E46E20">
        <w:t>perational</w:t>
      </w:r>
      <w:r>
        <w:t xml:space="preserve"> structure</w:t>
      </w:r>
      <w:bookmarkEnd w:id="12"/>
    </w:p>
    <w:p w:rsidR="00E55F3F" w:rsidRDefault="00E55F3F" w:rsidP="00E55F3F">
      <w:pPr>
        <w:pStyle w:val="Body"/>
      </w:pPr>
      <w:r>
        <w:t xml:space="preserve">The OEPA </w:t>
      </w:r>
      <w:r w:rsidR="00E46E20">
        <w:t>delivers its services through</w:t>
      </w:r>
      <w:r>
        <w:t xml:space="preserve"> three divisions:</w:t>
      </w:r>
    </w:p>
    <w:p w:rsidR="00E55F3F" w:rsidRPr="00DB65EE" w:rsidRDefault="00E55F3F" w:rsidP="00DB65EE">
      <w:pPr>
        <w:pStyle w:val="Heading3"/>
      </w:pPr>
      <w:bookmarkStart w:id="13" w:name="_Toc428279138"/>
      <w:r w:rsidRPr="00DB65EE">
        <w:t>Assessment and Compliance Division</w:t>
      </w:r>
      <w:bookmarkEnd w:id="13"/>
    </w:p>
    <w:p w:rsidR="00E55F3F" w:rsidRDefault="00E55F3F" w:rsidP="00E55F3F">
      <w:pPr>
        <w:pStyle w:val="Body"/>
      </w:pPr>
      <w:r>
        <w:t>The Assessment and Compliance Division provides environmental impact assessment support to the EPA for significant proposals (that is, proposals involving major projects, industrial, mining, petroleum and infrastructure developments) and strategic proposals. The division also monitors compliance with Ministerial approval conditions.</w:t>
      </w:r>
    </w:p>
    <w:p w:rsidR="00E55F3F" w:rsidRDefault="00E55F3F" w:rsidP="00E55F3F">
      <w:pPr>
        <w:pStyle w:val="Body"/>
      </w:pPr>
      <w:r>
        <w:t>The division:</w:t>
      </w:r>
    </w:p>
    <w:p w:rsidR="00E55F3F" w:rsidRPr="00067EE9" w:rsidRDefault="00E55F3F" w:rsidP="00067EE9">
      <w:pPr>
        <w:pStyle w:val="ListParagraph"/>
      </w:pPr>
      <w:r w:rsidRPr="00067EE9">
        <w:t>is responsible for administering the environmental impact assessment processes on behalf of the EPA, for significant proposals and strategic proposals;</w:t>
      </w:r>
    </w:p>
    <w:p w:rsidR="00E55F3F" w:rsidRPr="00067EE9" w:rsidRDefault="00E55F3F" w:rsidP="00067EE9">
      <w:pPr>
        <w:pStyle w:val="ListParagraph"/>
      </w:pPr>
      <w:r w:rsidRPr="00067EE9">
        <w:t>provides environmental impact assessment advice to the EPA on all major infrastructure proposals;</w:t>
      </w:r>
    </w:p>
    <w:p w:rsidR="00E55F3F" w:rsidRPr="00067EE9" w:rsidRDefault="00E55F3F" w:rsidP="00067EE9">
      <w:pPr>
        <w:pStyle w:val="ListParagraph"/>
      </w:pPr>
      <w:r w:rsidRPr="00067EE9">
        <w:t>prepares draft EPA reports and recommendations to the Minister for Environment on environmental assessments;</w:t>
      </w:r>
    </w:p>
    <w:p w:rsidR="00E55F3F" w:rsidRPr="00067EE9" w:rsidRDefault="00E55F3F" w:rsidP="00067EE9">
      <w:pPr>
        <w:pStyle w:val="ListParagraph"/>
      </w:pPr>
      <w:r w:rsidRPr="00067EE9">
        <w:t>assists the Minister for Environment in issuing and managing Ministerial approval statements and conditions of implementation; and</w:t>
      </w:r>
    </w:p>
    <w:p w:rsidR="00E55F3F" w:rsidRDefault="00E55F3F" w:rsidP="00067EE9">
      <w:pPr>
        <w:pStyle w:val="Lastbullet"/>
      </w:pPr>
      <w:proofErr w:type="gramStart"/>
      <w:r>
        <w:t>monitors</w:t>
      </w:r>
      <w:proofErr w:type="gramEnd"/>
      <w:r>
        <w:t xml:space="preserve"> the implementation of proposals.</w:t>
      </w:r>
    </w:p>
    <w:p w:rsidR="00E55F3F" w:rsidRDefault="00E55F3F" w:rsidP="00DB65EE">
      <w:pPr>
        <w:pStyle w:val="Heading3"/>
      </w:pPr>
      <w:bookmarkStart w:id="14" w:name="_Toc428279139"/>
      <w:r>
        <w:lastRenderedPageBreak/>
        <w:t>Strategic Policy and Planning Division</w:t>
      </w:r>
      <w:bookmarkEnd w:id="14"/>
    </w:p>
    <w:p w:rsidR="00E55F3F" w:rsidRDefault="00E55F3F" w:rsidP="00E55F3F">
      <w:pPr>
        <w:pStyle w:val="Body"/>
      </w:pPr>
      <w:r>
        <w:t>The Strategic Policy and Planning Division’s role is to provide advice and support to the EPA, the Minister for Environment and other parts of Government by:</w:t>
      </w:r>
    </w:p>
    <w:p w:rsidR="00E55F3F" w:rsidRPr="00067EE9" w:rsidRDefault="00E55F3F" w:rsidP="00067EE9">
      <w:pPr>
        <w:pStyle w:val="ListParagraph"/>
      </w:pPr>
      <w:r w:rsidRPr="00067EE9">
        <w:t>providing technical and policy advice in relation to environmental impact assessment of significant proposals and schemes;</w:t>
      </w:r>
    </w:p>
    <w:p w:rsidR="00E55F3F" w:rsidRPr="00067EE9" w:rsidRDefault="00E55F3F" w:rsidP="00067EE9">
      <w:pPr>
        <w:pStyle w:val="ListParagraph"/>
      </w:pPr>
      <w:r w:rsidRPr="00067EE9">
        <w:t>providing technical and policy advice on environment issues in general;</w:t>
      </w:r>
    </w:p>
    <w:p w:rsidR="00E55F3F" w:rsidRPr="00067EE9" w:rsidRDefault="00E55F3F" w:rsidP="00067EE9">
      <w:pPr>
        <w:pStyle w:val="ListParagraph"/>
      </w:pPr>
      <w:r w:rsidRPr="00067EE9">
        <w:t>coordinating the development, analysis, implementation and review of environmental policies and guidelines;</w:t>
      </w:r>
    </w:p>
    <w:p w:rsidR="00E55F3F" w:rsidRPr="00067EE9" w:rsidRDefault="00E55F3F" w:rsidP="00067EE9">
      <w:pPr>
        <w:pStyle w:val="ListParagraph"/>
      </w:pPr>
      <w:r w:rsidRPr="00067EE9">
        <w:t>managing the formulation and review of statutory Environmental Protection Policies;</w:t>
      </w:r>
    </w:p>
    <w:p w:rsidR="00E55F3F" w:rsidRPr="00067EE9" w:rsidRDefault="00E55F3F" w:rsidP="00067EE9">
      <w:pPr>
        <w:pStyle w:val="ListParagraph"/>
      </w:pPr>
      <w:r w:rsidRPr="00067EE9">
        <w:t>contributing to strategic environmental planning;</w:t>
      </w:r>
    </w:p>
    <w:p w:rsidR="00E55F3F" w:rsidRPr="00067EE9" w:rsidRDefault="00E55F3F" w:rsidP="00067EE9">
      <w:pPr>
        <w:pStyle w:val="ListParagraph"/>
      </w:pPr>
      <w:r w:rsidRPr="00067EE9">
        <w:t>providing environmental impact assessment advice to the EPA on major subdivisions, town planning schemes and amendments and regional schemes;</w:t>
      </w:r>
    </w:p>
    <w:p w:rsidR="00E55F3F" w:rsidRPr="00067EE9" w:rsidRDefault="00E55F3F" w:rsidP="00067EE9">
      <w:pPr>
        <w:pStyle w:val="ListParagraph"/>
      </w:pPr>
      <w:r w:rsidRPr="00067EE9">
        <w:t>developing strategic partnerships with stakeholders, including industry, environmental organisations and other Federal, State and local Government agencies;</w:t>
      </w:r>
    </w:p>
    <w:p w:rsidR="00E55F3F" w:rsidRPr="00067EE9" w:rsidRDefault="00E55F3F" w:rsidP="00067EE9">
      <w:pPr>
        <w:pStyle w:val="ListParagraph"/>
      </w:pPr>
      <w:r w:rsidRPr="00067EE9">
        <w:t>conducting investigations to improve understanding of the natural environment and inform successful policy approaches;</w:t>
      </w:r>
    </w:p>
    <w:p w:rsidR="00E55F3F" w:rsidRPr="00067EE9" w:rsidRDefault="00E55F3F" w:rsidP="00067EE9">
      <w:pPr>
        <w:pStyle w:val="ListParagraph"/>
      </w:pPr>
      <w:r w:rsidRPr="00067EE9">
        <w:t>providing media liaison and internal and external communications services; and</w:t>
      </w:r>
    </w:p>
    <w:p w:rsidR="00E55F3F" w:rsidRDefault="00E55F3F" w:rsidP="00067EE9">
      <w:pPr>
        <w:pStyle w:val="ListParagraph"/>
      </w:pPr>
      <w:proofErr w:type="gramStart"/>
      <w:r>
        <w:t>identifying</w:t>
      </w:r>
      <w:proofErr w:type="gramEnd"/>
      <w:r>
        <w:t xml:space="preserve"> emerging environmental pressures and innovative technical or policy solutions.</w:t>
      </w:r>
    </w:p>
    <w:p w:rsidR="00E55F3F" w:rsidRDefault="00E55F3F" w:rsidP="00712A6C">
      <w:pPr>
        <w:pStyle w:val="Heading3"/>
      </w:pPr>
      <w:bookmarkStart w:id="15" w:name="_Toc428279140"/>
      <w:r>
        <w:t>Business Operations Division</w:t>
      </w:r>
      <w:bookmarkEnd w:id="15"/>
    </w:p>
    <w:p w:rsidR="00357753" w:rsidRDefault="00E55F3F" w:rsidP="002104A8">
      <w:pPr>
        <w:pStyle w:val="Body"/>
      </w:pPr>
      <w:r>
        <w:t>During 2014–15, the Business Operations Division provided services including ministerial liaison, legal advice and Freedom of Information (FOI) and financial management, as well as executive support and administrative services to the EPA. This division also facilitated and administered the service agreements with the Department of Parks and Wildlife and the Department of Environment Regulation during the year.</w:t>
      </w:r>
    </w:p>
    <w:p w:rsidR="007C28E9" w:rsidRDefault="007C28E9" w:rsidP="007C28E9">
      <w:pPr>
        <w:pStyle w:val="Heading1"/>
      </w:pPr>
      <w:bookmarkStart w:id="16" w:name="_Toc428279141"/>
      <w:r>
        <w:t>Enabling legislation and the role of the OEPA</w:t>
      </w:r>
      <w:bookmarkEnd w:id="16"/>
      <w:r>
        <w:t xml:space="preserve"> </w:t>
      </w:r>
    </w:p>
    <w:p w:rsidR="00266F1B" w:rsidRDefault="00266F1B" w:rsidP="00266F1B">
      <w:pPr>
        <w:pStyle w:val="Heading2"/>
      </w:pPr>
      <w:bookmarkStart w:id="17" w:name="_Toc428279142"/>
      <w:r>
        <w:t>Enabling legislation</w:t>
      </w:r>
      <w:bookmarkEnd w:id="17"/>
    </w:p>
    <w:p w:rsidR="00266F1B" w:rsidRDefault="007C28E9" w:rsidP="007C28E9">
      <w:pPr>
        <w:pStyle w:val="Body"/>
      </w:pPr>
      <w:r w:rsidRPr="00D804A4">
        <w:t>The Office of the Environmental Protection Authority (OEPA) wa</w:t>
      </w:r>
      <w:r>
        <w:t xml:space="preserve">s established </w:t>
      </w:r>
      <w:r w:rsidR="00266F1B">
        <w:t xml:space="preserve">as a department </w:t>
      </w:r>
      <w:r>
        <w:t>in 2009</w:t>
      </w:r>
      <w:r w:rsidR="00266F1B">
        <w:t xml:space="preserve"> under the </w:t>
      </w:r>
      <w:r w:rsidR="00266F1B" w:rsidRPr="000E5F08">
        <w:rPr>
          <w:i/>
        </w:rPr>
        <w:t>Environmental Protection Act 1986</w:t>
      </w:r>
      <w:r w:rsidR="00266F1B" w:rsidRPr="00D804A4">
        <w:t xml:space="preserve"> (EP Act)</w:t>
      </w:r>
      <w:r w:rsidR="00266F1B">
        <w:t>.</w:t>
      </w:r>
    </w:p>
    <w:p w:rsidR="00266F1B" w:rsidRDefault="00266F1B" w:rsidP="00266F1B">
      <w:pPr>
        <w:pStyle w:val="Heading2"/>
      </w:pPr>
      <w:bookmarkStart w:id="18" w:name="_Toc428279143"/>
      <w:r>
        <w:lastRenderedPageBreak/>
        <w:t>Responsible Minister</w:t>
      </w:r>
      <w:bookmarkEnd w:id="18"/>
    </w:p>
    <w:p w:rsidR="00266F1B" w:rsidRDefault="002104A8" w:rsidP="007C28E9">
      <w:pPr>
        <w:pStyle w:val="Body"/>
      </w:pPr>
      <w:r>
        <w:t xml:space="preserve">During 2014–15 the OEPA </w:t>
      </w:r>
      <w:r w:rsidR="0000083A">
        <w:t>reported to t</w:t>
      </w:r>
      <w:r w:rsidR="00266F1B" w:rsidRPr="00D804A4">
        <w:t>he Honourable Albert Jacob MLA</w:t>
      </w:r>
      <w:r w:rsidR="00266F1B">
        <w:t>, Minister for Environment.</w:t>
      </w:r>
    </w:p>
    <w:p w:rsidR="00266F1B" w:rsidRPr="00D804A4" w:rsidRDefault="00266F1B" w:rsidP="00266F1B">
      <w:pPr>
        <w:pStyle w:val="Heading2"/>
      </w:pPr>
      <w:bookmarkStart w:id="19" w:name="_Toc428279144"/>
      <w:r>
        <w:t>The role of the OEPA</w:t>
      </w:r>
      <w:bookmarkEnd w:id="19"/>
    </w:p>
    <w:p w:rsidR="00266F1B" w:rsidRDefault="00266F1B" w:rsidP="00266F1B">
      <w:pPr>
        <w:pStyle w:val="Body"/>
      </w:pPr>
      <w:r>
        <w:t>The role of the OEPA is to provide services to</w:t>
      </w:r>
      <w:r w:rsidRPr="00D804A4">
        <w:t xml:space="preserve"> the EPA </w:t>
      </w:r>
      <w:r>
        <w:t>to enable it to undertake</w:t>
      </w:r>
      <w:r w:rsidRPr="00D804A4">
        <w:t xml:space="preserve"> its statutory functions, in accordance with s17A of the </w:t>
      </w:r>
      <w:r w:rsidRPr="000E5F08">
        <w:rPr>
          <w:i/>
        </w:rPr>
        <w:t>Environmental Protection Act 1986</w:t>
      </w:r>
      <w:r w:rsidRPr="00D804A4">
        <w:t xml:space="preserve"> (EP Act).</w:t>
      </w:r>
    </w:p>
    <w:p w:rsidR="007C28E9" w:rsidRDefault="007C28E9" w:rsidP="007C28E9">
      <w:pPr>
        <w:pStyle w:val="Body"/>
      </w:pPr>
      <w:r>
        <w:t xml:space="preserve">In </w:t>
      </w:r>
      <w:r w:rsidR="00183202">
        <w:t>servicing</w:t>
      </w:r>
      <w:r>
        <w:t xml:space="preserve"> the EPA</w:t>
      </w:r>
      <w:r w:rsidR="00183202">
        <w:t xml:space="preserve">, </w:t>
      </w:r>
      <w:r>
        <w:t>t</w:t>
      </w:r>
      <w:r w:rsidRPr="00D804A4">
        <w:t xml:space="preserve">he OEPA </w:t>
      </w:r>
      <w:r>
        <w:t xml:space="preserve">conducts </w:t>
      </w:r>
      <w:r w:rsidRPr="00D804A4">
        <w:t xml:space="preserve">environmental impact assessment (EIA) </w:t>
      </w:r>
      <w:r>
        <w:t>of significant development proposals and planning schemes. It also develops statutory policies, guidelines and strategic advice to manage environmental impacts and protect the environment</w:t>
      </w:r>
      <w:r w:rsidRPr="00D804A4">
        <w:t>.</w:t>
      </w:r>
    </w:p>
    <w:p w:rsidR="007C28E9" w:rsidRPr="00D804A4" w:rsidRDefault="007C28E9" w:rsidP="007C28E9">
      <w:pPr>
        <w:pStyle w:val="Body"/>
      </w:pPr>
      <w:r w:rsidRPr="00D804A4">
        <w:t>This support helps the EPA provide the Minister for Environment with EIA reports and recommendations on proposals and</w:t>
      </w:r>
      <w:r>
        <w:t xml:space="preserve"> schemes</w:t>
      </w:r>
      <w:r w:rsidRPr="00D804A4">
        <w:t>, and with advice on environmental policy and environmental issues generally.</w:t>
      </w:r>
    </w:p>
    <w:p w:rsidR="007C28E9" w:rsidRPr="00D804A4" w:rsidRDefault="007C28E9" w:rsidP="007C28E9">
      <w:pPr>
        <w:pStyle w:val="Body"/>
      </w:pPr>
      <w:r w:rsidRPr="00D804A4">
        <w:t>In line with s22(1), the OEPA is</w:t>
      </w:r>
      <w:r>
        <w:t xml:space="preserve"> directly </w:t>
      </w:r>
      <w:r w:rsidRPr="00D804A4">
        <w:t>responsible for servicing the Minister in performance of his functions under the EP Act, particularly</w:t>
      </w:r>
      <w:r>
        <w:t xml:space="preserve"> </w:t>
      </w:r>
      <w:r w:rsidRPr="00D804A4">
        <w:t>for granting and managing Ministerial approval statements for projects under Divisions 2 and 3 of Part IV of the EP Act.</w:t>
      </w:r>
    </w:p>
    <w:p w:rsidR="007C28E9" w:rsidRDefault="007C28E9" w:rsidP="007C28E9">
      <w:pPr>
        <w:pStyle w:val="Body"/>
      </w:pPr>
      <w:r w:rsidRPr="00D804A4">
        <w:t xml:space="preserve">The OEPA is also responsible for administering s48 of the EP Act in </w:t>
      </w:r>
      <w:r>
        <w:t>audit</w:t>
      </w:r>
      <w:r w:rsidRPr="00D804A4">
        <w:t xml:space="preserve">ing compliance with </w:t>
      </w:r>
      <w:r>
        <w:t xml:space="preserve">conditions set under these </w:t>
      </w:r>
      <w:r w:rsidRPr="00D804A4">
        <w:t>Ministerial approval</w:t>
      </w:r>
      <w:r>
        <w:t xml:space="preserve"> statements, </w:t>
      </w:r>
      <w:r w:rsidRPr="00D804A4">
        <w:t xml:space="preserve">reporting on </w:t>
      </w:r>
      <w:r>
        <w:t xml:space="preserve">non-compliance </w:t>
      </w:r>
      <w:r w:rsidRPr="00D804A4">
        <w:t>to the Minister</w:t>
      </w:r>
      <w:r>
        <w:t>, and undertaking enforcement action as necessary on behalf of the Minister</w:t>
      </w:r>
      <w:r w:rsidRPr="00D804A4">
        <w:t>.</w:t>
      </w:r>
    </w:p>
    <w:p w:rsidR="00D33DA7" w:rsidRPr="00A45477" w:rsidRDefault="00D33DA7" w:rsidP="00D33DA7">
      <w:pPr>
        <w:pStyle w:val="Heading2"/>
      </w:pPr>
      <w:bookmarkStart w:id="20" w:name="_Toc428279145"/>
      <w:r w:rsidRPr="00A45477">
        <w:t>Subsidiary legislation</w:t>
      </w:r>
      <w:bookmarkEnd w:id="20"/>
    </w:p>
    <w:p w:rsidR="00D33DA7" w:rsidRPr="00717C8A" w:rsidRDefault="00D33DA7" w:rsidP="00D33DA7">
      <w:pPr>
        <w:pStyle w:val="Body"/>
      </w:pPr>
      <w:r w:rsidRPr="00717C8A">
        <w:t>Subsidiary legislation relevant to the OEPA’s functions includes:</w:t>
      </w:r>
    </w:p>
    <w:p w:rsidR="00D33DA7" w:rsidRPr="00DB65EE" w:rsidRDefault="00D33DA7" w:rsidP="00067EE9">
      <w:pPr>
        <w:pStyle w:val="ListParagraph"/>
      </w:pPr>
      <w:r w:rsidRPr="00DB65EE">
        <w:t>Environmental Protection Regulations 1987</w:t>
      </w:r>
    </w:p>
    <w:p w:rsidR="00D33DA7" w:rsidRPr="00DB65EE" w:rsidRDefault="00D33DA7" w:rsidP="00067EE9">
      <w:pPr>
        <w:pStyle w:val="ListParagraph"/>
      </w:pPr>
      <w:r w:rsidRPr="00DB65EE">
        <w:t>Environmental Protection (Swan Coastal Plain Lakes) Policy 1992</w:t>
      </w:r>
    </w:p>
    <w:p w:rsidR="00D33DA7" w:rsidRPr="00DB65EE" w:rsidRDefault="00D33DA7" w:rsidP="00067EE9">
      <w:pPr>
        <w:pStyle w:val="ListParagraph"/>
      </w:pPr>
      <w:r w:rsidRPr="00DB65EE">
        <w:t>Environmental Protection (Gnangara Mound Crown Land) Policy 1992</w:t>
      </w:r>
    </w:p>
    <w:p w:rsidR="00D33DA7" w:rsidRPr="00DB65EE" w:rsidRDefault="00D33DA7" w:rsidP="00067EE9">
      <w:pPr>
        <w:pStyle w:val="ListParagraph"/>
      </w:pPr>
      <w:r w:rsidRPr="00DB65EE">
        <w:t>Environmental Protection (Peel Inlet – Harvey Estuary) Policy 1992</w:t>
      </w:r>
    </w:p>
    <w:p w:rsidR="00D33DA7" w:rsidRPr="00DB65EE" w:rsidRDefault="00D33DA7" w:rsidP="00067EE9">
      <w:pPr>
        <w:pStyle w:val="ListParagraph"/>
      </w:pPr>
      <w:r w:rsidRPr="00DB65EE">
        <w:t>Environmental Protection (Kwinana) (Atmospheric Wastes) Policy 1999</w:t>
      </w:r>
    </w:p>
    <w:p w:rsidR="00D33DA7" w:rsidRPr="00DB65EE" w:rsidRDefault="00D33DA7" w:rsidP="00067EE9">
      <w:pPr>
        <w:pStyle w:val="ListParagraph"/>
      </w:pPr>
      <w:r w:rsidRPr="00DB65EE">
        <w:t>Environmental Protection (Kwinana) (Atmospheric Wastes) Regulations 1992</w:t>
      </w:r>
    </w:p>
    <w:p w:rsidR="00D33DA7" w:rsidRPr="00DB65EE" w:rsidRDefault="00D33DA7" w:rsidP="00067EE9">
      <w:pPr>
        <w:pStyle w:val="ListParagraph"/>
        <w:rPr>
          <w:rFonts w:eastAsia="Arial"/>
        </w:rPr>
      </w:pPr>
      <w:r w:rsidRPr="00DB65EE">
        <w:t xml:space="preserve">Environmental Protection (Goldfields Residential Areas) (Sulphur Dioxide) Policy </w:t>
      </w:r>
      <w:r w:rsidRPr="00DB65EE">
        <w:rPr>
          <w:rFonts w:eastAsia="Arial"/>
        </w:rPr>
        <w:t>2003</w:t>
      </w:r>
    </w:p>
    <w:p w:rsidR="00D33DA7" w:rsidRPr="00DB65EE" w:rsidRDefault="00D33DA7" w:rsidP="00067EE9">
      <w:pPr>
        <w:pStyle w:val="ListParagraph"/>
      </w:pPr>
      <w:r w:rsidRPr="00DB65EE">
        <w:t>Environmental Protection (Goldfields Residential Areas) (Sulphur Dioxide) Regulations 2003</w:t>
      </w:r>
    </w:p>
    <w:p w:rsidR="00D33DA7" w:rsidRPr="00DB65EE" w:rsidRDefault="00D33DA7" w:rsidP="00067EE9">
      <w:pPr>
        <w:pStyle w:val="ListParagraph"/>
      </w:pPr>
      <w:r w:rsidRPr="00DB65EE">
        <w:t>Environmental Protection (South West Agricultural Zone Wetlands) Policy 1998</w:t>
      </w:r>
    </w:p>
    <w:p w:rsidR="00D33DA7" w:rsidRPr="00DB65EE" w:rsidRDefault="00D33DA7" w:rsidP="00067EE9">
      <w:pPr>
        <w:pStyle w:val="Lastbullet"/>
      </w:pPr>
      <w:r w:rsidRPr="00DB65EE">
        <w:lastRenderedPageBreak/>
        <w:t>Environmental Protection (Western Swamp Tortoise Habitat) Policy 2011.</w:t>
      </w:r>
    </w:p>
    <w:p w:rsidR="00D33DA7" w:rsidRDefault="00D33DA7" w:rsidP="00D33DA7">
      <w:pPr>
        <w:pStyle w:val="Body"/>
      </w:pPr>
      <w:r>
        <w:t>It</w:t>
      </w:r>
      <w:r>
        <w:rPr>
          <w:spacing w:val="2"/>
        </w:rPr>
        <w:t xml:space="preserve"> </w:t>
      </w:r>
      <w:r>
        <w:t>should</w:t>
      </w:r>
      <w:r>
        <w:rPr>
          <w:spacing w:val="2"/>
        </w:rPr>
        <w:t xml:space="preserve"> </w:t>
      </w:r>
      <w:r>
        <w:t>be</w:t>
      </w:r>
      <w:r>
        <w:rPr>
          <w:spacing w:val="2"/>
        </w:rPr>
        <w:t xml:space="preserve"> </w:t>
      </w:r>
      <w:r>
        <w:t>noted</w:t>
      </w:r>
      <w:r>
        <w:rPr>
          <w:spacing w:val="2"/>
        </w:rPr>
        <w:t xml:space="preserve"> </w:t>
      </w:r>
      <w:r>
        <w:t>that</w:t>
      </w:r>
      <w:r>
        <w:rPr>
          <w:spacing w:val="2"/>
        </w:rPr>
        <w:t xml:space="preserve"> </w:t>
      </w:r>
      <w:r>
        <w:t>other</w:t>
      </w:r>
      <w:r>
        <w:rPr>
          <w:spacing w:val="2"/>
        </w:rPr>
        <w:t xml:space="preserve"> </w:t>
      </w:r>
      <w:r>
        <w:t>parts</w:t>
      </w:r>
      <w:r>
        <w:rPr>
          <w:spacing w:val="2"/>
        </w:rPr>
        <w:t xml:space="preserve"> </w:t>
      </w:r>
      <w:r>
        <w:t>of</w:t>
      </w:r>
      <w:r>
        <w:rPr>
          <w:spacing w:val="2"/>
        </w:rPr>
        <w:t xml:space="preserve"> </w:t>
      </w:r>
      <w:r>
        <w:t>the</w:t>
      </w:r>
      <w:r>
        <w:rPr>
          <w:spacing w:val="2"/>
        </w:rPr>
        <w:t xml:space="preserve"> </w:t>
      </w:r>
      <w:r>
        <w:t>EP</w:t>
      </w:r>
      <w:r>
        <w:rPr>
          <w:spacing w:val="2"/>
        </w:rPr>
        <w:t xml:space="preserve"> </w:t>
      </w:r>
      <w:r>
        <w:t>Act a</w:t>
      </w:r>
      <w:r>
        <w:rPr>
          <w:spacing w:val="-3"/>
        </w:rPr>
        <w:t>r</w:t>
      </w:r>
      <w:r>
        <w:t>e</w:t>
      </w:r>
      <w:r>
        <w:rPr>
          <w:spacing w:val="2"/>
        </w:rPr>
        <w:t xml:space="preserve"> </w:t>
      </w:r>
      <w:r>
        <w:t>administe</w:t>
      </w:r>
      <w:r>
        <w:rPr>
          <w:spacing w:val="-3"/>
        </w:rPr>
        <w:t>r</w:t>
      </w:r>
      <w:r>
        <w:t>ed</w:t>
      </w:r>
      <w:r>
        <w:rPr>
          <w:spacing w:val="2"/>
        </w:rPr>
        <w:t xml:space="preserve"> </w:t>
      </w:r>
      <w:r>
        <w:t>by the</w:t>
      </w:r>
      <w:r>
        <w:rPr>
          <w:spacing w:val="2"/>
        </w:rPr>
        <w:t xml:space="preserve"> </w:t>
      </w:r>
      <w:r>
        <w:t>Department</w:t>
      </w:r>
      <w:r>
        <w:rPr>
          <w:spacing w:val="2"/>
        </w:rPr>
        <w:t xml:space="preserve"> </w:t>
      </w:r>
      <w:r>
        <w:t>of</w:t>
      </w:r>
      <w:r>
        <w:rPr>
          <w:spacing w:val="2"/>
        </w:rPr>
        <w:t xml:space="preserve"> </w:t>
      </w:r>
      <w:r>
        <w:t>Envi</w:t>
      </w:r>
      <w:r>
        <w:rPr>
          <w:spacing w:val="-3"/>
        </w:rPr>
        <w:t>r</w:t>
      </w:r>
      <w:r>
        <w:t>onment</w:t>
      </w:r>
      <w:r>
        <w:rPr>
          <w:spacing w:val="2"/>
        </w:rPr>
        <w:t xml:space="preserve"> </w:t>
      </w:r>
      <w:r>
        <w:t>Regulation.</w:t>
      </w:r>
    </w:p>
    <w:p w:rsidR="00F766BF" w:rsidRDefault="00B47FEB" w:rsidP="00067EE9">
      <w:pPr>
        <w:pStyle w:val="Heading1"/>
      </w:pPr>
      <w:bookmarkStart w:id="21" w:name="_Toc428279146"/>
      <w:r>
        <w:rPr>
          <w:noProof/>
          <w:lang w:eastAsia="en-AU"/>
        </w:rPr>
        <w:drawing>
          <wp:anchor distT="0" distB="0" distL="114300" distR="114300" simplePos="0" relativeHeight="251678720" behindDoc="0" locked="0" layoutInCell="1" allowOverlap="1" wp14:anchorId="410128A5" wp14:editId="64811389">
            <wp:simplePos x="0" y="0"/>
            <wp:positionH relativeFrom="column">
              <wp:posOffset>443865</wp:posOffset>
            </wp:positionH>
            <wp:positionV relativeFrom="paragraph">
              <wp:posOffset>422910</wp:posOffset>
            </wp:positionV>
            <wp:extent cx="5350510" cy="6916420"/>
            <wp:effectExtent l="0" t="0" r="2540" b="0"/>
            <wp:wrapTopAndBottom/>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rg chart-OEPA AR 2014-15.jp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350510" cy="6916420"/>
                    </a:xfrm>
                    <a:prstGeom prst="rect">
                      <a:avLst/>
                    </a:prstGeom>
                  </pic:spPr>
                </pic:pic>
              </a:graphicData>
            </a:graphic>
            <wp14:sizeRelH relativeFrom="page">
              <wp14:pctWidth>0</wp14:pctWidth>
            </wp14:sizeRelH>
            <wp14:sizeRelV relativeFrom="page">
              <wp14:pctHeight>0</wp14:pctHeight>
            </wp14:sizeRelV>
          </wp:anchor>
        </w:drawing>
      </w:r>
      <w:r w:rsidR="0000083A">
        <w:t>Organisational structure</w:t>
      </w:r>
      <w:bookmarkEnd w:id="21"/>
    </w:p>
    <w:p w:rsidR="00067EE9" w:rsidRDefault="00067EE9" w:rsidP="0000083A">
      <w:pPr>
        <w:pStyle w:val="Heading2"/>
      </w:pPr>
      <w:r>
        <w:br w:type="page"/>
      </w:r>
    </w:p>
    <w:p w:rsidR="0000083A" w:rsidRPr="00EB6889" w:rsidRDefault="0000083A" w:rsidP="0000083A">
      <w:pPr>
        <w:pStyle w:val="Heading2"/>
      </w:pPr>
      <w:bookmarkStart w:id="22" w:name="_Toc428279147"/>
      <w:r w:rsidRPr="00EB6889">
        <w:lastRenderedPageBreak/>
        <w:t>Our vision</w:t>
      </w:r>
      <w:bookmarkEnd w:id="22"/>
    </w:p>
    <w:p w:rsidR="0000083A" w:rsidRPr="00EB6889" w:rsidRDefault="0000083A" w:rsidP="0000083A">
      <w:pPr>
        <w:pStyle w:val="Body"/>
      </w:pPr>
      <w:r w:rsidRPr="00EB6889">
        <w:t>An environment that is highly valued and protected</w:t>
      </w:r>
    </w:p>
    <w:p w:rsidR="0000083A" w:rsidRPr="00EB6889" w:rsidRDefault="0000083A" w:rsidP="0000083A">
      <w:pPr>
        <w:pStyle w:val="Heading2"/>
      </w:pPr>
      <w:bookmarkStart w:id="23" w:name="_Toc428279148"/>
      <w:r w:rsidRPr="00EB6889">
        <w:t>Our purpose</w:t>
      </w:r>
      <w:bookmarkEnd w:id="23"/>
    </w:p>
    <w:p w:rsidR="0000083A" w:rsidRDefault="0000083A" w:rsidP="0000083A">
      <w:pPr>
        <w:pStyle w:val="Body"/>
      </w:pPr>
      <w:r w:rsidRPr="00EB6889">
        <w:t>We support the EPA and work with other departments, industry and the community to ensure environmental values are protected and development is managed in an environmentally responsible manner</w:t>
      </w:r>
      <w:r>
        <w:t xml:space="preserve">. </w:t>
      </w:r>
    </w:p>
    <w:p w:rsidR="00375EE0" w:rsidRDefault="00712A6C" w:rsidP="00C316DF">
      <w:pPr>
        <w:pStyle w:val="Sectionheading"/>
      </w:pPr>
      <w:bookmarkStart w:id="24" w:name="_Toc428279149"/>
      <w:r>
        <w:t>Performance management framework</w:t>
      </w:r>
      <w:bookmarkEnd w:id="24"/>
    </w:p>
    <w:p w:rsidR="00375EE0" w:rsidRDefault="00375EE0" w:rsidP="00375EE0">
      <w:pPr>
        <w:pStyle w:val="Body"/>
      </w:pPr>
      <w:r>
        <w:t>Each</w:t>
      </w:r>
      <w:r>
        <w:rPr>
          <w:spacing w:val="2"/>
        </w:rPr>
        <w:t xml:space="preserve"> </w:t>
      </w:r>
      <w:r>
        <w:t>year</w:t>
      </w:r>
      <w:r>
        <w:rPr>
          <w:spacing w:val="2"/>
        </w:rPr>
        <w:t xml:space="preserve"> </w:t>
      </w:r>
      <w:r>
        <w:t>the</w:t>
      </w:r>
      <w:r>
        <w:rPr>
          <w:spacing w:val="2"/>
        </w:rPr>
        <w:t xml:space="preserve"> </w:t>
      </w:r>
      <w:r>
        <w:t>OE</w:t>
      </w:r>
      <w:r>
        <w:rPr>
          <w:spacing w:val="-15"/>
        </w:rPr>
        <w:t>P</w:t>
      </w:r>
      <w:r>
        <w:t>A</w:t>
      </w:r>
      <w:r>
        <w:rPr>
          <w:spacing w:val="2"/>
        </w:rPr>
        <w:t xml:space="preserve"> </w:t>
      </w:r>
      <w:r>
        <w:t>is</w:t>
      </w:r>
      <w:r>
        <w:rPr>
          <w:spacing w:val="2"/>
        </w:rPr>
        <w:t xml:space="preserve"> </w:t>
      </w:r>
      <w:r>
        <w:rPr>
          <w:spacing w:val="-3"/>
        </w:rPr>
        <w:t>r</w:t>
      </w:r>
      <w:r>
        <w:t>equi</w:t>
      </w:r>
      <w:r>
        <w:rPr>
          <w:spacing w:val="-3"/>
        </w:rPr>
        <w:t>r</w:t>
      </w:r>
      <w:r>
        <w:t>ed</w:t>
      </w:r>
      <w:r>
        <w:rPr>
          <w:spacing w:val="2"/>
        </w:rPr>
        <w:t xml:space="preserve"> </w:t>
      </w:r>
      <w:r>
        <w:t>to</w:t>
      </w:r>
      <w:r>
        <w:rPr>
          <w:spacing w:val="2"/>
        </w:rPr>
        <w:t xml:space="preserve"> </w:t>
      </w:r>
      <w:r>
        <w:t>meet</w:t>
      </w:r>
      <w:r>
        <w:rPr>
          <w:spacing w:val="2"/>
        </w:rPr>
        <w:t xml:space="preserve"> </w:t>
      </w:r>
      <w:r>
        <w:t>a number</w:t>
      </w:r>
      <w:r>
        <w:rPr>
          <w:spacing w:val="2"/>
        </w:rPr>
        <w:t xml:space="preserve"> </w:t>
      </w:r>
      <w:r>
        <w:t>of</w:t>
      </w:r>
      <w:r>
        <w:rPr>
          <w:spacing w:val="2"/>
        </w:rPr>
        <w:t xml:space="preserve"> </w:t>
      </w:r>
      <w:r>
        <w:t>targets</w:t>
      </w:r>
      <w:r>
        <w:rPr>
          <w:spacing w:val="2"/>
        </w:rPr>
        <w:t xml:space="preserve"> </w:t>
      </w:r>
      <w:r>
        <w:t>set</w:t>
      </w:r>
      <w:r>
        <w:rPr>
          <w:spacing w:val="2"/>
        </w:rPr>
        <w:t xml:space="preserve"> </w:t>
      </w:r>
      <w:r>
        <w:t>by</w:t>
      </w:r>
      <w:r>
        <w:rPr>
          <w:spacing w:val="2"/>
        </w:rPr>
        <w:t xml:space="preserve"> </w:t>
      </w:r>
      <w:r>
        <w:t>the</w:t>
      </w:r>
      <w:r>
        <w:rPr>
          <w:spacing w:val="2"/>
        </w:rPr>
        <w:t xml:space="preserve"> </w:t>
      </w:r>
      <w:r>
        <w:t>State</w:t>
      </w:r>
      <w:r>
        <w:rPr>
          <w:spacing w:val="2"/>
        </w:rPr>
        <w:t xml:space="preserve"> </w:t>
      </w:r>
      <w:r>
        <w:t>Gove</w:t>
      </w:r>
      <w:r>
        <w:rPr>
          <w:spacing w:val="5"/>
        </w:rPr>
        <w:t>r</w:t>
      </w:r>
      <w:r>
        <w:t>nment. These</w:t>
      </w:r>
      <w:r>
        <w:rPr>
          <w:spacing w:val="2"/>
        </w:rPr>
        <w:t xml:space="preserve"> </w:t>
      </w:r>
      <w:r>
        <w:t>targets</w:t>
      </w:r>
      <w:r>
        <w:rPr>
          <w:spacing w:val="2"/>
        </w:rPr>
        <w:t xml:space="preserve"> </w:t>
      </w:r>
      <w:r>
        <w:rPr>
          <w:spacing w:val="-3"/>
        </w:rPr>
        <w:t>r</w:t>
      </w:r>
      <w:r>
        <w:t>elate</w:t>
      </w:r>
      <w:r>
        <w:rPr>
          <w:spacing w:val="2"/>
        </w:rPr>
        <w:t xml:space="preserve"> </w:t>
      </w:r>
      <w:r>
        <w:t>to</w:t>
      </w:r>
      <w:r>
        <w:rPr>
          <w:spacing w:val="2"/>
        </w:rPr>
        <w:t xml:space="preserve"> </w:t>
      </w:r>
      <w:r>
        <w:t>Gove</w:t>
      </w:r>
      <w:r>
        <w:rPr>
          <w:spacing w:val="5"/>
        </w:rPr>
        <w:t>r</w:t>
      </w:r>
      <w:r>
        <w:t>nment-desi</w:t>
      </w:r>
      <w:r>
        <w:rPr>
          <w:spacing w:val="-3"/>
        </w:rPr>
        <w:t>r</w:t>
      </w:r>
      <w:r>
        <w:t>ed outcomes,</w:t>
      </w:r>
      <w:r>
        <w:rPr>
          <w:spacing w:val="2"/>
        </w:rPr>
        <w:t xml:space="preserve"> </w:t>
      </w:r>
      <w:r>
        <w:t>financial</w:t>
      </w:r>
      <w:r>
        <w:rPr>
          <w:spacing w:val="2"/>
        </w:rPr>
        <w:t xml:space="preserve"> </w:t>
      </w:r>
      <w:r>
        <w:t>management,</w:t>
      </w:r>
      <w:r>
        <w:rPr>
          <w:spacing w:val="2"/>
        </w:rPr>
        <w:t xml:space="preserve"> </w:t>
      </w:r>
      <w:r>
        <w:t>services to</w:t>
      </w:r>
      <w:r>
        <w:rPr>
          <w:spacing w:val="2"/>
        </w:rPr>
        <w:t xml:space="preserve"> </w:t>
      </w:r>
      <w:r>
        <w:t>be</w:t>
      </w:r>
      <w:r>
        <w:rPr>
          <w:spacing w:val="2"/>
        </w:rPr>
        <w:t xml:space="preserve"> </w:t>
      </w:r>
      <w:r>
        <w:t>delive</w:t>
      </w:r>
      <w:r>
        <w:rPr>
          <w:spacing w:val="-3"/>
        </w:rPr>
        <w:t>r</w:t>
      </w:r>
      <w:r>
        <w:t>ed</w:t>
      </w:r>
      <w:r>
        <w:rPr>
          <w:spacing w:val="2"/>
        </w:rPr>
        <w:t xml:space="preserve"> </w:t>
      </w:r>
      <w:r>
        <w:t>and</w:t>
      </w:r>
      <w:r>
        <w:rPr>
          <w:spacing w:val="2"/>
        </w:rPr>
        <w:t xml:space="preserve"> </w:t>
      </w:r>
      <w:r>
        <w:t>performance</w:t>
      </w:r>
      <w:r>
        <w:rPr>
          <w:spacing w:val="2"/>
        </w:rPr>
        <w:t xml:space="preserve"> </w:t>
      </w:r>
      <w:r>
        <w:t>targets</w:t>
      </w:r>
      <w:r>
        <w:rPr>
          <w:spacing w:val="2"/>
        </w:rPr>
        <w:t xml:space="preserve"> </w:t>
      </w:r>
      <w:r>
        <w:t>to be</w:t>
      </w:r>
      <w:r>
        <w:rPr>
          <w:spacing w:val="2"/>
        </w:rPr>
        <w:t xml:space="preserve"> </w:t>
      </w:r>
      <w:r>
        <w:t>achieved.</w:t>
      </w:r>
      <w:r>
        <w:rPr>
          <w:spacing w:val="2"/>
        </w:rPr>
        <w:t xml:space="preserve"> </w:t>
      </w:r>
      <w:r>
        <w:t>The</w:t>
      </w:r>
      <w:r>
        <w:rPr>
          <w:spacing w:val="2"/>
        </w:rPr>
        <w:t xml:space="preserve"> </w:t>
      </w:r>
      <w:r>
        <w:t>ag</w:t>
      </w:r>
      <w:r>
        <w:rPr>
          <w:spacing w:val="-3"/>
        </w:rPr>
        <w:t>r</w:t>
      </w:r>
      <w:r>
        <w:t>eement</w:t>
      </w:r>
      <w:r>
        <w:rPr>
          <w:spacing w:val="2"/>
        </w:rPr>
        <w:t xml:space="preserve"> </w:t>
      </w:r>
      <w:r>
        <w:t>is</w:t>
      </w:r>
      <w:r>
        <w:rPr>
          <w:spacing w:val="2"/>
        </w:rPr>
        <w:t xml:space="preserve"> </w:t>
      </w:r>
      <w:r>
        <w:t>a</w:t>
      </w:r>
      <w:r>
        <w:rPr>
          <w:spacing w:val="2"/>
        </w:rPr>
        <w:t xml:space="preserve"> </w:t>
      </w:r>
      <w:r>
        <w:t>transpa</w:t>
      </w:r>
      <w:r>
        <w:rPr>
          <w:spacing w:val="-3"/>
        </w:rPr>
        <w:t>r</w:t>
      </w:r>
      <w:r>
        <w:t>ent way</w:t>
      </w:r>
      <w:r>
        <w:rPr>
          <w:spacing w:val="2"/>
        </w:rPr>
        <w:t xml:space="preserve"> </w:t>
      </w:r>
      <w:r>
        <w:t>for</w:t>
      </w:r>
      <w:r>
        <w:rPr>
          <w:spacing w:val="2"/>
        </w:rPr>
        <w:t xml:space="preserve"> </w:t>
      </w:r>
      <w:r>
        <w:t>the</w:t>
      </w:r>
      <w:r>
        <w:rPr>
          <w:spacing w:val="2"/>
        </w:rPr>
        <w:t xml:space="preserve"> </w:t>
      </w:r>
      <w:r>
        <w:t>State</w:t>
      </w:r>
      <w:r>
        <w:rPr>
          <w:spacing w:val="2"/>
        </w:rPr>
        <w:t xml:space="preserve"> </w:t>
      </w:r>
      <w:r>
        <w:t>Gove</w:t>
      </w:r>
      <w:r>
        <w:rPr>
          <w:spacing w:val="5"/>
        </w:rPr>
        <w:t>r</w:t>
      </w:r>
      <w:r>
        <w:t>nment</w:t>
      </w:r>
      <w:r>
        <w:rPr>
          <w:spacing w:val="2"/>
        </w:rPr>
        <w:t xml:space="preserve"> </w:t>
      </w:r>
      <w:r>
        <w:t>to</w:t>
      </w:r>
      <w:r>
        <w:rPr>
          <w:spacing w:val="2"/>
        </w:rPr>
        <w:t xml:space="preserve"> </w:t>
      </w:r>
      <w:r>
        <w:t>monitor</w:t>
      </w:r>
      <w:r>
        <w:rPr>
          <w:spacing w:val="2"/>
        </w:rPr>
        <w:t xml:space="preserve"> </w:t>
      </w:r>
      <w:r>
        <w:t>the operational</w:t>
      </w:r>
      <w:r>
        <w:rPr>
          <w:spacing w:val="2"/>
        </w:rPr>
        <w:t xml:space="preserve"> </w:t>
      </w:r>
      <w:r>
        <w:t>performance</w:t>
      </w:r>
      <w:r>
        <w:rPr>
          <w:spacing w:val="2"/>
        </w:rPr>
        <w:t xml:space="preserve"> </w:t>
      </w:r>
      <w:r>
        <w:t>of</w:t>
      </w:r>
      <w:r>
        <w:rPr>
          <w:spacing w:val="2"/>
        </w:rPr>
        <w:t xml:space="preserve"> </w:t>
      </w:r>
      <w:r>
        <w:t>the</w:t>
      </w:r>
      <w:r>
        <w:rPr>
          <w:spacing w:val="2"/>
        </w:rPr>
        <w:t xml:space="preserve"> </w:t>
      </w:r>
      <w:r>
        <w:t>OE</w:t>
      </w:r>
      <w:r>
        <w:rPr>
          <w:spacing w:val="-15"/>
        </w:rPr>
        <w:t>P</w:t>
      </w:r>
      <w:r>
        <w:t>A.</w:t>
      </w:r>
    </w:p>
    <w:p w:rsidR="00375EE0" w:rsidRDefault="00375EE0" w:rsidP="00375EE0">
      <w:pPr>
        <w:pStyle w:val="Body"/>
      </w:pPr>
      <w:r>
        <w:t>The</w:t>
      </w:r>
      <w:r>
        <w:rPr>
          <w:spacing w:val="2"/>
        </w:rPr>
        <w:t xml:space="preserve"> </w:t>
      </w:r>
      <w:r>
        <w:t>OE</w:t>
      </w:r>
      <w:r>
        <w:rPr>
          <w:spacing w:val="-15"/>
        </w:rPr>
        <w:t>P</w:t>
      </w:r>
      <w:r>
        <w:t>A</w:t>
      </w:r>
      <w:r>
        <w:rPr>
          <w:spacing w:val="2"/>
        </w:rPr>
        <w:t xml:space="preserve"> </w:t>
      </w:r>
      <w:proofErr w:type="gramStart"/>
      <w:r>
        <w:t>evaluates,</w:t>
      </w:r>
      <w:proofErr w:type="gramEnd"/>
      <w:r>
        <w:rPr>
          <w:spacing w:val="2"/>
        </w:rPr>
        <w:t xml:space="preserve"> </w:t>
      </w:r>
      <w:r>
        <w:t>measu</w:t>
      </w:r>
      <w:r>
        <w:rPr>
          <w:spacing w:val="-3"/>
        </w:rPr>
        <w:t>r</w:t>
      </w:r>
      <w:r>
        <w:t>es</w:t>
      </w:r>
      <w:r>
        <w:rPr>
          <w:spacing w:val="2"/>
        </w:rPr>
        <w:t xml:space="preserve"> </w:t>
      </w:r>
      <w:r>
        <w:t>and</w:t>
      </w:r>
      <w:r>
        <w:rPr>
          <w:spacing w:val="2"/>
        </w:rPr>
        <w:t xml:space="preserve"> </w:t>
      </w:r>
      <w:r>
        <w:rPr>
          <w:spacing w:val="-3"/>
        </w:rPr>
        <w:t>r</w:t>
      </w:r>
      <w:r>
        <w:t>eports</w:t>
      </w:r>
      <w:r>
        <w:rPr>
          <w:spacing w:val="2"/>
        </w:rPr>
        <w:t xml:space="preserve"> </w:t>
      </w:r>
      <w:r>
        <w:t>on the</w:t>
      </w:r>
      <w:r>
        <w:rPr>
          <w:spacing w:val="2"/>
        </w:rPr>
        <w:t xml:space="preserve"> </w:t>
      </w:r>
      <w:r>
        <w:t>e</w:t>
      </w:r>
      <w:r>
        <w:rPr>
          <w:spacing w:val="-3"/>
        </w:rPr>
        <w:t>f</w:t>
      </w:r>
      <w:r>
        <w:t>fectiveness</w:t>
      </w:r>
      <w:r>
        <w:rPr>
          <w:spacing w:val="2"/>
        </w:rPr>
        <w:t xml:space="preserve"> </w:t>
      </w:r>
      <w:r>
        <w:t>of</w:t>
      </w:r>
      <w:r>
        <w:rPr>
          <w:spacing w:val="2"/>
        </w:rPr>
        <w:t xml:space="preserve"> </w:t>
      </w:r>
      <w:r>
        <w:t>its</w:t>
      </w:r>
      <w:r>
        <w:rPr>
          <w:spacing w:val="2"/>
        </w:rPr>
        <w:t xml:space="preserve"> </w:t>
      </w:r>
      <w:r>
        <w:t>services</w:t>
      </w:r>
      <w:r>
        <w:rPr>
          <w:spacing w:val="2"/>
        </w:rPr>
        <w:t xml:space="preserve"> </w:t>
      </w:r>
      <w:r>
        <w:t>in</w:t>
      </w:r>
      <w:r>
        <w:rPr>
          <w:spacing w:val="2"/>
        </w:rPr>
        <w:t xml:space="preserve"> </w:t>
      </w:r>
      <w:r>
        <w:t>achieving</w:t>
      </w:r>
      <w:r>
        <w:rPr>
          <w:spacing w:val="2"/>
        </w:rPr>
        <w:t xml:space="preserve"> </w:t>
      </w:r>
      <w:r>
        <w:t>its desi</w:t>
      </w:r>
      <w:r>
        <w:rPr>
          <w:spacing w:val="-3"/>
        </w:rPr>
        <w:t>r</w:t>
      </w:r>
      <w:r>
        <w:t>ed</w:t>
      </w:r>
      <w:r>
        <w:rPr>
          <w:spacing w:val="2"/>
        </w:rPr>
        <w:t xml:space="preserve"> </w:t>
      </w:r>
      <w:r>
        <w:t>agency</w:t>
      </w:r>
      <w:r>
        <w:rPr>
          <w:spacing w:val="2"/>
        </w:rPr>
        <w:t xml:space="preserve"> </w:t>
      </w:r>
      <w:r>
        <w:t>level</w:t>
      </w:r>
      <w:r>
        <w:rPr>
          <w:spacing w:val="2"/>
        </w:rPr>
        <w:t xml:space="preserve"> </w:t>
      </w:r>
      <w:r>
        <w:t>outcomes</w:t>
      </w:r>
      <w:r>
        <w:rPr>
          <w:spacing w:val="2"/>
        </w:rPr>
        <w:t xml:space="preserve"> </w:t>
      </w:r>
      <w:r>
        <w:t>th</w:t>
      </w:r>
      <w:r>
        <w:rPr>
          <w:spacing w:val="-3"/>
        </w:rPr>
        <w:t>r</w:t>
      </w:r>
      <w:r>
        <w:t>ough</w:t>
      </w:r>
      <w:r>
        <w:rPr>
          <w:spacing w:val="2"/>
        </w:rPr>
        <w:t xml:space="preserve"> </w:t>
      </w:r>
      <w:r>
        <w:t>Key Performance</w:t>
      </w:r>
      <w:r>
        <w:rPr>
          <w:spacing w:val="2"/>
        </w:rPr>
        <w:t xml:space="preserve"> </w:t>
      </w:r>
      <w:r>
        <w:t>Indicators</w:t>
      </w:r>
      <w:r>
        <w:rPr>
          <w:spacing w:val="2"/>
        </w:rPr>
        <w:t xml:space="preserve"> </w:t>
      </w:r>
      <w:r>
        <w:t>or</w:t>
      </w:r>
      <w:r>
        <w:rPr>
          <w:spacing w:val="2"/>
        </w:rPr>
        <w:t xml:space="preserve"> </w:t>
      </w:r>
      <w:r>
        <w:t>‘KPIs’.</w:t>
      </w:r>
      <w:r>
        <w:rPr>
          <w:spacing w:val="2"/>
        </w:rPr>
        <w:t xml:space="preserve"> </w:t>
      </w:r>
      <w:r>
        <w:t>KPIs</w:t>
      </w:r>
      <w:r>
        <w:rPr>
          <w:spacing w:val="2"/>
        </w:rPr>
        <w:t xml:space="preserve"> </w:t>
      </w:r>
      <w:r>
        <w:t>comprise both</w:t>
      </w:r>
      <w:r>
        <w:rPr>
          <w:spacing w:val="2"/>
        </w:rPr>
        <w:t xml:space="preserve"> </w:t>
      </w:r>
      <w:r>
        <w:t>E</w:t>
      </w:r>
      <w:r>
        <w:rPr>
          <w:spacing w:val="-3"/>
        </w:rPr>
        <w:t>f</w:t>
      </w:r>
      <w:r>
        <w:t>fectiveness</w:t>
      </w:r>
      <w:r>
        <w:rPr>
          <w:spacing w:val="2"/>
        </w:rPr>
        <w:t xml:space="preserve"> </w:t>
      </w:r>
      <w:r>
        <w:t>and</w:t>
      </w:r>
      <w:r>
        <w:rPr>
          <w:spacing w:val="2"/>
        </w:rPr>
        <w:t xml:space="preserve"> </w:t>
      </w:r>
      <w:r>
        <w:t>Efficiency</w:t>
      </w:r>
      <w:r>
        <w:rPr>
          <w:spacing w:val="2"/>
        </w:rPr>
        <w:t xml:space="preserve"> </w:t>
      </w:r>
      <w:r>
        <w:t>Indicators.</w:t>
      </w:r>
    </w:p>
    <w:p w:rsidR="00375EE0" w:rsidRDefault="00375EE0" w:rsidP="00375EE0">
      <w:pPr>
        <w:pStyle w:val="Body"/>
      </w:pPr>
      <w:r>
        <w:t>E</w:t>
      </w:r>
      <w:r>
        <w:rPr>
          <w:spacing w:val="-3"/>
        </w:rPr>
        <w:t>f</w:t>
      </w:r>
      <w:r>
        <w:t>fectiveness Indicators show the extent to which the</w:t>
      </w:r>
      <w:r>
        <w:rPr>
          <w:spacing w:val="2"/>
        </w:rPr>
        <w:t xml:space="preserve"> </w:t>
      </w:r>
      <w:r>
        <w:t>department</w:t>
      </w:r>
      <w:r>
        <w:rPr>
          <w:spacing w:val="2"/>
        </w:rPr>
        <w:t xml:space="preserve"> </w:t>
      </w:r>
      <w:r>
        <w:t>achieved</w:t>
      </w:r>
      <w:r>
        <w:rPr>
          <w:spacing w:val="2"/>
        </w:rPr>
        <w:t xml:space="preserve"> </w:t>
      </w:r>
      <w:r>
        <w:t>its</w:t>
      </w:r>
      <w:r>
        <w:rPr>
          <w:spacing w:val="2"/>
        </w:rPr>
        <w:t xml:space="preserve"> </w:t>
      </w:r>
      <w:r>
        <w:t>department-level outcome</w:t>
      </w:r>
      <w:r>
        <w:rPr>
          <w:spacing w:val="2"/>
        </w:rPr>
        <w:t xml:space="preserve"> </w:t>
      </w:r>
      <w:r>
        <w:t>and</w:t>
      </w:r>
      <w:r>
        <w:rPr>
          <w:spacing w:val="2"/>
        </w:rPr>
        <w:t xml:space="preserve"> </w:t>
      </w:r>
      <w:r>
        <w:t>the</w:t>
      </w:r>
      <w:r>
        <w:rPr>
          <w:spacing w:val="2"/>
        </w:rPr>
        <w:t xml:space="preserve"> </w:t>
      </w:r>
      <w:r>
        <w:t>Efficiency</w:t>
      </w:r>
      <w:r>
        <w:rPr>
          <w:spacing w:val="2"/>
        </w:rPr>
        <w:t xml:space="preserve"> </w:t>
      </w:r>
      <w:r>
        <w:t>Indicators</w:t>
      </w:r>
      <w:r>
        <w:rPr>
          <w:spacing w:val="2"/>
        </w:rPr>
        <w:t xml:space="preserve"> </w:t>
      </w:r>
      <w:r>
        <w:t>show</w:t>
      </w:r>
      <w:r>
        <w:rPr>
          <w:spacing w:val="2"/>
        </w:rPr>
        <w:t xml:space="preserve"> </w:t>
      </w:r>
      <w:r>
        <w:t>the cost</w:t>
      </w:r>
      <w:r>
        <w:rPr>
          <w:spacing w:val="2"/>
        </w:rPr>
        <w:t xml:space="preserve"> </w:t>
      </w:r>
      <w:r>
        <w:t>of</w:t>
      </w:r>
      <w:r>
        <w:rPr>
          <w:spacing w:val="2"/>
        </w:rPr>
        <w:t xml:space="preserve"> </w:t>
      </w:r>
      <w:r>
        <w:t>services</w:t>
      </w:r>
      <w:r>
        <w:rPr>
          <w:spacing w:val="2"/>
        </w:rPr>
        <w:t xml:space="preserve"> </w:t>
      </w:r>
      <w:r>
        <w:t>delive</w:t>
      </w:r>
      <w:r>
        <w:rPr>
          <w:spacing w:val="-3"/>
        </w:rPr>
        <w:t>r</w:t>
      </w:r>
      <w:r>
        <w:t>ed</w:t>
      </w:r>
      <w:r>
        <w:rPr>
          <w:spacing w:val="2"/>
        </w:rPr>
        <w:t xml:space="preserve"> </w:t>
      </w:r>
      <w:r>
        <w:t>by</w:t>
      </w:r>
      <w:r>
        <w:rPr>
          <w:spacing w:val="2"/>
        </w:rPr>
        <w:t xml:space="preserve"> </w:t>
      </w:r>
      <w:r>
        <w:t>the</w:t>
      </w:r>
      <w:r>
        <w:rPr>
          <w:spacing w:val="2"/>
        </w:rPr>
        <w:t xml:space="preserve"> </w:t>
      </w:r>
      <w:r>
        <w:t xml:space="preserve">department. </w:t>
      </w:r>
    </w:p>
    <w:p w:rsidR="00375EE0" w:rsidRDefault="00375EE0" w:rsidP="00375EE0">
      <w:pPr>
        <w:pStyle w:val="Body"/>
      </w:pPr>
      <w:r>
        <w:t>New KPIs were developed during 2013–14 and were applied during 2014–15.</w:t>
      </w:r>
    </w:p>
    <w:p w:rsidR="00CC79DC" w:rsidRDefault="00CC79DC" w:rsidP="00CC79DC">
      <w:pPr>
        <w:pStyle w:val="Body"/>
      </w:pPr>
      <w:r w:rsidRPr="00C65F20">
        <w:t>The</w:t>
      </w:r>
      <w:r w:rsidRPr="00C65F20">
        <w:rPr>
          <w:spacing w:val="2"/>
        </w:rPr>
        <w:t xml:space="preserve"> </w:t>
      </w:r>
      <w:r w:rsidRPr="00C65F20">
        <w:t>OE</w:t>
      </w:r>
      <w:r w:rsidRPr="00C65F20">
        <w:rPr>
          <w:spacing w:val="-15"/>
        </w:rPr>
        <w:t>P</w:t>
      </w:r>
      <w:r w:rsidRPr="00C65F20">
        <w:rPr>
          <w:spacing w:val="-18"/>
        </w:rPr>
        <w:t>A</w:t>
      </w:r>
      <w:r w:rsidRPr="00C65F20">
        <w:rPr>
          <w:spacing w:val="-23"/>
        </w:rPr>
        <w:t>’</w:t>
      </w:r>
      <w:r w:rsidRPr="00C65F20">
        <w:t>s</w:t>
      </w:r>
      <w:r w:rsidRPr="00C65F20">
        <w:rPr>
          <w:spacing w:val="2"/>
        </w:rPr>
        <w:t xml:space="preserve"> </w:t>
      </w:r>
      <w:r w:rsidRPr="00C65F20">
        <w:t>management</w:t>
      </w:r>
      <w:r w:rsidRPr="00C65F20">
        <w:rPr>
          <w:spacing w:val="2"/>
        </w:rPr>
        <w:t xml:space="preserve"> </w:t>
      </w:r>
      <w:r w:rsidRPr="00C65F20">
        <w:t>framework</w:t>
      </w:r>
      <w:r w:rsidRPr="00C65F20">
        <w:rPr>
          <w:spacing w:val="2"/>
        </w:rPr>
        <w:t xml:space="preserve"> </w:t>
      </w:r>
      <w:r w:rsidRPr="00C65F20">
        <w:t>is consistent</w:t>
      </w:r>
      <w:r w:rsidRPr="00C65F20">
        <w:rPr>
          <w:spacing w:val="2"/>
        </w:rPr>
        <w:t xml:space="preserve"> </w:t>
      </w:r>
      <w:r w:rsidRPr="00C65F20">
        <w:t>with</w:t>
      </w:r>
      <w:r w:rsidRPr="00C65F20">
        <w:rPr>
          <w:spacing w:val="2"/>
        </w:rPr>
        <w:t xml:space="preserve"> </w:t>
      </w:r>
      <w:r w:rsidRPr="00C65F20">
        <w:t>the</w:t>
      </w:r>
      <w:r w:rsidRPr="00C65F20">
        <w:rPr>
          <w:spacing w:val="2"/>
        </w:rPr>
        <w:t xml:space="preserve"> </w:t>
      </w:r>
      <w:r w:rsidRPr="00C65F20">
        <w:t>Gove</w:t>
      </w:r>
      <w:r w:rsidRPr="00C65F20">
        <w:rPr>
          <w:spacing w:val="5"/>
        </w:rPr>
        <w:t>r</w:t>
      </w:r>
      <w:r w:rsidRPr="00C65F20">
        <w:t>nment</w:t>
      </w:r>
      <w:r w:rsidRPr="00C65F20">
        <w:rPr>
          <w:spacing w:val="2"/>
        </w:rPr>
        <w:t xml:space="preserve"> </w:t>
      </w:r>
      <w:r w:rsidRPr="00C65F20">
        <w:t>goal</w:t>
      </w:r>
      <w:r w:rsidRPr="00C65F20">
        <w:rPr>
          <w:spacing w:val="2"/>
        </w:rPr>
        <w:t xml:space="preserve"> </w:t>
      </w:r>
      <w:r w:rsidRPr="00C65F20">
        <w:t>for</w:t>
      </w:r>
      <w:r w:rsidRPr="00C65F20">
        <w:rPr>
          <w:spacing w:val="2"/>
        </w:rPr>
        <w:t xml:space="preserve"> </w:t>
      </w:r>
      <w:r w:rsidRPr="00C65F20">
        <w:t>social and</w:t>
      </w:r>
      <w:r w:rsidRPr="00C65F20">
        <w:rPr>
          <w:spacing w:val="2"/>
        </w:rPr>
        <w:t xml:space="preserve"> </w:t>
      </w:r>
      <w:r w:rsidRPr="00C65F20">
        <w:t>envi</w:t>
      </w:r>
      <w:r w:rsidRPr="00C65F20">
        <w:rPr>
          <w:spacing w:val="-3"/>
        </w:rPr>
        <w:t>r</w:t>
      </w:r>
      <w:r w:rsidRPr="00C65F20">
        <w:t>onmental</w:t>
      </w:r>
      <w:r w:rsidRPr="00C65F20">
        <w:rPr>
          <w:spacing w:val="2"/>
        </w:rPr>
        <w:t xml:space="preserve"> </w:t>
      </w:r>
      <w:r w:rsidRPr="00C65F20">
        <w:rPr>
          <w:spacing w:val="-3"/>
        </w:rPr>
        <w:t>r</w:t>
      </w:r>
      <w:r w:rsidRPr="00C65F20">
        <w:t>esponsibilit</w:t>
      </w:r>
      <w:r w:rsidRPr="00C65F20">
        <w:rPr>
          <w:spacing w:val="-19"/>
        </w:rPr>
        <w:t>y</w:t>
      </w:r>
      <w:r w:rsidRPr="00C65F20">
        <w:t>,</w:t>
      </w:r>
      <w:r w:rsidRPr="00C65F20">
        <w:rPr>
          <w:spacing w:val="2"/>
        </w:rPr>
        <w:t xml:space="preserve"> </w:t>
      </w:r>
      <w:r w:rsidRPr="00C65F20">
        <w:t>which</w:t>
      </w:r>
      <w:r w:rsidRPr="00C65F20">
        <w:rPr>
          <w:spacing w:val="2"/>
        </w:rPr>
        <w:t xml:space="preserve"> </w:t>
      </w:r>
      <w:r w:rsidRPr="00C65F20">
        <w:t>is</w:t>
      </w:r>
      <w:r w:rsidRPr="00C65F20">
        <w:rPr>
          <w:spacing w:val="2"/>
        </w:rPr>
        <w:t xml:space="preserve"> to </w:t>
      </w:r>
      <w:r w:rsidRPr="00C65F20">
        <w:t>ensu</w:t>
      </w:r>
      <w:r w:rsidRPr="00C65F20">
        <w:rPr>
          <w:spacing w:val="-3"/>
        </w:rPr>
        <w:t>r</w:t>
      </w:r>
      <w:r w:rsidRPr="00C65F20">
        <w:t>e</w:t>
      </w:r>
      <w:r w:rsidRPr="00C65F20">
        <w:rPr>
          <w:spacing w:val="2"/>
        </w:rPr>
        <w:t xml:space="preserve"> </w:t>
      </w:r>
      <w:r w:rsidRPr="00C65F20">
        <w:t>that</w:t>
      </w:r>
      <w:r w:rsidRPr="00C65F20">
        <w:rPr>
          <w:spacing w:val="2"/>
        </w:rPr>
        <w:t xml:space="preserve"> </w:t>
      </w:r>
      <w:r w:rsidRPr="00C65F20">
        <w:t>economic</w:t>
      </w:r>
      <w:r w:rsidRPr="00C65F20">
        <w:rPr>
          <w:spacing w:val="2"/>
        </w:rPr>
        <w:t xml:space="preserve"> </w:t>
      </w:r>
      <w:r w:rsidRPr="00C65F20">
        <w:t>activity</w:t>
      </w:r>
      <w:r w:rsidRPr="00C65F20">
        <w:rPr>
          <w:spacing w:val="2"/>
        </w:rPr>
        <w:t xml:space="preserve"> </w:t>
      </w:r>
      <w:r w:rsidRPr="00C65F20">
        <w:t>is</w:t>
      </w:r>
      <w:r w:rsidRPr="00C65F20">
        <w:rPr>
          <w:spacing w:val="2"/>
        </w:rPr>
        <w:t xml:space="preserve"> </w:t>
      </w:r>
      <w:r w:rsidRPr="00C65F20">
        <w:t>managed</w:t>
      </w:r>
      <w:r w:rsidRPr="00C65F20">
        <w:rPr>
          <w:spacing w:val="2"/>
        </w:rPr>
        <w:t xml:space="preserve"> </w:t>
      </w:r>
      <w:r w:rsidRPr="00C65F20">
        <w:t>in</w:t>
      </w:r>
      <w:r w:rsidRPr="00C65F20">
        <w:rPr>
          <w:spacing w:val="2"/>
        </w:rPr>
        <w:t xml:space="preserve"> </w:t>
      </w:r>
      <w:r w:rsidRPr="00C65F20">
        <w:t>a socially</w:t>
      </w:r>
      <w:r w:rsidRPr="00C65F20">
        <w:rPr>
          <w:spacing w:val="2"/>
        </w:rPr>
        <w:t xml:space="preserve"> </w:t>
      </w:r>
      <w:r w:rsidRPr="00C65F20">
        <w:t>and</w:t>
      </w:r>
      <w:r w:rsidRPr="00C65F20">
        <w:rPr>
          <w:spacing w:val="2"/>
        </w:rPr>
        <w:t xml:space="preserve"> </w:t>
      </w:r>
      <w:r w:rsidRPr="00C65F20">
        <w:t>envi</w:t>
      </w:r>
      <w:r w:rsidRPr="00C65F20">
        <w:rPr>
          <w:spacing w:val="-3"/>
        </w:rPr>
        <w:t>r</w:t>
      </w:r>
      <w:r w:rsidRPr="00C65F20">
        <w:t>onmentally</w:t>
      </w:r>
      <w:r w:rsidRPr="00C65F20">
        <w:rPr>
          <w:spacing w:val="2"/>
        </w:rPr>
        <w:t xml:space="preserve"> </w:t>
      </w:r>
      <w:r w:rsidRPr="00C65F20">
        <w:rPr>
          <w:spacing w:val="-3"/>
        </w:rPr>
        <w:t>r</w:t>
      </w:r>
      <w:r w:rsidRPr="00C65F20">
        <w:t>esponsible</w:t>
      </w:r>
      <w:r w:rsidRPr="00C65F20">
        <w:rPr>
          <w:spacing w:val="2"/>
        </w:rPr>
        <w:t xml:space="preserve"> </w:t>
      </w:r>
      <w:r w:rsidRPr="00C65F20">
        <w:t>manner for</w:t>
      </w:r>
      <w:r w:rsidRPr="00C65F20">
        <w:rPr>
          <w:spacing w:val="2"/>
        </w:rPr>
        <w:t xml:space="preserve"> </w:t>
      </w:r>
      <w:r w:rsidRPr="00C65F20">
        <w:t>the</w:t>
      </w:r>
      <w:r w:rsidRPr="00C65F20">
        <w:rPr>
          <w:spacing w:val="2"/>
        </w:rPr>
        <w:t xml:space="preserve"> </w:t>
      </w:r>
      <w:r w:rsidRPr="00C65F20">
        <w:t>long-term</w:t>
      </w:r>
      <w:r w:rsidRPr="00C65F20">
        <w:rPr>
          <w:spacing w:val="2"/>
        </w:rPr>
        <w:t xml:space="preserve"> </w:t>
      </w:r>
      <w:r w:rsidRPr="00C65F20">
        <w:t>benefit</w:t>
      </w:r>
      <w:r w:rsidRPr="00C65F20">
        <w:rPr>
          <w:spacing w:val="2"/>
        </w:rPr>
        <w:t xml:space="preserve"> </w:t>
      </w:r>
      <w:r w:rsidRPr="00C65F20">
        <w:t>of</w:t>
      </w:r>
      <w:r w:rsidRPr="00C65F20">
        <w:rPr>
          <w:spacing w:val="2"/>
        </w:rPr>
        <w:t xml:space="preserve"> </w:t>
      </w:r>
      <w:r w:rsidRPr="00C65F20">
        <w:t>the</w:t>
      </w:r>
      <w:r w:rsidRPr="00C65F20">
        <w:rPr>
          <w:spacing w:val="2"/>
        </w:rPr>
        <w:t xml:space="preserve"> </w:t>
      </w:r>
      <w:r w:rsidRPr="00C65F20">
        <w:t>State.</w:t>
      </w:r>
    </w:p>
    <w:p w:rsidR="00CC79DC" w:rsidRDefault="00375EE0" w:rsidP="00CC79DC">
      <w:pPr>
        <w:pStyle w:val="Body"/>
      </w:pPr>
      <w:r>
        <w:t>T</w:t>
      </w:r>
      <w:r w:rsidR="00CC79DC" w:rsidRPr="00C65F20">
        <w:t>he</w:t>
      </w:r>
      <w:r w:rsidR="00CC79DC" w:rsidRPr="00C65F20">
        <w:rPr>
          <w:spacing w:val="2"/>
        </w:rPr>
        <w:t xml:space="preserve"> </w:t>
      </w:r>
      <w:r w:rsidR="00CC79DC" w:rsidRPr="00C65F20">
        <w:t>desi</w:t>
      </w:r>
      <w:r w:rsidR="00CC79DC" w:rsidRPr="00C65F20">
        <w:rPr>
          <w:spacing w:val="-3"/>
        </w:rPr>
        <w:t>r</w:t>
      </w:r>
      <w:r w:rsidR="00CC79DC" w:rsidRPr="00C65F20">
        <w:t>ed</w:t>
      </w:r>
      <w:r w:rsidR="00CC79DC" w:rsidRPr="00C65F20">
        <w:rPr>
          <w:spacing w:val="2"/>
        </w:rPr>
        <w:t xml:space="preserve"> </w:t>
      </w:r>
      <w:r w:rsidR="00CC79DC" w:rsidRPr="00C65F20">
        <w:t>outcome</w:t>
      </w:r>
      <w:r w:rsidR="00CC79DC" w:rsidRPr="00C65F20">
        <w:rPr>
          <w:spacing w:val="2"/>
        </w:rPr>
        <w:t xml:space="preserve"> </w:t>
      </w:r>
      <w:r w:rsidR="00CC79DC" w:rsidRPr="00C65F20">
        <w:t>is</w:t>
      </w:r>
      <w:r w:rsidR="00CC79DC" w:rsidRPr="00C65F20">
        <w:rPr>
          <w:spacing w:val="2"/>
        </w:rPr>
        <w:t xml:space="preserve"> </w:t>
      </w:r>
      <w:r w:rsidR="007F4171">
        <w:t>provision of quality advice to the EPA and the Minister for Environment on significant proposals, compliance and environmental issues</w:t>
      </w:r>
      <w:r w:rsidR="00CC79DC" w:rsidRPr="00C65F20">
        <w:t>.</w:t>
      </w:r>
    </w:p>
    <w:p w:rsidR="00CC79DC" w:rsidRDefault="00CC79DC" w:rsidP="00CC79DC">
      <w:pPr>
        <w:pStyle w:val="Body"/>
      </w:pPr>
      <w:r>
        <w:rPr>
          <w:spacing w:val="-23"/>
        </w:rPr>
        <w:t>T</w:t>
      </w:r>
      <w:r>
        <w:t>o</w:t>
      </w:r>
      <w:r>
        <w:rPr>
          <w:spacing w:val="2"/>
        </w:rPr>
        <w:t xml:space="preserve"> </w:t>
      </w:r>
      <w:r>
        <w:t>achieve</w:t>
      </w:r>
      <w:r>
        <w:rPr>
          <w:spacing w:val="2"/>
        </w:rPr>
        <w:t xml:space="preserve"> </w:t>
      </w:r>
      <w:r>
        <w:t>this</w:t>
      </w:r>
      <w:r>
        <w:rPr>
          <w:spacing w:val="2"/>
        </w:rPr>
        <w:t xml:space="preserve"> </w:t>
      </w:r>
      <w:r>
        <w:t>outcome,</w:t>
      </w:r>
      <w:r>
        <w:rPr>
          <w:spacing w:val="2"/>
        </w:rPr>
        <w:t xml:space="preserve"> </w:t>
      </w:r>
      <w:r>
        <w:t>the</w:t>
      </w:r>
      <w:r>
        <w:rPr>
          <w:spacing w:val="2"/>
        </w:rPr>
        <w:t xml:space="preserve"> </w:t>
      </w:r>
      <w:r>
        <w:t>OE</w:t>
      </w:r>
      <w:r>
        <w:rPr>
          <w:spacing w:val="-15"/>
        </w:rPr>
        <w:t>P</w:t>
      </w:r>
      <w:r>
        <w:t>A</w:t>
      </w:r>
      <w:r>
        <w:rPr>
          <w:spacing w:val="2"/>
        </w:rPr>
        <w:t xml:space="preserve"> </w:t>
      </w:r>
      <w:r>
        <w:t>performs</w:t>
      </w:r>
      <w:r>
        <w:rPr>
          <w:spacing w:val="2"/>
        </w:rPr>
        <w:t xml:space="preserve"> </w:t>
      </w:r>
      <w:r>
        <w:t>t</w:t>
      </w:r>
      <w:r w:rsidR="007F4171">
        <w:t>hree</w:t>
      </w:r>
      <w:r>
        <w:t xml:space="preserve"> services:</w:t>
      </w:r>
    </w:p>
    <w:p w:rsidR="00CC79DC" w:rsidRDefault="00CC79DC" w:rsidP="008D4CEC">
      <w:pPr>
        <w:pStyle w:val="Body"/>
        <w:numPr>
          <w:ilvl w:val="0"/>
          <w:numId w:val="2"/>
        </w:numPr>
      </w:pPr>
      <w:r>
        <w:t>Envi</w:t>
      </w:r>
      <w:r>
        <w:rPr>
          <w:spacing w:val="-3"/>
        </w:rPr>
        <w:t>r</w:t>
      </w:r>
      <w:r>
        <w:t>onmental</w:t>
      </w:r>
      <w:r>
        <w:rPr>
          <w:spacing w:val="2"/>
        </w:rPr>
        <w:t xml:space="preserve"> </w:t>
      </w:r>
      <w:r>
        <w:t>Impact</w:t>
      </w:r>
      <w:r>
        <w:rPr>
          <w:spacing w:val="2"/>
        </w:rPr>
        <w:t xml:space="preserve"> </w:t>
      </w:r>
      <w:r>
        <w:t>Assessment</w:t>
      </w:r>
      <w:r>
        <w:rPr>
          <w:spacing w:val="2"/>
        </w:rPr>
        <w:t xml:space="preserve"> </w:t>
      </w:r>
      <w:r w:rsidR="007F4171">
        <w:t>Services to the EPA</w:t>
      </w:r>
    </w:p>
    <w:p w:rsidR="0083455B" w:rsidRDefault="007F4171" w:rsidP="008D4CEC">
      <w:pPr>
        <w:pStyle w:val="Body"/>
        <w:numPr>
          <w:ilvl w:val="0"/>
          <w:numId w:val="2"/>
        </w:numPr>
      </w:pPr>
      <w:r>
        <w:t>Environmental Management Services to the EPA</w:t>
      </w:r>
    </w:p>
    <w:p w:rsidR="00CC79DC" w:rsidRDefault="00CC79DC" w:rsidP="008D4CEC">
      <w:pPr>
        <w:pStyle w:val="Body"/>
        <w:numPr>
          <w:ilvl w:val="0"/>
          <w:numId w:val="2"/>
        </w:numPr>
      </w:pPr>
      <w:r>
        <w:t>Compliance</w:t>
      </w:r>
      <w:r w:rsidRPr="0083455B">
        <w:rPr>
          <w:spacing w:val="2"/>
        </w:rPr>
        <w:t xml:space="preserve"> </w:t>
      </w:r>
      <w:r w:rsidR="007F4171">
        <w:t>Monitoring Services to the Minister</w:t>
      </w:r>
    </w:p>
    <w:p w:rsidR="00F766BF" w:rsidRDefault="00F766BF" w:rsidP="00CC79DC">
      <w:pPr>
        <w:pStyle w:val="Body"/>
        <w:rPr>
          <w:spacing w:val="-23"/>
        </w:rPr>
      </w:pPr>
      <w:r>
        <w:rPr>
          <w:spacing w:val="-23"/>
        </w:rPr>
        <w:br w:type="page"/>
      </w:r>
    </w:p>
    <w:p w:rsidR="00CC79DC" w:rsidRDefault="00CC79DC" w:rsidP="00CC79DC">
      <w:pPr>
        <w:pStyle w:val="Body"/>
      </w:pPr>
      <w:r>
        <w:rPr>
          <w:spacing w:val="-23"/>
        </w:rPr>
        <w:lastRenderedPageBreak/>
        <w:t>T</w:t>
      </w:r>
      <w:r>
        <w:t>o</w:t>
      </w:r>
      <w:r>
        <w:rPr>
          <w:spacing w:val="2"/>
        </w:rPr>
        <w:t xml:space="preserve"> </w:t>
      </w:r>
      <w:r>
        <w:t>deliver</w:t>
      </w:r>
      <w:r>
        <w:rPr>
          <w:spacing w:val="2"/>
        </w:rPr>
        <w:t xml:space="preserve"> </w:t>
      </w:r>
      <w:r>
        <w:t>these</w:t>
      </w:r>
      <w:r>
        <w:rPr>
          <w:spacing w:val="2"/>
        </w:rPr>
        <w:t xml:space="preserve"> </w:t>
      </w:r>
      <w:r>
        <w:t>services,</w:t>
      </w:r>
      <w:r>
        <w:rPr>
          <w:spacing w:val="2"/>
        </w:rPr>
        <w:t xml:space="preserve"> </w:t>
      </w:r>
      <w:r>
        <w:t>the</w:t>
      </w:r>
      <w:r>
        <w:rPr>
          <w:spacing w:val="2"/>
        </w:rPr>
        <w:t xml:space="preserve"> </w:t>
      </w:r>
      <w:r>
        <w:t>OE</w:t>
      </w:r>
      <w:r>
        <w:rPr>
          <w:spacing w:val="-15"/>
        </w:rPr>
        <w:t>P</w:t>
      </w:r>
      <w:r>
        <w:t>A</w:t>
      </w:r>
      <w:r>
        <w:rPr>
          <w:spacing w:val="2"/>
        </w:rPr>
        <w:t xml:space="preserve"> </w:t>
      </w:r>
      <w:r>
        <w:t>undertakes th</w:t>
      </w:r>
      <w:r>
        <w:rPr>
          <w:spacing w:val="-3"/>
        </w:rPr>
        <w:t>r</w:t>
      </w:r>
      <w:r>
        <w:t>ee</w:t>
      </w:r>
      <w:r>
        <w:rPr>
          <w:spacing w:val="2"/>
        </w:rPr>
        <w:t xml:space="preserve"> </w:t>
      </w:r>
      <w:r>
        <w:t>key</w:t>
      </w:r>
      <w:r>
        <w:rPr>
          <w:spacing w:val="2"/>
        </w:rPr>
        <w:t xml:space="preserve"> </w:t>
      </w:r>
      <w:r>
        <w:t>functions:</w:t>
      </w:r>
    </w:p>
    <w:p w:rsidR="00CC79DC" w:rsidRDefault="00CC79DC" w:rsidP="00CC79DC">
      <w:pPr>
        <w:pStyle w:val="Body"/>
      </w:pPr>
      <w:r>
        <w:rPr>
          <w:rFonts w:ascii="Arial" w:eastAsia="Arial" w:hAnsi="Arial" w:cs="Arial"/>
          <w:b/>
          <w:bCs/>
        </w:rPr>
        <w:t>Envi</w:t>
      </w:r>
      <w:r>
        <w:rPr>
          <w:rFonts w:ascii="Arial" w:eastAsia="Arial" w:hAnsi="Arial" w:cs="Arial"/>
          <w:b/>
          <w:bCs/>
          <w:spacing w:val="-3"/>
        </w:rPr>
        <w:t>r</w:t>
      </w:r>
      <w:r>
        <w:rPr>
          <w:rFonts w:ascii="Arial" w:eastAsia="Arial" w:hAnsi="Arial" w:cs="Arial"/>
          <w:b/>
          <w:bCs/>
        </w:rPr>
        <w:t>onmental</w:t>
      </w:r>
      <w:r>
        <w:rPr>
          <w:rFonts w:ascii="Arial" w:eastAsia="Arial" w:hAnsi="Arial" w:cs="Arial"/>
          <w:b/>
          <w:bCs/>
          <w:spacing w:val="-20"/>
        </w:rPr>
        <w:t xml:space="preserve"> </w:t>
      </w:r>
      <w:r>
        <w:rPr>
          <w:rFonts w:ascii="Arial" w:eastAsia="Arial" w:hAnsi="Arial" w:cs="Arial"/>
          <w:b/>
          <w:bCs/>
        </w:rPr>
        <w:t>impact</w:t>
      </w:r>
      <w:r>
        <w:rPr>
          <w:rFonts w:ascii="Arial" w:eastAsia="Arial" w:hAnsi="Arial" w:cs="Arial"/>
          <w:b/>
          <w:bCs/>
          <w:spacing w:val="9"/>
        </w:rPr>
        <w:t xml:space="preserve"> </w:t>
      </w:r>
      <w:r>
        <w:rPr>
          <w:rFonts w:ascii="Arial" w:eastAsia="Arial" w:hAnsi="Arial" w:cs="Arial"/>
          <w:b/>
          <w:bCs/>
        </w:rPr>
        <w:t>assessment</w:t>
      </w:r>
      <w:r>
        <w:rPr>
          <w:rFonts w:ascii="Arial" w:eastAsia="Arial" w:hAnsi="Arial" w:cs="Arial"/>
          <w:b/>
          <w:bCs/>
          <w:spacing w:val="-11"/>
        </w:rPr>
        <w:t xml:space="preserve"> </w:t>
      </w:r>
      <w:r>
        <w:t>is undertaken</w:t>
      </w:r>
      <w:r>
        <w:rPr>
          <w:spacing w:val="2"/>
        </w:rPr>
        <w:t xml:space="preserve"> </w:t>
      </w:r>
      <w:r>
        <w:t>to</w:t>
      </w:r>
      <w:r>
        <w:rPr>
          <w:spacing w:val="2"/>
        </w:rPr>
        <w:t xml:space="preserve"> </w:t>
      </w:r>
      <w:r>
        <w:t>ensu</w:t>
      </w:r>
      <w:r>
        <w:rPr>
          <w:spacing w:val="-3"/>
        </w:rPr>
        <w:t>r</w:t>
      </w:r>
      <w:r>
        <w:t>e</w:t>
      </w:r>
      <w:r>
        <w:rPr>
          <w:spacing w:val="2"/>
        </w:rPr>
        <w:t xml:space="preserve"> </w:t>
      </w:r>
      <w:r>
        <w:t>the</w:t>
      </w:r>
      <w:r>
        <w:rPr>
          <w:spacing w:val="2"/>
        </w:rPr>
        <w:t xml:space="preserve"> </w:t>
      </w:r>
      <w:r>
        <w:t>envi</w:t>
      </w:r>
      <w:r>
        <w:rPr>
          <w:spacing w:val="-3"/>
        </w:rPr>
        <w:t>r</w:t>
      </w:r>
      <w:r>
        <w:t>onmental</w:t>
      </w:r>
      <w:r>
        <w:rPr>
          <w:spacing w:val="2"/>
        </w:rPr>
        <w:t xml:space="preserve"> </w:t>
      </w:r>
      <w:r>
        <w:t>impacts of</w:t>
      </w:r>
      <w:r>
        <w:rPr>
          <w:spacing w:val="2"/>
        </w:rPr>
        <w:t xml:space="preserve"> </w:t>
      </w:r>
      <w:r w:rsidR="0083455B">
        <w:rPr>
          <w:spacing w:val="2"/>
        </w:rPr>
        <w:t xml:space="preserve">significant </w:t>
      </w:r>
      <w:r>
        <w:t>development</w:t>
      </w:r>
      <w:r>
        <w:rPr>
          <w:spacing w:val="2"/>
        </w:rPr>
        <w:t xml:space="preserve"> </w:t>
      </w:r>
      <w:r>
        <w:t>p</w:t>
      </w:r>
      <w:r>
        <w:rPr>
          <w:spacing w:val="-3"/>
        </w:rPr>
        <w:t>r</w:t>
      </w:r>
      <w:r>
        <w:t>oposals</w:t>
      </w:r>
      <w:r>
        <w:rPr>
          <w:spacing w:val="2"/>
        </w:rPr>
        <w:t xml:space="preserve"> </w:t>
      </w:r>
      <w:r>
        <w:t>and</w:t>
      </w:r>
      <w:r>
        <w:rPr>
          <w:spacing w:val="2"/>
        </w:rPr>
        <w:t xml:space="preserve"> </w:t>
      </w:r>
      <w:r>
        <w:t>planning</w:t>
      </w:r>
      <w:r>
        <w:rPr>
          <w:spacing w:val="2"/>
        </w:rPr>
        <w:t xml:space="preserve"> </w:t>
      </w:r>
      <w:r>
        <w:t>schemes a</w:t>
      </w:r>
      <w:r>
        <w:rPr>
          <w:spacing w:val="-3"/>
        </w:rPr>
        <w:t>r</w:t>
      </w:r>
      <w:r>
        <w:t>e</w:t>
      </w:r>
      <w:r>
        <w:rPr>
          <w:spacing w:val="2"/>
        </w:rPr>
        <w:t xml:space="preserve"> </w:t>
      </w:r>
      <w:r>
        <w:t>p</w:t>
      </w:r>
      <w:r>
        <w:rPr>
          <w:spacing w:val="-3"/>
        </w:rPr>
        <w:t>r</w:t>
      </w:r>
      <w:r>
        <w:t>operly</w:t>
      </w:r>
      <w:r>
        <w:rPr>
          <w:spacing w:val="2"/>
        </w:rPr>
        <w:t xml:space="preserve"> </w:t>
      </w:r>
      <w:r>
        <w:t>assessed</w:t>
      </w:r>
      <w:r>
        <w:rPr>
          <w:spacing w:val="2"/>
        </w:rPr>
        <w:t xml:space="preserve"> </w:t>
      </w:r>
      <w:r>
        <w:t>and</w:t>
      </w:r>
      <w:r>
        <w:rPr>
          <w:spacing w:val="2"/>
        </w:rPr>
        <w:t xml:space="preserve"> </w:t>
      </w:r>
      <w:r>
        <w:t>that</w:t>
      </w:r>
      <w:r>
        <w:rPr>
          <w:spacing w:val="2"/>
        </w:rPr>
        <w:t xml:space="preserve"> </w:t>
      </w:r>
      <w:r>
        <w:t>app</w:t>
      </w:r>
      <w:r>
        <w:rPr>
          <w:spacing w:val="-3"/>
        </w:rPr>
        <w:t>r</w:t>
      </w:r>
      <w:r>
        <w:t>opriate conditions</w:t>
      </w:r>
      <w:r>
        <w:rPr>
          <w:spacing w:val="2"/>
        </w:rPr>
        <w:t xml:space="preserve"> </w:t>
      </w:r>
      <w:r>
        <w:t>a</w:t>
      </w:r>
      <w:r>
        <w:rPr>
          <w:spacing w:val="-3"/>
        </w:rPr>
        <w:t>r</w:t>
      </w:r>
      <w:r>
        <w:t>e</w:t>
      </w:r>
      <w:r>
        <w:rPr>
          <w:spacing w:val="2"/>
        </w:rPr>
        <w:t xml:space="preserve"> </w:t>
      </w:r>
      <w:r>
        <w:t>applied.</w:t>
      </w:r>
    </w:p>
    <w:p w:rsidR="00CC79DC" w:rsidRDefault="00CC79DC" w:rsidP="00CC79DC">
      <w:pPr>
        <w:pStyle w:val="Body"/>
      </w:pPr>
      <w:r>
        <w:rPr>
          <w:rFonts w:ascii="Arial" w:eastAsia="Arial" w:hAnsi="Arial" w:cs="Arial"/>
          <w:b/>
          <w:bCs/>
        </w:rPr>
        <w:t>Envi</w:t>
      </w:r>
      <w:r>
        <w:rPr>
          <w:rFonts w:ascii="Arial" w:eastAsia="Arial" w:hAnsi="Arial" w:cs="Arial"/>
          <w:b/>
          <w:bCs/>
          <w:spacing w:val="-3"/>
        </w:rPr>
        <w:t>r</w:t>
      </w:r>
      <w:r>
        <w:rPr>
          <w:rFonts w:ascii="Arial" w:eastAsia="Arial" w:hAnsi="Arial" w:cs="Arial"/>
          <w:b/>
          <w:bCs/>
        </w:rPr>
        <w:t>onmental</w:t>
      </w:r>
      <w:r>
        <w:rPr>
          <w:rFonts w:ascii="Arial" w:eastAsia="Arial" w:hAnsi="Arial" w:cs="Arial"/>
          <w:b/>
          <w:bCs/>
          <w:spacing w:val="-20"/>
        </w:rPr>
        <w:t xml:space="preserve"> </w:t>
      </w:r>
      <w:r>
        <w:rPr>
          <w:rFonts w:ascii="Arial" w:eastAsia="Arial" w:hAnsi="Arial" w:cs="Arial"/>
          <w:b/>
          <w:bCs/>
        </w:rPr>
        <w:t>management</w:t>
      </w:r>
      <w:r>
        <w:rPr>
          <w:rFonts w:ascii="Arial" w:eastAsia="Arial" w:hAnsi="Arial" w:cs="Arial"/>
          <w:b/>
          <w:bCs/>
          <w:spacing w:val="16"/>
        </w:rPr>
        <w:t xml:space="preserve"> </w:t>
      </w:r>
      <w:r>
        <w:rPr>
          <w:rFonts w:ascii="Arial" w:eastAsia="Arial" w:hAnsi="Arial" w:cs="Arial"/>
          <w:b/>
          <w:bCs/>
        </w:rPr>
        <w:t>policies and</w:t>
      </w:r>
      <w:r>
        <w:rPr>
          <w:rFonts w:ascii="Arial" w:eastAsia="Arial" w:hAnsi="Arial" w:cs="Arial"/>
          <w:b/>
          <w:bCs/>
          <w:spacing w:val="2"/>
        </w:rPr>
        <w:t xml:space="preserve"> </w:t>
      </w:r>
      <w:r>
        <w:rPr>
          <w:rFonts w:ascii="Arial" w:eastAsia="Arial" w:hAnsi="Arial" w:cs="Arial"/>
          <w:b/>
          <w:bCs/>
        </w:rPr>
        <w:t>strategic</w:t>
      </w:r>
      <w:r>
        <w:rPr>
          <w:rFonts w:ascii="Arial" w:eastAsia="Arial" w:hAnsi="Arial" w:cs="Arial"/>
          <w:b/>
          <w:bCs/>
          <w:spacing w:val="11"/>
        </w:rPr>
        <w:t xml:space="preserve"> </w:t>
      </w:r>
      <w:r>
        <w:rPr>
          <w:rFonts w:ascii="Arial" w:eastAsia="Arial" w:hAnsi="Arial" w:cs="Arial"/>
          <w:b/>
          <w:bCs/>
        </w:rPr>
        <w:t>advice</w:t>
      </w:r>
      <w:r>
        <w:rPr>
          <w:rFonts w:ascii="Arial" w:eastAsia="Arial" w:hAnsi="Arial" w:cs="Arial"/>
          <w:b/>
          <w:bCs/>
          <w:spacing w:val="-5"/>
        </w:rPr>
        <w:t xml:space="preserve"> </w:t>
      </w:r>
      <w:r>
        <w:t>contribute</w:t>
      </w:r>
      <w:r>
        <w:rPr>
          <w:spacing w:val="2"/>
        </w:rPr>
        <w:t xml:space="preserve"> </w:t>
      </w:r>
      <w:r>
        <w:t>to</w:t>
      </w:r>
      <w:r>
        <w:rPr>
          <w:spacing w:val="2"/>
        </w:rPr>
        <w:t xml:space="preserve"> </w:t>
      </w:r>
      <w:r>
        <w:t>E</w:t>
      </w:r>
      <w:r>
        <w:rPr>
          <w:spacing w:val="-15"/>
        </w:rPr>
        <w:t>P</w:t>
      </w:r>
      <w:r>
        <w:t>A</w:t>
      </w:r>
      <w:r>
        <w:rPr>
          <w:spacing w:val="2"/>
        </w:rPr>
        <w:t xml:space="preserve"> </w:t>
      </w:r>
      <w:r>
        <w:t>and Gove</w:t>
      </w:r>
      <w:r>
        <w:rPr>
          <w:spacing w:val="5"/>
        </w:rPr>
        <w:t>r</w:t>
      </w:r>
      <w:r>
        <w:t>nment</w:t>
      </w:r>
      <w:r>
        <w:rPr>
          <w:spacing w:val="2"/>
        </w:rPr>
        <w:t xml:space="preserve"> </w:t>
      </w:r>
      <w:r>
        <w:t>envi</w:t>
      </w:r>
      <w:r>
        <w:rPr>
          <w:spacing w:val="-3"/>
        </w:rPr>
        <w:t>r</w:t>
      </w:r>
      <w:r>
        <w:t>onmental</w:t>
      </w:r>
      <w:r>
        <w:rPr>
          <w:spacing w:val="2"/>
        </w:rPr>
        <w:t xml:space="preserve"> </w:t>
      </w:r>
      <w:r>
        <w:t>policy</w:t>
      </w:r>
      <w:r>
        <w:rPr>
          <w:spacing w:val="2"/>
        </w:rPr>
        <w:t xml:space="preserve"> </w:t>
      </w:r>
      <w:r>
        <w:t>so</w:t>
      </w:r>
      <w:r>
        <w:rPr>
          <w:spacing w:val="2"/>
        </w:rPr>
        <w:t xml:space="preserve"> </w:t>
      </w:r>
      <w:r>
        <w:t>that envi</w:t>
      </w:r>
      <w:r>
        <w:rPr>
          <w:spacing w:val="-3"/>
        </w:rPr>
        <w:t>r</w:t>
      </w:r>
      <w:r>
        <w:t>onmental</w:t>
      </w:r>
      <w:r>
        <w:rPr>
          <w:spacing w:val="2"/>
        </w:rPr>
        <w:t xml:space="preserve"> </w:t>
      </w:r>
      <w:r>
        <w:t>values</w:t>
      </w:r>
      <w:r>
        <w:rPr>
          <w:spacing w:val="2"/>
        </w:rPr>
        <w:t xml:space="preserve"> </w:t>
      </w:r>
      <w:r>
        <w:t>a</w:t>
      </w:r>
      <w:r>
        <w:rPr>
          <w:spacing w:val="-3"/>
        </w:rPr>
        <w:t>r</w:t>
      </w:r>
      <w:r>
        <w:t>e</w:t>
      </w:r>
      <w:r>
        <w:rPr>
          <w:spacing w:val="2"/>
        </w:rPr>
        <w:t xml:space="preserve"> </w:t>
      </w:r>
      <w:r>
        <w:t>p</w:t>
      </w:r>
      <w:r>
        <w:rPr>
          <w:spacing w:val="-3"/>
        </w:rPr>
        <w:t>r</w:t>
      </w:r>
      <w:r>
        <w:t>otected.</w:t>
      </w:r>
    </w:p>
    <w:p w:rsidR="00C316DF" w:rsidRDefault="00C316DF" w:rsidP="00183CDD">
      <w:pPr>
        <w:pStyle w:val="Body"/>
      </w:pPr>
      <w:r>
        <w:rPr>
          <w:noProof/>
          <w:lang w:eastAsia="en-AU"/>
        </w:rPr>
        <w:drawing>
          <wp:anchor distT="0" distB="0" distL="114300" distR="114300" simplePos="0" relativeHeight="251679744" behindDoc="0" locked="0" layoutInCell="1" allowOverlap="1" wp14:anchorId="46D7678E" wp14:editId="50AC84EE">
            <wp:simplePos x="0" y="0"/>
            <wp:positionH relativeFrom="column">
              <wp:posOffset>790575</wp:posOffset>
            </wp:positionH>
            <wp:positionV relativeFrom="paragraph">
              <wp:posOffset>751840</wp:posOffset>
            </wp:positionV>
            <wp:extent cx="5079365" cy="6257925"/>
            <wp:effectExtent l="0" t="0" r="6985" b="9525"/>
            <wp:wrapTopAndBottom/>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MF.jp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5079365" cy="6257925"/>
                    </a:xfrm>
                    <a:prstGeom prst="rect">
                      <a:avLst/>
                    </a:prstGeom>
                  </pic:spPr>
                </pic:pic>
              </a:graphicData>
            </a:graphic>
            <wp14:sizeRelH relativeFrom="margin">
              <wp14:pctWidth>0</wp14:pctWidth>
            </wp14:sizeRelH>
            <wp14:sizeRelV relativeFrom="margin">
              <wp14:pctHeight>0</wp14:pctHeight>
            </wp14:sizeRelV>
          </wp:anchor>
        </w:drawing>
      </w:r>
      <w:r w:rsidR="00CC79DC">
        <w:rPr>
          <w:rFonts w:ascii="Arial" w:eastAsia="Arial" w:hAnsi="Arial" w:cs="Arial"/>
          <w:b/>
          <w:bCs/>
        </w:rPr>
        <w:t>Compliance</w:t>
      </w:r>
      <w:r w:rsidR="00CC79DC">
        <w:rPr>
          <w:rFonts w:ascii="Arial" w:eastAsia="Arial" w:hAnsi="Arial" w:cs="Arial"/>
          <w:b/>
          <w:bCs/>
          <w:spacing w:val="2"/>
        </w:rPr>
        <w:t xml:space="preserve"> </w:t>
      </w:r>
      <w:r w:rsidR="00CC79DC">
        <w:rPr>
          <w:rFonts w:ascii="Arial" w:eastAsia="Arial" w:hAnsi="Arial" w:cs="Arial"/>
          <w:b/>
          <w:bCs/>
        </w:rPr>
        <w:t>and</w:t>
      </w:r>
      <w:r w:rsidR="00CC79DC">
        <w:rPr>
          <w:rFonts w:ascii="Arial" w:eastAsia="Arial" w:hAnsi="Arial" w:cs="Arial"/>
          <w:b/>
          <w:bCs/>
          <w:spacing w:val="2"/>
        </w:rPr>
        <w:t xml:space="preserve"> </w:t>
      </w:r>
      <w:r w:rsidR="00CC79DC">
        <w:rPr>
          <w:rFonts w:ascii="Arial" w:eastAsia="Arial" w:hAnsi="Arial" w:cs="Arial"/>
          <w:b/>
          <w:bCs/>
        </w:rPr>
        <w:t>enfo</w:t>
      </w:r>
      <w:r w:rsidR="00CC79DC">
        <w:rPr>
          <w:rFonts w:ascii="Arial" w:eastAsia="Arial" w:hAnsi="Arial" w:cs="Arial"/>
          <w:b/>
          <w:bCs/>
          <w:spacing w:val="-3"/>
        </w:rPr>
        <w:t>r</w:t>
      </w:r>
      <w:r w:rsidR="00CC79DC">
        <w:rPr>
          <w:rFonts w:ascii="Arial" w:eastAsia="Arial" w:hAnsi="Arial" w:cs="Arial"/>
          <w:b/>
          <w:bCs/>
        </w:rPr>
        <w:t>cement</w:t>
      </w:r>
      <w:r w:rsidR="00CC79DC">
        <w:rPr>
          <w:rFonts w:ascii="Arial" w:eastAsia="Arial" w:hAnsi="Arial" w:cs="Arial"/>
          <w:b/>
          <w:bCs/>
          <w:spacing w:val="17"/>
        </w:rPr>
        <w:t xml:space="preserve"> </w:t>
      </w:r>
      <w:r w:rsidR="00CC79DC">
        <w:t>is</w:t>
      </w:r>
      <w:r w:rsidR="00CC79DC">
        <w:rPr>
          <w:spacing w:val="2"/>
        </w:rPr>
        <w:t xml:space="preserve"> </w:t>
      </w:r>
      <w:r w:rsidR="00CC79DC">
        <w:t>undertaken to</w:t>
      </w:r>
      <w:r w:rsidR="00CC79DC">
        <w:rPr>
          <w:spacing w:val="2"/>
        </w:rPr>
        <w:t xml:space="preserve"> </w:t>
      </w:r>
      <w:r w:rsidR="00CC79DC">
        <w:t>ensu</w:t>
      </w:r>
      <w:r w:rsidR="00CC79DC">
        <w:rPr>
          <w:spacing w:val="-3"/>
        </w:rPr>
        <w:t>r</w:t>
      </w:r>
      <w:r w:rsidR="00CC79DC">
        <w:t>e</w:t>
      </w:r>
      <w:r w:rsidR="00CC79DC">
        <w:rPr>
          <w:spacing w:val="2"/>
        </w:rPr>
        <w:t xml:space="preserve"> </w:t>
      </w:r>
      <w:r w:rsidR="00CC79DC">
        <w:t>p</w:t>
      </w:r>
      <w:r w:rsidR="00CC79DC">
        <w:rPr>
          <w:spacing w:val="-3"/>
        </w:rPr>
        <w:t>r</w:t>
      </w:r>
      <w:r w:rsidR="00CC79DC">
        <w:t>ojects</w:t>
      </w:r>
      <w:r w:rsidR="00CC79DC">
        <w:rPr>
          <w:spacing w:val="2"/>
        </w:rPr>
        <w:t xml:space="preserve"> </w:t>
      </w:r>
      <w:r w:rsidR="00CC79DC">
        <w:t>and</w:t>
      </w:r>
      <w:r w:rsidR="00CC79DC">
        <w:rPr>
          <w:spacing w:val="2"/>
        </w:rPr>
        <w:t xml:space="preserve"> </w:t>
      </w:r>
      <w:r w:rsidR="00CC79DC">
        <w:t>planning</w:t>
      </w:r>
      <w:r w:rsidR="00CC79DC">
        <w:rPr>
          <w:spacing w:val="2"/>
        </w:rPr>
        <w:t xml:space="preserve"> </w:t>
      </w:r>
      <w:r w:rsidR="00CC79DC">
        <w:t>schemes</w:t>
      </w:r>
      <w:r w:rsidR="00CC79DC">
        <w:rPr>
          <w:spacing w:val="2"/>
        </w:rPr>
        <w:t xml:space="preserve"> </w:t>
      </w:r>
      <w:r w:rsidR="003876C7">
        <w:rPr>
          <w:spacing w:val="2"/>
        </w:rPr>
        <w:t xml:space="preserve">are audited and </w:t>
      </w:r>
      <w:r w:rsidR="00CC79DC">
        <w:t>comply with</w:t>
      </w:r>
      <w:r w:rsidR="00CC79DC">
        <w:rPr>
          <w:spacing w:val="2"/>
        </w:rPr>
        <w:t xml:space="preserve"> </w:t>
      </w:r>
      <w:r w:rsidR="00CC79DC">
        <w:t>Ministerial</w:t>
      </w:r>
      <w:r w:rsidR="00CC79DC">
        <w:rPr>
          <w:spacing w:val="2"/>
        </w:rPr>
        <w:t xml:space="preserve"> </w:t>
      </w:r>
      <w:r w:rsidR="00CC79DC">
        <w:t>app</w:t>
      </w:r>
      <w:r w:rsidR="00CC79DC">
        <w:rPr>
          <w:spacing w:val="-3"/>
        </w:rPr>
        <w:t>r</w:t>
      </w:r>
      <w:r w:rsidR="00CC79DC">
        <w:t>oval</w:t>
      </w:r>
      <w:r w:rsidR="00CC79DC">
        <w:rPr>
          <w:spacing w:val="2"/>
        </w:rPr>
        <w:t xml:space="preserve"> </w:t>
      </w:r>
      <w:r w:rsidR="00CC79DC">
        <w:t>conditions</w:t>
      </w:r>
      <w:r w:rsidR="00CC79DC">
        <w:rPr>
          <w:spacing w:val="2"/>
        </w:rPr>
        <w:t xml:space="preserve"> </w:t>
      </w:r>
      <w:r w:rsidR="00CC79DC">
        <w:t>and</w:t>
      </w:r>
      <w:r w:rsidR="00CC79DC">
        <w:rPr>
          <w:spacing w:val="2"/>
        </w:rPr>
        <w:t xml:space="preserve"> </w:t>
      </w:r>
      <w:r w:rsidR="00CC79DC">
        <w:t>the</w:t>
      </w:r>
      <w:r w:rsidR="00CC79DC">
        <w:rPr>
          <w:spacing w:val="2"/>
        </w:rPr>
        <w:t xml:space="preserve"> </w:t>
      </w:r>
      <w:r w:rsidR="00CC79DC">
        <w:t>Minister</w:t>
      </w:r>
      <w:r w:rsidR="00CC79DC">
        <w:rPr>
          <w:spacing w:val="2"/>
        </w:rPr>
        <w:t xml:space="preserve"> </w:t>
      </w:r>
      <w:r w:rsidR="00CC79DC">
        <w:t>is</w:t>
      </w:r>
      <w:r w:rsidR="00CC79DC">
        <w:rPr>
          <w:spacing w:val="2"/>
        </w:rPr>
        <w:t xml:space="preserve"> </w:t>
      </w:r>
      <w:r w:rsidR="00CC79DC">
        <w:t>advised of</w:t>
      </w:r>
      <w:r w:rsidR="00CC79DC">
        <w:rPr>
          <w:spacing w:val="2"/>
        </w:rPr>
        <w:t xml:space="preserve"> </w:t>
      </w:r>
      <w:r w:rsidR="00CC79DC">
        <w:t>any</w:t>
      </w:r>
      <w:r w:rsidR="00CC79DC">
        <w:rPr>
          <w:spacing w:val="2"/>
        </w:rPr>
        <w:t xml:space="preserve"> </w:t>
      </w:r>
      <w:r w:rsidR="00183CDD">
        <w:t>non-compliance.</w:t>
      </w:r>
    </w:p>
    <w:p w:rsidR="00E71280" w:rsidRDefault="00E71280" w:rsidP="0083455B">
      <w:pPr>
        <w:pStyle w:val="Heading1"/>
      </w:pPr>
      <w:bookmarkStart w:id="25" w:name="_Toc428279150"/>
      <w:r>
        <w:lastRenderedPageBreak/>
        <w:t>Changes to Outcome Based Management Framework</w:t>
      </w:r>
      <w:bookmarkEnd w:id="25"/>
    </w:p>
    <w:p w:rsidR="00535E16" w:rsidRPr="00B718B0" w:rsidRDefault="00535E16" w:rsidP="00535E16">
      <w:pPr>
        <w:pStyle w:val="Body"/>
      </w:pPr>
      <w:r w:rsidRPr="00B718B0">
        <w:t xml:space="preserve">In 2012, the OEPA </w:t>
      </w:r>
      <w:r>
        <w:t xml:space="preserve">began a review of its key performance indicators to ensure they were </w:t>
      </w:r>
      <w:r w:rsidRPr="00006714">
        <w:t>robust, contemporary and fit for purpose.</w:t>
      </w:r>
      <w:r w:rsidR="00EC4CB1">
        <w:t xml:space="preserve"> </w:t>
      </w:r>
      <w:r>
        <w:t xml:space="preserve">As part of this review, the OEPA </w:t>
      </w:r>
      <w:r w:rsidRPr="00B718B0">
        <w:t xml:space="preserve">engaged Dr Gordon Robertson PSM, a former Deputy Auditor General, as a consultant to review the </w:t>
      </w:r>
      <w:r>
        <w:t>existing</w:t>
      </w:r>
      <w:r w:rsidRPr="00B718B0">
        <w:t xml:space="preserve"> KPIs, and recommend improvements that would satisfy the OEPA's performance reporting requirements.</w:t>
      </w:r>
    </w:p>
    <w:p w:rsidR="00E71280" w:rsidRDefault="00535E16" w:rsidP="00535E16">
      <w:pPr>
        <w:pStyle w:val="Body"/>
      </w:pPr>
      <w:r>
        <w:t>T</w:t>
      </w:r>
      <w:r w:rsidRPr="00B718B0">
        <w:t>he structure to capture data for the new KPIs was finalised</w:t>
      </w:r>
      <w:r>
        <w:t xml:space="preserve"> during 2013</w:t>
      </w:r>
      <w:r w:rsidR="00F76353">
        <w:t>–</w:t>
      </w:r>
      <w:r>
        <w:t>14</w:t>
      </w:r>
      <w:r w:rsidRPr="00B718B0">
        <w:t xml:space="preserve">, and a KPI Manual and tracking sheet </w:t>
      </w:r>
      <w:r w:rsidR="00F76353">
        <w:t>developed</w:t>
      </w:r>
      <w:r w:rsidRPr="00B718B0">
        <w:t>.</w:t>
      </w:r>
      <w:r w:rsidR="00F76353">
        <w:t xml:space="preserve"> The r</w:t>
      </w:r>
      <w:r>
        <w:t xml:space="preserve">evised services and indicators were endorsed by Treasury, the Office of the Auditor General and the Minister for Environment and </w:t>
      </w:r>
      <w:r w:rsidR="00EC4CB1">
        <w:t>the performance of the OEPA was measured against the</w:t>
      </w:r>
      <w:r w:rsidR="00E91C31">
        <w:t xml:space="preserve"> new framework during </w:t>
      </w:r>
      <w:r>
        <w:t>2014–15.</w:t>
      </w:r>
    </w:p>
    <w:p w:rsidR="00C4187B" w:rsidRDefault="00C4187B" w:rsidP="00535E16">
      <w:pPr>
        <w:pStyle w:val="Body"/>
        <w:sectPr w:rsidR="00C4187B" w:rsidSect="007343DA">
          <w:headerReference w:type="even" r:id="rId41"/>
          <w:headerReference w:type="default" r:id="rId42"/>
          <w:pgSz w:w="11906" w:h="16838"/>
          <w:pgMar w:top="1245" w:right="993" w:bottom="1440" w:left="1440" w:header="568" w:footer="170" w:gutter="0"/>
          <w:cols w:space="709"/>
          <w:docGrid w:linePitch="360"/>
        </w:sectPr>
      </w:pPr>
    </w:p>
    <w:bookmarkStart w:id="26" w:name="_Toc428279152"/>
    <w:p w:rsidR="00EE0308" w:rsidRDefault="0060622F" w:rsidP="00017F4E">
      <w:pPr>
        <w:pStyle w:val="Heading1"/>
      </w:pPr>
      <w:r w:rsidRPr="00C316DF">
        <w:rPr>
          <w:noProof/>
          <w:lang w:eastAsia="en-AU"/>
        </w:rPr>
        <w:lastRenderedPageBreak/>
        <mc:AlternateContent>
          <mc:Choice Requires="wps">
            <w:drawing>
              <wp:anchor distT="0" distB="0" distL="114300" distR="114300" simplePos="0" relativeHeight="251664384" behindDoc="0" locked="1" layoutInCell="1" allowOverlap="1" wp14:anchorId="05749035" wp14:editId="63CCEA63">
                <wp:simplePos x="0" y="0"/>
                <wp:positionH relativeFrom="page">
                  <wp:posOffset>822961</wp:posOffset>
                </wp:positionH>
                <wp:positionV relativeFrom="page">
                  <wp:posOffset>914400</wp:posOffset>
                </wp:positionV>
                <wp:extent cx="3906000" cy="532800"/>
                <wp:effectExtent l="0" t="0" r="0" b="635"/>
                <wp:wrapNone/>
                <wp:docPr id="9" name="Text Box 9"/>
                <wp:cNvGraphicFramePr/>
                <a:graphic xmlns:a="http://schemas.openxmlformats.org/drawingml/2006/main">
                  <a:graphicData uri="http://schemas.microsoft.com/office/word/2010/wordprocessingShape">
                    <wps:wsp>
                      <wps:cNvSpPr txBox="1"/>
                      <wps:spPr>
                        <a:xfrm>
                          <a:off x="0" y="0"/>
                          <a:ext cx="3906000" cy="532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1C6" w:rsidRPr="002B771E" w:rsidRDefault="00E621C6" w:rsidP="0060622F">
                            <w:pPr>
                              <w:pStyle w:val="Heading1"/>
                              <w:rPr>
                                <w:rFonts w:asciiTheme="majorHAnsi" w:hAnsiTheme="majorHAnsi"/>
                                <w:b w:val="0"/>
                                <w:color w:val="FFFFFF" w:themeColor="background1"/>
                                <w:sz w:val="56"/>
                                <w:szCs w:val="56"/>
                              </w:rPr>
                            </w:pPr>
                            <w:bookmarkStart w:id="27" w:name="_Toc428279151"/>
                            <w:r w:rsidRPr="002B771E">
                              <w:rPr>
                                <w:rFonts w:asciiTheme="majorHAnsi" w:hAnsiTheme="majorHAnsi"/>
                                <w:b w:val="0"/>
                                <w:color w:val="FFFFFF" w:themeColor="background1"/>
                                <w:sz w:val="56"/>
                                <w:szCs w:val="56"/>
                              </w:rPr>
                              <w:t>Agency performance</w:t>
                            </w:r>
                            <w:bookmarkEnd w:id="27"/>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9" o:spid="_x0000_s1027" type="#_x0000_t202" style="position:absolute;margin-left:64.8pt;margin-top:1in;width:307.55pt;height:41.95pt;z-index:25166438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" filled="f" stroked="f" strokeweight=".5pt">
                <v:textbox>
                  <w:txbxContent>
                    <w:p w:rsidR="00E621C6" w:rsidRPr="002B771E" w:rsidRDefault="00E621C6" w:rsidP="0060622F">
                      <w:pPr>
                        <w:pStyle w:val="Heading1"/>
                        <w:rPr>
                          <w:rFonts w:asciiTheme="majorHAnsi" w:hAnsiTheme="majorHAnsi"/>
                          <w:b w:val="0"/>
                          <w:color w:val="FFFFFF" w:themeColor="background1"/>
                          <w:sz w:val="56"/>
                          <w:szCs w:val="56"/>
                        </w:rPr>
                      </w:pPr>
                      <w:bookmarkStart w:id="29" w:name="_Toc428279151"/>
                      <w:r w:rsidRPr="002B771E">
                        <w:rPr>
                          <w:rFonts w:asciiTheme="majorHAnsi" w:hAnsiTheme="majorHAnsi"/>
                          <w:b w:val="0"/>
                          <w:color w:val="FFFFFF" w:themeColor="background1"/>
                          <w:sz w:val="56"/>
                          <w:szCs w:val="56"/>
                        </w:rPr>
                        <w:t>Agency performance</w:t>
                      </w:r>
                      <w:bookmarkEnd w:id="29"/>
                    </w:p>
                  </w:txbxContent>
                </v:textbox>
                <w10:wrap anchorx="page" anchory="page"/>
                <w10:anchorlock/>
              </v:shape>
            </w:pict>
          </mc:Fallback>
        </mc:AlternateContent>
      </w:r>
      <w:r w:rsidRPr="00C316DF">
        <w:rPr>
          <w:noProof/>
          <w:lang w:eastAsia="en-AU"/>
        </w:rPr>
        <w:drawing>
          <wp:anchor distT="0" distB="0" distL="114300" distR="114300" simplePos="0" relativeHeight="251662336" behindDoc="0" locked="1" layoutInCell="1" allowOverlap="1" wp14:anchorId="4748CD74" wp14:editId="4EFEADC9">
            <wp:simplePos x="0" y="0"/>
            <wp:positionH relativeFrom="page">
              <wp:posOffset>0</wp:posOffset>
            </wp:positionH>
            <wp:positionV relativeFrom="page">
              <wp:posOffset>796290</wp:posOffset>
            </wp:positionV>
            <wp:extent cx="7556500" cy="1083945"/>
            <wp:effectExtent l="0" t="0" r="6350" b="1905"/>
            <wp:wrapTopAndBottom/>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agency performance.jp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7556500" cy="1083945"/>
                    </a:xfrm>
                    <a:prstGeom prst="rect">
                      <a:avLst/>
                    </a:prstGeom>
                  </pic:spPr>
                </pic:pic>
              </a:graphicData>
            </a:graphic>
            <wp14:sizeRelH relativeFrom="page">
              <wp14:pctWidth>0</wp14:pctWidth>
            </wp14:sizeRelH>
            <wp14:sizeRelV relativeFrom="page">
              <wp14:pctHeight>0</wp14:pctHeight>
            </wp14:sizeRelV>
          </wp:anchor>
        </w:drawing>
      </w:r>
      <w:r w:rsidR="00E159A9" w:rsidRPr="00C316DF">
        <w:t>Report on operations</w:t>
      </w:r>
      <w:bookmarkEnd w:id="26"/>
    </w:p>
    <w:p w:rsidR="00017F4E" w:rsidRPr="00E76C17" w:rsidRDefault="00017F4E" w:rsidP="00C75C57">
      <w:pPr>
        <w:pStyle w:val="Heading1"/>
        <w:ind w:left="1134" w:hanging="1134"/>
      </w:pPr>
      <w:bookmarkStart w:id="28" w:name="_Toc425253631"/>
      <w:bookmarkStart w:id="29" w:name="_Toc428279153"/>
      <w:r>
        <w:t xml:space="preserve">Service 1: </w:t>
      </w:r>
      <w:r w:rsidRPr="00E76C17">
        <w:t>Environmental impact assessment services to the EPA</w:t>
      </w:r>
      <w:bookmarkEnd w:id="28"/>
      <w:bookmarkEnd w:id="29"/>
    </w:p>
    <w:p w:rsidR="00017F4E" w:rsidRPr="003D56AD" w:rsidRDefault="00017F4E" w:rsidP="00C75C57">
      <w:pPr>
        <w:pStyle w:val="Servicedescription"/>
        <w:spacing w:line="240" w:lineRule="auto"/>
        <w:ind w:left="1134"/>
      </w:pPr>
      <w:r w:rsidRPr="003D56AD">
        <w:t>Conduct, for the EPA, environmental impact assessment of significant proposals and schemes.</w:t>
      </w:r>
    </w:p>
    <w:p w:rsidR="00E920E1" w:rsidRDefault="00B06B8C" w:rsidP="00B06B8C">
      <w:pPr>
        <w:pStyle w:val="Heading2"/>
      </w:pPr>
      <w:bookmarkStart w:id="30" w:name="_Toc428279154"/>
      <w:r>
        <w:t>Key effectiveness indicators</w:t>
      </w:r>
      <w:bookmarkEnd w:id="30"/>
    </w:p>
    <w:tbl>
      <w:tblPr>
        <w:tblW w:w="8420" w:type="dxa"/>
        <w:tblInd w:w="1264" w:type="dxa"/>
        <w:tblLayout w:type="fixed"/>
        <w:tblCellMar>
          <w:top w:w="57" w:type="dxa"/>
          <w:bottom w:w="57" w:type="dxa"/>
        </w:tblCellMar>
        <w:tblLook w:val="04A0" w:firstRow="1" w:lastRow="0" w:firstColumn="1" w:lastColumn="0" w:noHBand="0" w:noVBand="1"/>
      </w:tblPr>
      <w:tblGrid>
        <w:gridCol w:w="5443"/>
        <w:gridCol w:w="993"/>
        <w:gridCol w:w="992"/>
        <w:gridCol w:w="992"/>
      </w:tblGrid>
      <w:tr w:rsidR="00A24413" w:rsidRPr="00A24413" w:rsidTr="00FE31D6">
        <w:trPr>
          <w:trHeight w:val="680"/>
        </w:trPr>
        <w:tc>
          <w:tcPr>
            <w:tcW w:w="5443" w:type="dxa"/>
            <w:tcBorders>
              <w:bottom w:val="single" w:sz="4" w:space="0" w:color="E0DCCB" w:themeColor="accent4" w:themeTint="66"/>
            </w:tcBorders>
            <w:noWrap/>
            <w:vAlign w:val="bottom"/>
            <w:hideMark/>
          </w:tcPr>
          <w:p w:rsidR="00A24413" w:rsidRPr="00A24413" w:rsidRDefault="00A24413" w:rsidP="00F06703">
            <w:pPr>
              <w:ind w:left="-130"/>
              <w:rPr>
                <w:rFonts w:eastAsia="Calibri" w:cs="Times New Roman"/>
                <w:color w:val="auto"/>
                <w:sz w:val="22"/>
              </w:rPr>
            </w:pPr>
          </w:p>
        </w:tc>
        <w:tc>
          <w:tcPr>
            <w:tcW w:w="993" w:type="dxa"/>
            <w:tcBorders>
              <w:top w:val="nil"/>
              <w:left w:val="nil"/>
              <w:bottom w:val="single" w:sz="4" w:space="0" w:color="E0DCCB" w:themeColor="accent4" w:themeTint="66"/>
              <w:right w:val="single" w:sz="8" w:space="0" w:color="FFFFFF"/>
            </w:tcBorders>
            <w:shd w:val="clear" w:color="auto" w:fill="E0DCCB"/>
            <w:vAlign w:val="center"/>
            <w:hideMark/>
          </w:tcPr>
          <w:p w:rsidR="00A24413" w:rsidRPr="00A24413" w:rsidRDefault="00A24413" w:rsidP="002E09E4">
            <w:pPr>
              <w:spacing w:after="0" w:line="240" w:lineRule="auto"/>
              <w:jc w:val="center"/>
              <w:rPr>
                <w:rFonts w:ascii="Calibri" w:eastAsia="Times New Roman" w:hAnsi="Calibri" w:cs="Arial"/>
                <w:b/>
                <w:bCs/>
                <w:color w:val="4D4D4F"/>
                <w:sz w:val="22"/>
                <w:lang w:eastAsia="en-AU"/>
              </w:rPr>
            </w:pPr>
            <w:r w:rsidRPr="00A24413">
              <w:rPr>
                <w:rFonts w:ascii="Calibri" w:eastAsia="Times New Roman" w:hAnsi="Calibri" w:cs="Arial"/>
                <w:b/>
                <w:bCs/>
                <w:color w:val="4D4D4F"/>
                <w:sz w:val="22"/>
                <w:lang w:eastAsia="en-AU"/>
              </w:rPr>
              <w:t>2013-14</w:t>
            </w:r>
            <w:r w:rsidRPr="00A24413">
              <w:rPr>
                <w:rFonts w:ascii="Calibri" w:eastAsia="Times New Roman" w:hAnsi="Calibri" w:cs="Arial"/>
                <w:b/>
                <w:bCs/>
                <w:color w:val="4D4D4F"/>
                <w:sz w:val="22"/>
                <w:lang w:eastAsia="en-AU"/>
              </w:rPr>
              <w:br/>
              <w:t>Actual</w:t>
            </w:r>
          </w:p>
        </w:tc>
        <w:tc>
          <w:tcPr>
            <w:tcW w:w="992" w:type="dxa"/>
            <w:tcBorders>
              <w:top w:val="nil"/>
              <w:left w:val="nil"/>
              <w:bottom w:val="single" w:sz="4" w:space="0" w:color="E0DCCB" w:themeColor="accent4" w:themeTint="66"/>
              <w:right w:val="single" w:sz="8" w:space="0" w:color="FFFFFF"/>
            </w:tcBorders>
            <w:shd w:val="clear" w:color="auto" w:fill="E0DCCB"/>
            <w:vAlign w:val="center"/>
            <w:hideMark/>
          </w:tcPr>
          <w:p w:rsidR="00A24413" w:rsidRPr="00A24413" w:rsidRDefault="00A24413" w:rsidP="002E09E4">
            <w:pPr>
              <w:spacing w:after="0" w:line="240" w:lineRule="auto"/>
              <w:jc w:val="center"/>
              <w:rPr>
                <w:rFonts w:ascii="Calibri" w:eastAsia="Times New Roman" w:hAnsi="Calibri" w:cs="Arial"/>
                <w:b/>
                <w:bCs/>
                <w:color w:val="4D4D4F"/>
                <w:sz w:val="22"/>
                <w:lang w:eastAsia="en-AU"/>
              </w:rPr>
            </w:pPr>
            <w:r w:rsidRPr="00A24413">
              <w:rPr>
                <w:rFonts w:ascii="Calibri" w:eastAsia="Times New Roman" w:hAnsi="Calibri" w:cs="Arial"/>
                <w:b/>
                <w:bCs/>
                <w:color w:val="4D4D4F"/>
                <w:sz w:val="22"/>
                <w:lang w:eastAsia="en-AU"/>
              </w:rPr>
              <w:t>2014-15</w:t>
            </w:r>
            <w:r w:rsidRPr="00A24413">
              <w:rPr>
                <w:rFonts w:ascii="Calibri" w:eastAsia="Times New Roman" w:hAnsi="Calibri" w:cs="Arial"/>
                <w:b/>
                <w:bCs/>
                <w:color w:val="4D4D4F"/>
                <w:sz w:val="22"/>
                <w:lang w:eastAsia="en-AU"/>
              </w:rPr>
              <w:br/>
              <w:t>Target</w:t>
            </w:r>
          </w:p>
        </w:tc>
        <w:tc>
          <w:tcPr>
            <w:tcW w:w="992" w:type="dxa"/>
            <w:tcBorders>
              <w:top w:val="nil"/>
              <w:left w:val="nil"/>
              <w:right w:val="single" w:sz="8" w:space="0" w:color="FFFFFF"/>
            </w:tcBorders>
            <w:shd w:val="clear" w:color="auto" w:fill="E0DCCB"/>
            <w:vAlign w:val="center"/>
            <w:hideMark/>
          </w:tcPr>
          <w:p w:rsidR="00A24413" w:rsidRPr="00A24413" w:rsidRDefault="00A24413" w:rsidP="002E09E4">
            <w:pPr>
              <w:spacing w:after="0" w:line="240" w:lineRule="auto"/>
              <w:jc w:val="center"/>
              <w:rPr>
                <w:rFonts w:ascii="Calibri" w:eastAsia="Times New Roman" w:hAnsi="Calibri" w:cs="Arial"/>
                <w:b/>
                <w:bCs/>
                <w:color w:val="4D4D4F"/>
                <w:sz w:val="22"/>
                <w:lang w:eastAsia="en-AU"/>
              </w:rPr>
            </w:pPr>
            <w:r w:rsidRPr="00A24413">
              <w:rPr>
                <w:rFonts w:ascii="Calibri" w:eastAsia="Times New Roman" w:hAnsi="Calibri" w:cs="Arial"/>
                <w:b/>
                <w:bCs/>
                <w:color w:val="4D4D4F"/>
                <w:sz w:val="22"/>
                <w:lang w:eastAsia="en-AU"/>
              </w:rPr>
              <w:t>2014-15</w:t>
            </w:r>
            <w:r w:rsidRPr="00A24413">
              <w:rPr>
                <w:rFonts w:ascii="Calibri" w:eastAsia="Times New Roman" w:hAnsi="Calibri" w:cs="Arial"/>
                <w:b/>
                <w:bCs/>
                <w:color w:val="4D4D4F"/>
                <w:sz w:val="22"/>
                <w:lang w:eastAsia="en-AU"/>
              </w:rPr>
              <w:br/>
              <w:t>Actual</w:t>
            </w:r>
          </w:p>
        </w:tc>
      </w:tr>
      <w:tr w:rsidR="00A24413" w:rsidRPr="00A24413" w:rsidTr="00FE31D6">
        <w:trPr>
          <w:trHeight w:val="1350"/>
        </w:trPr>
        <w:tc>
          <w:tcPr>
            <w:tcW w:w="5443"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shd w:val="clear" w:color="auto" w:fill="auto"/>
            <w:vAlign w:val="center"/>
            <w:hideMark/>
          </w:tcPr>
          <w:p w:rsidR="00A24413" w:rsidRPr="00A24413" w:rsidRDefault="00A24413" w:rsidP="00F06703">
            <w:pPr>
              <w:spacing w:after="0" w:line="240" w:lineRule="auto"/>
              <w:rPr>
                <w:rFonts w:ascii="Arial" w:eastAsia="Times New Roman" w:hAnsi="Arial" w:cs="Arial"/>
                <w:color w:val="4D4D4F"/>
                <w:sz w:val="22"/>
                <w:lang w:eastAsia="en-AU"/>
              </w:rPr>
            </w:pPr>
            <w:r w:rsidRPr="00A24413">
              <w:rPr>
                <w:rFonts w:ascii="Arial" w:eastAsia="Times New Roman" w:hAnsi="Arial" w:cs="Arial"/>
                <w:color w:val="4D4D4F"/>
                <w:sz w:val="22"/>
                <w:lang w:eastAsia="en-AU"/>
              </w:rPr>
              <w:t xml:space="preserve">The EPA's satisfaction with the Office of the Environmental Protection Authority's (OEPA) Environmental Impact Assessment (EIA) services during the year, in line with Best Practice Principles of EIA </w:t>
            </w:r>
          </w:p>
        </w:tc>
        <w:tc>
          <w:tcPr>
            <w:tcW w:w="993"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hideMark/>
          </w:tcPr>
          <w:p w:rsidR="00A24413" w:rsidRPr="00A24413" w:rsidRDefault="00A24413" w:rsidP="002E09E4">
            <w:pPr>
              <w:spacing w:after="0" w:line="240" w:lineRule="auto"/>
              <w:jc w:val="center"/>
              <w:rPr>
                <w:rFonts w:ascii="Arial" w:eastAsia="Times New Roman" w:hAnsi="Arial" w:cs="Arial"/>
                <w:color w:val="4D4D4F"/>
                <w:sz w:val="22"/>
                <w:lang w:eastAsia="en-AU"/>
              </w:rPr>
            </w:pPr>
            <w:r w:rsidRPr="00A24413">
              <w:rPr>
                <w:rFonts w:ascii="Arial" w:eastAsia="Times New Roman" w:hAnsi="Arial" w:cstheme="minorHAnsi"/>
                <w:color w:val="4D4D4F"/>
                <w:sz w:val="22"/>
                <w:lang w:eastAsia="en-AU"/>
              </w:rPr>
              <w:t>n/a</w:t>
            </w:r>
          </w:p>
        </w:tc>
        <w:tc>
          <w:tcPr>
            <w:tcW w:w="992"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hideMark/>
          </w:tcPr>
          <w:p w:rsidR="00A24413" w:rsidRPr="00A24413" w:rsidRDefault="00A24413" w:rsidP="002E09E4">
            <w:pPr>
              <w:spacing w:after="0" w:line="240" w:lineRule="auto"/>
              <w:jc w:val="center"/>
              <w:rPr>
                <w:rFonts w:ascii="Arial" w:eastAsia="Times New Roman" w:hAnsi="Arial" w:cs="Arial"/>
                <w:color w:val="4D4D4F"/>
                <w:sz w:val="22"/>
                <w:lang w:eastAsia="en-AU"/>
              </w:rPr>
            </w:pPr>
            <w:r w:rsidRPr="00A24413">
              <w:rPr>
                <w:rFonts w:ascii="Arial" w:eastAsia="Times New Roman" w:hAnsi="Arial" w:cstheme="minorHAnsi"/>
                <w:color w:val="4D4D4F"/>
                <w:sz w:val="22"/>
                <w:lang w:eastAsia="en-AU"/>
              </w:rPr>
              <w:t>75%</w:t>
            </w:r>
          </w:p>
        </w:tc>
        <w:tc>
          <w:tcPr>
            <w:tcW w:w="992" w:type="dxa"/>
            <w:tcBorders>
              <w:top w:val="nil"/>
              <w:left w:val="single" w:sz="4" w:space="0" w:color="E0DCCB" w:themeColor="accent4" w:themeTint="66"/>
              <w:bottom w:val="single" w:sz="4" w:space="0" w:color="FFFFFF" w:themeColor="background1"/>
              <w:right w:val="single" w:sz="8" w:space="0" w:color="E0DCCB"/>
            </w:tcBorders>
            <w:shd w:val="clear" w:color="auto" w:fill="E0DCCB"/>
            <w:noWrap/>
            <w:vAlign w:val="center"/>
            <w:hideMark/>
          </w:tcPr>
          <w:p w:rsidR="00A24413" w:rsidRPr="00A24413" w:rsidRDefault="00A24413" w:rsidP="002E09E4">
            <w:pPr>
              <w:spacing w:after="0" w:line="240" w:lineRule="auto"/>
              <w:jc w:val="center"/>
              <w:rPr>
                <w:rFonts w:ascii="Arial" w:eastAsia="Times New Roman" w:hAnsi="Arial" w:cs="Arial"/>
                <w:color w:val="4D4D4F"/>
                <w:sz w:val="22"/>
                <w:lang w:eastAsia="en-AU"/>
              </w:rPr>
            </w:pPr>
            <w:r w:rsidRPr="00A24413">
              <w:rPr>
                <w:rFonts w:ascii="Arial" w:eastAsia="Times New Roman" w:hAnsi="Arial" w:cs="Arial"/>
                <w:color w:val="4D4D4F"/>
                <w:sz w:val="22"/>
                <w:lang w:eastAsia="en-AU"/>
              </w:rPr>
              <w:t>89% </w:t>
            </w:r>
          </w:p>
        </w:tc>
      </w:tr>
      <w:tr w:rsidR="00A24413" w:rsidRPr="00A24413" w:rsidTr="00FE31D6">
        <w:trPr>
          <w:trHeight w:val="660"/>
        </w:trPr>
        <w:tc>
          <w:tcPr>
            <w:tcW w:w="5443"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shd w:val="clear" w:color="auto" w:fill="auto"/>
            <w:vAlign w:val="center"/>
            <w:hideMark/>
          </w:tcPr>
          <w:p w:rsidR="00A24413" w:rsidRPr="00A24413" w:rsidRDefault="00A24413" w:rsidP="00F06703">
            <w:pPr>
              <w:spacing w:after="0" w:line="240" w:lineRule="auto"/>
              <w:rPr>
                <w:rFonts w:ascii="Arial" w:eastAsia="Times New Roman" w:hAnsi="Arial" w:cs="Arial"/>
                <w:color w:val="4D4D4F"/>
                <w:sz w:val="22"/>
                <w:lang w:eastAsia="en-AU"/>
              </w:rPr>
            </w:pPr>
            <w:r w:rsidRPr="00A24413">
              <w:rPr>
                <w:rFonts w:ascii="Arial" w:eastAsia="Times New Roman" w:hAnsi="Arial" w:cs="Arial"/>
                <w:color w:val="4D4D4F"/>
                <w:sz w:val="22"/>
                <w:lang w:eastAsia="en-AU"/>
              </w:rPr>
              <w:t xml:space="preserve">Percentage of project-specific conditions which did not require significant change following the appeal process </w:t>
            </w:r>
          </w:p>
        </w:tc>
        <w:tc>
          <w:tcPr>
            <w:tcW w:w="993"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hideMark/>
          </w:tcPr>
          <w:p w:rsidR="00A24413" w:rsidRPr="00A24413" w:rsidRDefault="00A24413" w:rsidP="002E09E4">
            <w:pPr>
              <w:spacing w:after="0" w:line="240" w:lineRule="auto"/>
              <w:jc w:val="center"/>
              <w:rPr>
                <w:rFonts w:ascii="Arial" w:eastAsia="Times New Roman" w:hAnsi="Arial" w:cs="Arial"/>
                <w:color w:val="4D4D4F"/>
                <w:sz w:val="22"/>
                <w:lang w:eastAsia="en-AU"/>
              </w:rPr>
            </w:pPr>
            <w:r w:rsidRPr="00A24413">
              <w:rPr>
                <w:rFonts w:ascii="Arial" w:eastAsia="Times New Roman" w:hAnsi="Arial" w:cstheme="minorHAnsi"/>
                <w:color w:val="4D4D4F"/>
                <w:sz w:val="22"/>
                <w:lang w:eastAsia="en-AU"/>
              </w:rPr>
              <w:t>n/a</w:t>
            </w:r>
          </w:p>
        </w:tc>
        <w:tc>
          <w:tcPr>
            <w:tcW w:w="992"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hideMark/>
          </w:tcPr>
          <w:p w:rsidR="00A24413" w:rsidRPr="00A24413" w:rsidRDefault="00A24413" w:rsidP="002E09E4">
            <w:pPr>
              <w:spacing w:after="0" w:line="240" w:lineRule="auto"/>
              <w:jc w:val="center"/>
              <w:rPr>
                <w:rFonts w:ascii="Arial" w:eastAsia="Times New Roman" w:hAnsi="Arial" w:cs="Arial"/>
                <w:color w:val="4D4D4F"/>
                <w:sz w:val="22"/>
                <w:lang w:eastAsia="en-AU"/>
              </w:rPr>
            </w:pPr>
            <w:r w:rsidRPr="00A24413">
              <w:rPr>
                <w:rFonts w:ascii="Arial" w:eastAsia="Times New Roman" w:hAnsi="Arial" w:cstheme="minorHAnsi"/>
                <w:color w:val="4D4D4F"/>
                <w:sz w:val="22"/>
                <w:lang w:eastAsia="en-AU"/>
              </w:rPr>
              <w:t>75%</w:t>
            </w:r>
          </w:p>
        </w:tc>
        <w:tc>
          <w:tcPr>
            <w:tcW w:w="992" w:type="dxa"/>
            <w:tcBorders>
              <w:top w:val="single" w:sz="4" w:space="0" w:color="FFFFFF" w:themeColor="background1"/>
              <w:left w:val="single" w:sz="4" w:space="0" w:color="E0DCCB" w:themeColor="accent4" w:themeTint="66"/>
              <w:bottom w:val="single" w:sz="4" w:space="0" w:color="FFFFFF" w:themeColor="background1"/>
              <w:right w:val="single" w:sz="8" w:space="0" w:color="E0DCCB"/>
            </w:tcBorders>
            <w:shd w:val="clear" w:color="auto" w:fill="E0DCCB"/>
            <w:noWrap/>
            <w:vAlign w:val="center"/>
            <w:hideMark/>
          </w:tcPr>
          <w:p w:rsidR="00A24413" w:rsidRPr="00A24413" w:rsidRDefault="00A24413" w:rsidP="002E09E4">
            <w:pPr>
              <w:spacing w:after="0" w:line="240" w:lineRule="auto"/>
              <w:jc w:val="center"/>
              <w:rPr>
                <w:rFonts w:ascii="Arial" w:eastAsia="Times New Roman" w:hAnsi="Arial" w:cs="Arial"/>
                <w:color w:val="4D4D4F"/>
                <w:sz w:val="22"/>
                <w:lang w:eastAsia="en-AU"/>
              </w:rPr>
            </w:pPr>
            <w:r w:rsidRPr="00A24413">
              <w:rPr>
                <w:rFonts w:ascii="Arial" w:eastAsia="Times New Roman" w:hAnsi="Arial" w:cs="Arial"/>
                <w:color w:val="4D4D4F"/>
                <w:sz w:val="22"/>
                <w:lang w:eastAsia="en-AU"/>
              </w:rPr>
              <w:t>99% </w:t>
            </w:r>
          </w:p>
        </w:tc>
      </w:tr>
      <w:tr w:rsidR="00A24413" w:rsidRPr="00A24413" w:rsidTr="00FE31D6">
        <w:trPr>
          <w:trHeight w:val="487"/>
        </w:trPr>
        <w:tc>
          <w:tcPr>
            <w:tcW w:w="5443"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shd w:val="clear" w:color="auto" w:fill="auto"/>
            <w:vAlign w:val="center"/>
            <w:hideMark/>
          </w:tcPr>
          <w:p w:rsidR="00A24413" w:rsidRPr="00A24413" w:rsidRDefault="00A24413" w:rsidP="00F06703">
            <w:pPr>
              <w:spacing w:after="0" w:line="240" w:lineRule="auto"/>
              <w:rPr>
                <w:rFonts w:ascii="Arial" w:eastAsia="Times New Roman" w:hAnsi="Arial" w:cs="Arial"/>
                <w:color w:val="4D4D4F"/>
                <w:sz w:val="22"/>
                <w:lang w:eastAsia="en-AU"/>
              </w:rPr>
            </w:pPr>
            <w:r w:rsidRPr="00A24413">
              <w:rPr>
                <w:rFonts w:ascii="Arial" w:eastAsia="Times New Roman" w:hAnsi="Arial" w:cs="Arial"/>
                <w:color w:val="4D4D4F"/>
                <w:sz w:val="22"/>
                <w:lang w:eastAsia="en-AU"/>
              </w:rPr>
              <w:t xml:space="preserve">Percentage of assessments that met agreed timelines </w:t>
            </w:r>
          </w:p>
        </w:tc>
        <w:tc>
          <w:tcPr>
            <w:tcW w:w="993"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hideMark/>
          </w:tcPr>
          <w:p w:rsidR="00A24413" w:rsidRPr="00A24413" w:rsidRDefault="00A24413" w:rsidP="002E09E4">
            <w:pPr>
              <w:spacing w:after="0" w:line="240" w:lineRule="auto"/>
              <w:jc w:val="center"/>
              <w:rPr>
                <w:rFonts w:ascii="Arial" w:eastAsia="Times New Roman" w:hAnsi="Arial" w:cs="Arial"/>
                <w:color w:val="4D4D4F"/>
                <w:sz w:val="22"/>
                <w:lang w:eastAsia="en-AU"/>
              </w:rPr>
            </w:pPr>
            <w:r w:rsidRPr="00A24413">
              <w:rPr>
                <w:rFonts w:ascii="Arial" w:eastAsia="Times New Roman" w:hAnsi="Arial" w:cstheme="minorHAnsi"/>
                <w:color w:val="4D4D4F"/>
                <w:sz w:val="22"/>
                <w:lang w:eastAsia="en-AU"/>
              </w:rPr>
              <w:t>88%</w:t>
            </w:r>
          </w:p>
        </w:tc>
        <w:tc>
          <w:tcPr>
            <w:tcW w:w="992"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hideMark/>
          </w:tcPr>
          <w:p w:rsidR="00A24413" w:rsidRPr="00A24413" w:rsidRDefault="00A24413" w:rsidP="002E09E4">
            <w:pPr>
              <w:spacing w:after="0" w:line="240" w:lineRule="auto"/>
              <w:jc w:val="center"/>
              <w:rPr>
                <w:rFonts w:ascii="Arial" w:eastAsia="Times New Roman" w:hAnsi="Arial" w:cs="Arial"/>
                <w:color w:val="4D4D4F"/>
                <w:sz w:val="22"/>
                <w:lang w:eastAsia="en-AU"/>
              </w:rPr>
            </w:pPr>
            <w:r w:rsidRPr="00A24413">
              <w:rPr>
                <w:rFonts w:ascii="Arial" w:eastAsia="Times New Roman" w:hAnsi="Arial" w:cstheme="minorHAnsi"/>
                <w:color w:val="4D4D4F"/>
                <w:sz w:val="22"/>
                <w:lang w:eastAsia="en-AU"/>
              </w:rPr>
              <w:t>80%</w:t>
            </w:r>
          </w:p>
        </w:tc>
        <w:tc>
          <w:tcPr>
            <w:tcW w:w="992" w:type="dxa"/>
            <w:tcBorders>
              <w:top w:val="single" w:sz="4" w:space="0" w:color="FFFFFF" w:themeColor="background1"/>
              <w:left w:val="single" w:sz="4" w:space="0" w:color="E0DCCB" w:themeColor="accent4" w:themeTint="66"/>
              <w:bottom w:val="single" w:sz="8" w:space="0" w:color="E0DCCB"/>
              <w:right w:val="single" w:sz="8" w:space="0" w:color="E0DCCB"/>
            </w:tcBorders>
            <w:shd w:val="clear" w:color="auto" w:fill="E0DCCB"/>
            <w:noWrap/>
            <w:vAlign w:val="center"/>
            <w:hideMark/>
          </w:tcPr>
          <w:p w:rsidR="00A24413" w:rsidRPr="00A24413" w:rsidRDefault="00A24413" w:rsidP="002E09E4">
            <w:pPr>
              <w:spacing w:after="0" w:line="240" w:lineRule="auto"/>
              <w:jc w:val="center"/>
              <w:rPr>
                <w:rFonts w:ascii="Arial" w:eastAsia="Times New Roman" w:hAnsi="Arial" w:cs="Arial"/>
                <w:color w:val="4D4D4F"/>
                <w:sz w:val="22"/>
                <w:lang w:eastAsia="en-AU"/>
              </w:rPr>
            </w:pPr>
            <w:r w:rsidRPr="00A24413">
              <w:rPr>
                <w:rFonts w:ascii="Arial" w:eastAsia="Times New Roman" w:hAnsi="Arial" w:cs="Arial"/>
                <w:color w:val="4D4D4F"/>
                <w:sz w:val="22"/>
                <w:lang w:eastAsia="en-AU"/>
              </w:rPr>
              <w:t>100% </w:t>
            </w:r>
          </w:p>
        </w:tc>
      </w:tr>
    </w:tbl>
    <w:p w:rsidR="00E920E1" w:rsidRDefault="00E920E1" w:rsidP="001E603E">
      <w:pPr>
        <w:pStyle w:val="Body"/>
      </w:pPr>
    </w:p>
    <w:p w:rsidR="001E603E" w:rsidRDefault="001E603E" w:rsidP="001E603E">
      <w:pPr>
        <w:pStyle w:val="Body"/>
      </w:pPr>
      <w:r w:rsidRPr="003206B0">
        <w:t xml:space="preserve">In undertaking assessments on behalf of the EPA, officers follow </w:t>
      </w:r>
      <w:r w:rsidRPr="003206B0">
        <w:rPr>
          <w:i/>
        </w:rPr>
        <w:t>Environmental Assessment Guideline 8 – Environmental principles, factors and objectives</w:t>
      </w:r>
      <w:r>
        <w:rPr>
          <w:i/>
        </w:rPr>
        <w:t xml:space="preserve"> </w:t>
      </w:r>
      <w:r w:rsidRPr="00375515">
        <w:t>(EAG 8).</w:t>
      </w:r>
      <w:r w:rsidRPr="003206B0">
        <w:t xml:space="preserve"> This EAG outlines a framework of environmental principles and policies, environmental factors, environmental objectives, and guidance material as the basis on which the EPA makes decisions on the environmental acceptability of proposals and schemes. The guidance</w:t>
      </w:r>
      <w:r>
        <w:t xml:space="preserve">, revised in January 2015, </w:t>
      </w:r>
      <w:r w:rsidRPr="003206B0">
        <w:t xml:space="preserve">is applied consistently to all assessments under Part IV of the EP </w:t>
      </w:r>
      <w:r>
        <w:t>Act.</w:t>
      </w:r>
    </w:p>
    <w:p w:rsidR="008704EE" w:rsidRDefault="001E603E" w:rsidP="001E603E">
      <w:pPr>
        <w:pStyle w:val="Body"/>
      </w:pPr>
      <w:r>
        <w:t xml:space="preserve">In order to gauge the standard of assessment services provided by the OEPA to the EPA, for each assessment the EPA rates the quality of the OEPA’s EIA services against principles derived from the International Association for Impact Assessment’s </w:t>
      </w:r>
      <w:r w:rsidRPr="006F6C32">
        <w:rPr>
          <w:i/>
        </w:rPr>
        <w:t>Principles of Environmental Impact Assessment Best Practice</w:t>
      </w:r>
      <w:r>
        <w:t xml:space="preserve"> (IAIA, 1999). This is done independently by each member involved in the assessment through a structured survey (Figure </w:t>
      </w:r>
      <w:r w:rsidR="00B61690">
        <w:t>1</w:t>
      </w:r>
      <w:r>
        <w:t>).</w:t>
      </w:r>
    </w:p>
    <w:p w:rsidR="00C75C57" w:rsidRDefault="008704EE" w:rsidP="001E603E">
      <w:pPr>
        <w:pStyle w:val="Body"/>
      </w:pPr>
      <w:r>
        <w:lastRenderedPageBreak/>
        <w:t>The rating for each of five principles is co</w:t>
      </w:r>
      <w:r w:rsidR="00646644">
        <w:t>m</w:t>
      </w:r>
      <w:r>
        <w:t>bined</w:t>
      </w:r>
      <w:r w:rsidR="00646644">
        <w:t xml:space="preserve"> to provide the percentage satisfaction</w:t>
      </w:r>
      <w:r w:rsidR="00880B6D">
        <w:t xml:space="preserve"> for the indicator</w:t>
      </w:r>
      <w:r w:rsidR="00646644">
        <w:t xml:space="preserve">. </w:t>
      </w:r>
    </w:p>
    <w:tbl>
      <w:tblPr>
        <w:tblStyle w:val="TableGrid"/>
        <w:tblW w:w="0" w:type="auto"/>
        <w:tblInd w:w="1418" w:type="dxa"/>
        <w:tblLayout w:type="fixed"/>
        <w:tblCellMar>
          <w:top w:w="57" w:type="dxa"/>
          <w:bottom w:w="57" w:type="dxa"/>
        </w:tblCellMar>
        <w:tblLook w:val="04A0" w:firstRow="1" w:lastRow="0" w:firstColumn="1" w:lastColumn="0" w:noHBand="0" w:noVBand="1"/>
      </w:tblPr>
      <w:tblGrid>
        <w:gridCol w:w="2076"/>
        <w:gridCol w:w="1149"/>
        <w:gridCol w:w="1150"/>
        <w:gridCol w:w="1149"/>
        <w:gridCol w:w="1150"/>
        <w:gridCol w:w="1150"/>
      </w:tblGrid>
      <w:tr w:rsidR="001E603E" w:rsidRPr="00482BD5" w:rsidTr="00087037">
        <w:tc>
          <w:tcPr>
            <w:tcW w:w="7824" w:type="dxa"/>
            <w:gridSpan w:val="6"/>
          </w:tcPr>
          <w:p w:rsidR="001E603E" w:rsidRPr="00DF3389" w:rsidRDefault="001E603E" w:rsidP="00087037">
            <w:pPr>
              <w:pStyle w:val="Body"/>
              <w:ind w:left="0"/>
              <w:rPr>
                <w:b/>
                <w:sz w:val="22"/>
              </w:rPr>
            </w:pPr>
            <w:r w:rsidRPr="00DF3389">
              <w:rPr>
                <w:b/>
                <w:sz w:val="22"/>
              </w:rPr>
              <w:t>Meeting number:</w:t>
            </w:r>
          </w:p>
        </w:tc>
      </w:tr>
      <w:tr w:rsidR="001E603E" w:rsidRPr="00482BD5" w:rsidTr="00087037">
        <w:tc>
          <w:tcPr>
            <w:tcW w:w="7824" w:type="dxa"/>
            <w:gridSpan w:val="6"/>
          </w:tcPr>
          <w:p w:rsidR="001E603E" w:rsidRPr="00DF3389" w:rsidRDefault="001E603E" w:rsidP="00087037">
            <w:pPr>
              <w:pStyle w:val="Body"/>
              <w:ind w:left="0"/>
              <w:rPr>
                <w:b/>
                <w:sz w:val="22"/>
              </w:rPr>
            </w:pPr>
            <w:r w:rsidRPr="00DF3389">
              <w:rPr>
                <w:b/>
                <w:sz w:val="22"/>
              </w:rPr>
              <w:t>Item:</w:t>
            </w:r>
          </w:p>
        </w:tc>
      </w:tr>
      <w:tr w:rsidR="001E603E" w:rsidRPr="00482BD5" w:rsidTr="00087037">
        <w:tc>
          <w:tcPr>
            <w:tcW w:w="7824" w:type="dxa"/>
            <w:gridSpan w:val="6"/>
          </w:tcPr>
          <w:p w:rsidR="001E603E" w:rsidRPr="00DF3389" w:rsidRDefault="001E603E" w:rsidP="00087037">
            <w:pPr>
              <w:pStyle w:val="Body"/>
              <w:ind w:left="0"/>
              <w:rPr>
                <w:b/>
                <w:sz w:val="22"/>
              </w:rPr>
            </w:pPr>
            <w:r w:rsidRPr="00DF3389">
              <w:rPr>
                <w:b/>
                <w:sz w:val="22"/>
              </w:rPr>
              <w:t>Summary:</w:t>
            </w:r>
          </w:p>
        </w:tc>
      </w:tr>
      <w:tr w:rsidR="001E603E" w:rsidRPr="00482BD5" w:rsidTr="00087037">
        <w:trPr>
          <w:trHeight w:val="1389"/>
        </w:trPr>
        <w:tc>
          <w:tcPr>
            <w:tcW w:w="7824" w:type="dxa"/>
            <w:gridSpan w:val="6"/>
          </w:tcPr>
          <w:p w:rsidR="001E603E" w:rsidRPr="00DF3389" w:rsidRDefault="001E603E" w:rsidP="00087037">
            <w:pPr>
              <w:pStyle w:val="Body"/>
              <w:spacing w:after="120"/>
              <w:ind w:left="0"/>
              <w:rPr>
                <w:b/>
                <w:sz w:val="22"/>
              </w:rPr>
            </w:pPr>
            <w:r w:rsidRPr="00DF3389">
              <w:rPr>
                <w:b/>
                <w:sz w:val="22"/>
              </w:rPr>
              <w:t>Survey question:</w:t>
            </w:r>
          </w:p>
          <w:p w:rsidR="001E603E" w:rsidRPr="00DF3389" w:rsidRDefault="001E603E" w:rsidP="00087037">
            <w:pPr>
              <w:pStyle w:val="Body"/>
              <w:ind w:left="0"/>
              <w:rPr>
                <w:sz w:val="22"/>
              </w:rPr>
            </w:pPr>
            <w:r w:rsidRPr="00DF3389">
              <w:rPr>
                <w:iCs/>
                <w:sz w:val="22"/>
              </w:rPr>
              <w:t>With reference to the attached principles derived from principles of best practice EIA, how do you rate the quality of the Environmental Impact Assessment service provided by the OEPA? (tick the level of quality that best applies)</w:t>
            </w:r>
          </w:p>
        </w:tc>
      </w:tr>
      <w:tr w:rsidR="001E603E" w:rsidRPr="00482BD5" w:rsidTr="00087037">
        <w:tc>
          <w:tcPr>
            <w:tcW w:w="2076" w:type="dxa"/>
          </w:tcPr>
          <w:p w:rsidR="001E603E" w:rsidRPr="00482BD5" w:rsidRDefault="001E603E" w:rsidP="00087037">
            <w:pPr>
              <w:pStyle w:val="Body"/>
              <w:ind w:left="0"/>
              <w:rPr>
                <w:sz w:val="22"/>
              </w:rPr>
            </w:pPr>
          </w:p>
        </w:tc>
        <w:tc>
          <w:tcPr>
            <w:tcW w:w="1149" w:type="dxa"/>
          </w:tcPr>
          <w:p w:rsidR="001E603E" w:rsidRPr="00482BD5" w:rsidRDefault="001E603E" w:rsidP="00087037">
            <w:pPr>
              <w:pStyle w:val="Body"/>
              <w:ind w:left="0"/>
              <w:rPr>
                <w:sz w:val="22"/>
              </w:rPr>
            </w:pPr>
            <w:r w:rsidRPr="00482BD5">
              <w:rPr>
                <w:sz w:val="22"/>
              </w:rPr>
              <w:t>Excellent</w:t>
            </w:r>
          </w:p>
        </w:tc>
        <w:tc>
          <w:tcPr>
            <w:tcW w:w="1150" w:type="dxa"/>
          </w:tcPr>
          <w:p w:rsidR="001E603E" w:rsidRPr="00482BD5" w:rsidRDefault="001E603E" w:rsidP="00087037">
            <w:pPr>
              <w:pStyle w:val="Body"/>
              <w:ind w:left="0"/>
              <w:rPr>
                <w:sz w:val="22"/>
              </w:rPr>
            </w:pPr>
            <w:r w:rsidRPr="00482BD5">
              <w:rPr>
                <w:sz w:val="22"/>
              </w:rPr>
              <w:t>Good</w:t>
            </w:r>
          </w:p>
        </w:tc>
        <w:tc>
          <w:tcPr>
            <w:tcW w:w="1149" w:type="dxa"/>
          </w:tcPr>
          <w:p w:rsidR="001E603E" w:rsidRPr="00482BD5" w:rsidRDefault="001E603E" w:rsidP="00087037">
            <w:pPr>
              <w:pStyle w:val="Body"/>
              <w:ind w:left="0"/>
              <w:rPr>
                <w:sz w:val="22"/>
              </w:rPr>
            </w:pPr>
            <w:r w:rsidRPr="00482BD5">
              <w:rPr>
                <w:sz w:val="22"/>
              </w:rPr>
              <w:t>Average</w:t>
            </w:r>
          </w:p>
        </w:tc>
        <w:tc>
          <w:tcPr>
            <w:tcW w:w="1150" w:type="dxa"/>
          </w:tcPr>
          <w:p w:rsidR="001E603E" w:rsidRPr="00482BD5" w:rsidRDefault="001E603E" w:rsidP="00087037">
            <w:pPr>
              <w:pStyle w:val="Body"/>
              <w:ind w:left="0"/>
              <w:rPr>
                <w:sz w:val="22"/>
              </w:rPr>
            </w:pPr>
            <w:r w:rsidRPr="00482BD5">
              <w:rPr>
                <w:sz w:val="22"/>
              </w:rPr>
              <w:t>Fair</w:t>
            </w:r>
          </w:p>
        </w:tc>
        <w:tc>
          <w:tcPr>
            <w:tcW w:w="1150" w:type="dxa"/>
          </w:tcPr>
          <w:p w:rsidR="001E603E" w:rsidRPr="00482BD5" w:rsidRDefault="001E603E" w:rsidP="00087037">
            <w:pPr>
              <w:pStyle w:val="Body"/>
              <w:ind w:left="0"/>
              <w:rPr>
                <w:sz w:val="22"/>
              </w:rPr>
            </w:pPr>
            <w:r w:rsidRPr="00482BD5">
              <w:rPr>
                <w:sz w:val="22"/>
              </w:rPr>
              <w:t>Poor</w:t>
            </w:r>
          </w:p>
        </w:tc>
      </w:tr>
      <w:tr w:rsidR="001E603E" w:rsidRPr="00482BD5" w:rsidTr="00087037">
        <w:tc>
          <w:tcPr>
            <w:tcW w:w="2076" w:type="dxa"/>
          </w:tcPr>
          <w:p w:rsidR="001E603E" w:rsidRPr="00482BD5" w:rsidRDefault="001E603E" w:rsidP="00087037">
            <w:pPr>
              <w:pStyle w:val="Body"/>
              <w:ind w:left="0"/>
              <w:rPr>
                <w:sz w:val="22"/>
              </w:rPr>
            </w:pPr>
            <w:r w:rsidRPr="00482BD5">
              <w:rPr>
                <w:sz w:val="22"/>
              </w:rPr>
              <w:t>1. Practical</w:t>
            </w:r>
          </w:p>
        </w:tc>
        <w:tc>
          <w:tcPr>
            <w:tcW w:w="1149"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c>
          <w:tcPr>
            <w:tcW w:w="1149"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r>
      <w:tr w:rsidR="001E603E" w:rsidRPr="00482BD5" w:rsidTr="00087037">
        <w:tc>
          <w:tcPr>
            <w:tcW w:w="2076" w:type="dxa"/>
          </w:tcPr>
          <w:p w:rsidR="001E603E" w:rsidRPr="00482BD5" w:rsidRDefault="001E603E" w:rsidP="00087037">
            <w:pPr>
              <w:pStyle w:val="Body"/>
              <w:ind w:left="0"/>
              <w:rPr>
                <w:sz w:val="22"/>
              </w:rPr>
            </w:pPr>
            <w:r w:rsidRPr="00482BD5">
              <w:rPr>
                <w:sz w:val="22"/>
              </w:rPr>
              <w:t>2. Efficient</w:t>
            </w:r>
          </w:p>
        </w:tc>
        <w:tc>
          <w:tcPr>
            <w:tcW w:w="1149"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c>
          <w:tcPr>
            <w:tcW w:w="1149"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r>
      <w:tr w:rsidR="001E603E" w:rsidRPr="00482BD5" w:rsidTr="00087037">
        <w:tc>
          <w:tcPr>
            <w:tcW w:w="2076" w:type="dxa"/>
          </w:tcPr>
          <w:p w:rsidR="001E603E" w:rsidRPr="00482BD5" w:rsidRDefault="001E603E" w:rsidP="00087037">
            <w:pPr>
              <w:pStyle w:val="Body"/>
              <w:ind w:left="0"/>
              <w:rPr>
                <w:sz w:val="22"/>
              </w:rPr>
            </w:pPr>
            <w:r w:rsidRPr="00482BD5">
              <w:rPr>
                <w:sz w:val="22"/>
              </w:rPr>
              <w:t>3. Rigorous</w:t>
            </w:r>
          </w:p>
        </w:tc>
        <w:tc>
          <w:tcPr>
            <w:tcW w:w="1149"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c>
          <w:tcPr>
            <w:tcW w:w="1149"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r>
      <w:tr w:rsidR="001E603E" w:rsidRPr="00482BD5" w:rsidTr="00087037">
        <w:tc>
          <w:tcPr>
            <w:tcW w:w="2076" w:type="dxa"/>
          </w:tcPr>
          <w:p w:rsidR="001E603E" w:rsidRPr="00482BD5" w:rsidRDefault="001E603E" w:rsidP="00087037">
            <w:pPr>
              <w:pStyle w:val="Body"/>
              <w:ind w:left="0"/>
              <w:rPr>
                <w:sz w:val="22"/>
              </w:rPr>
            </w:pPr>
            <w:r w:rsidRPr="00482BD5">
              <w:rPr>
                <w:sz w:val="22"/>
              </w:rPr>
              <w:t>4. Participative</w:t>
            </w:r>
          </w:p>
        </w:tc>
        <w:tc>
          <w:tcPr>
            <w:tcW w:w="1149"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c>
          <w:tcPr>
            <w:tcW w:w="1149"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r>
      <w:tr w:rsidR="001E603E" w:rsidRPr="00482BD5" w:rsidTr="00087037">
        <w:tc>
          <w:tcPr>
            <w:tcW w:w="2076" w:type="dxa"/>
          </w:tcPr>
          <w:p w:rsidR="001E603E" w:rsidRPr="00482BD5" w:rsidRDefault="001E603E" w:rsidP="00087037">
            <w:pPr>
              <w:pStyle w:val="Body"/>
              <w:ind w:left="0"/>
              <w:rPr>
                <w:sz w:val="22"/>
              </w:rPr>
            </w:pPr>
            <w:r w:rsidRPr="00482BD5">
              <w:rPr>
                <w:sz w:val="22"/>
              </w:rPr>
              <w:t>5. Fit for purpose</w:t>
            </w:r>
          </w:p>
        </w:tc>
        <w:tc>
          <w:tcPr>
            <w:tcW w:w="1149"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c>
          <w:tcPr>
            <w:tcW w:w="1149"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c>
          <w:tcPr>
            <w:tcW w:w="1150" w:type="dxa"/>
          </w:tcPr>
          <w:p w:rsidR="001E603E" w:rsidRPr="00482BD5" w:rsidRDefault="001E603E" w:rsidP="00087037">
            <w:pPr>
              <w:pStyle w:val="Body"/>
              <w:ind w:left="0"/>
              <w:rPr>
                <w:sz w:val="22"/>
              </w:rPr>
            </w:pPr>
          </w:p>
        </w:tc>
      </w:tr>
    </w:tbl>
    <w:p w:rsidR="001E603E" w:rsidRDefault="001E603E" w:rsidP="001E603E">
      <w:pPr>
        <w:pStyle w:val="Body"/>
      </w:pPr>
    </w:p>
    <w:p w:rsidR="0056349F" w:rsidRDefault="001E603E" w:rsidP="006F4400">
      <w:pPr>
        <w:pStyle w:val="Bodyfigures"/>
      </w:pPr>
      <w:r>
        <w:t xml:space="preserve">Figure </w:t>
      </w:r>
      <w:r w:rsidR="00B61690">
        <w:t>1</w:t>
      </w:r>
      <w:r>
        <w:t>: Rating tool for environmental impact assessment services to th</w:t>
      </w:r>
      <w:r w:rsidR="006F4400">
        <w:t>e EPA</w:t>
      </w:r>
    </w:p>
    <w:p w:rsidR="006F4400" w:rsidRDefault="006F4400" w:rsidP="001E603E">
      <w:pPr>
        <w:pStyle w:val="Body"/>
      </w:pPr>
    </w:p>
    <w:p w:rsidR="001E603E" w:rsidRDefault="007028DB" w:rsidP="001E603E">
      <w:pPr>
        <w:pStyle w:val="Body"/>
      </w:pPr>
      <w:r>
        <w:rPr>
          <w:noProof/>
          <w:lang w:eastAsia="en-AU"/>
        </w:rPr>
        <w:drawing>
          <wp:anchor distT="0" distB="144145" distL="114300" distR="114300" simplePos="0" relativeHeight="251681792" behindDoc="0" locked="0" layoutInCell="1" allowOverlap="1" wp14:anchorId="1B5DDF46" wp14:editId="7B4B3F71">
            <wp:simplePos x="0" y="0"/>
            <wp:positionH relativeFrom="column">
              <wp:posOffset>1009650</wp:posOffset>
            </wp:positionH>
            <wp:positionV relativeFrom="paragraph">
              <wp:posOffset>991235</wp:posOffset>
            </wp:positionV>
            <wp:extent cx="4057650" cy="2872105"/>
            <wp:effectExtent l="0" t="0" r="0" b="4445"/>
            <wp:wrapTopAndBottom/>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IA-ranking.jpg"/>
                    <pic:cNvPicPr/>
                  </pic:nvPicPr>
                  <pic:blipFill>
                    <a:blip r:embed="rId44">
                      <a:extLst>
                        <a:ext uri="{28A0092B-C50C-407E-A947-70E740481C1C}">
                          <a14:useLocalDpi xmlns:a14="http://schemas.microsoft.com/office/drawing/2010/main" val="0"/>
                        </a:ext>
                      </a:extLst>
                    </a:blip>
                    <a:stretch>
                      <a:fillRect/>
                    </a:stretch>
                  </pic:blipFill>
                  <pic:spPr>
                    <a:xfrm>
                      <a:off x="0" y="0"/>
                      <a:ext cx="4057650" cy="2872105"/>
                    </a:xfrm>
                    <a:prstGeom prst="rect">
                      <a:avLst/>
                    </a:prstGeom>
                  </pic:spPr>
                </pic:pic>
              </a:graphicData>
            </a:graphic>
            <wp14:sizeRelH relativeFrom="page">
              <wp14:pctWidth>0</wp14:pctWidth>
            </wp14:sizeRelH>
            <wp14:sizeRelV relativeFrom="page">
              <wp14:pctHeight>0</wp14:pctHeight>
            </wp14:sizeRelV>
          </wp:anchor>
        </w:drawing>
      </w:r>
      <w:r w:rsidR="0056349F">
        <w:t>This</w:t>
      </w:r>
      <w:r w:rsidR="001E603E">
        <w:t xml:space="preserve"> is the first year the EPA’s satisfaction with the OEPA’s EIA services has been a formal key effectiveness indicator</w:t>
      </w:r>
      <w:r w:rsidR="0056349F">
        <w:t xml:space="preserve">, and </w:t>
      </w:r>
      <w:r w:rsidR="00646644">
        <w:t>the</w:t>
      </w:r>
      <w:r w:rsidR="0056349F">
        <w:t xml:space="preserve"> average rating for each principle is shown below. </w:t>
      </w:r>
      <w:r w:rsidR="00507656">
        <w:t>The OEPA’s services significantly exceeded the target set.</w:t>
      </w:r>
    </w:p>
    <w:p w:rsidR="001E603E" w:rsidRDefault="001E603E" w:rsidP="00981BE9">
      <w:pPr>
        <w:pStyle w:val="Bodyfigures"/>
      </w:pPr>
      <w:r>
        <w:t xml:space="preserve">Figure </w:t>
      </w:r>
      <w:r w:rsidR="00B61690">
        <w:t>2</w:t>
      </w:r>
      <w:r>
        <w:t xml:space="preserve">: </w:t>
      </w:r>
      <w:r w:rsidRPr="000A3A01">
        <w:rPr>
          <w:rFonts w:eastAsiaTheme="minorHAnsi"/>
        </w:rPr>
        <w:t xml:space="preserve">The EPA's satisfaction with the OEPA's EIA services in line with </w:t>
      </w:r>
      <w:r w:rsidRPr="00E32908">
        <w:t>Environmental Impact Assessment Best Practice</w:t>
      </w:r>
    </w:p>
    <w:p w:rsidR="009B24D2" w:rsidRDefault="009B24D2" w:rsidP="009B24D2">
      <w:pPr>
        <w:pStyle w:val="Body"/>
      </w:pPr>
      <w:r>
        <w:lastRenderedPageBreak/>
        <w:t xml:space="preserve">A total of </w:t>
      </w:r>
      <w:r w:rsidRPr="00A0369A">
        <w:t>3</w:t>
      </w:r>
      <w:r w:rsidR="002E4B1E">
        <w:t>2</w:t>
      </w:r>
      <w:r>
        <w:t xml:space="preserve">9 </w:t>
      </w:r>
      <w:r w:rsidRPr="00F40160">
        <w:t>development proposals and planning schemes were referred to t</w:t>
      </w:r>
      <w:r>
        <w:t>he EPA for consideration in 2014–15:</w:t>
      </w:r>
      <w:r w:rsidRPr="00F40160">
        <w:t xml:space="preserve"> </w:t>
      </w:r>
      <w:r w:rsidRPr="001940EF">
        <w:t xml:space="preserve">an increase of approximately </w:t>
      </w:r>
      <w:r w:rsidR="002E4B1E">
        <w:t>4.8</w:t>
      </w:r>
      <w:r w:rsidRPr="001940EF">
        <w:t>% over 2013–14.</w:t>
      </w:r>
    </w:p>
    <w:p w:rsidR="009B24D2" w:rsidRDefault="0045004A" w:rsidP="009B24D2">
      <w:pPr>
        <w:pStyle w:val="Body"/>
      </w:pPr>
      <w:r>
        <w:rPr>
          <w:noProof/>
          <w:lang w:eastAsia="en-AU"/>
        </w:rPr>
        <w:drawing>
          <wp:anchor distT="0" distB="0" distL="114300" distR="114300" simplePos="0" relativeHeight="251713536" behindDoc="0" locked="0" layoutInCell="1" allowOverlap="1" wp14:anchorId="583094A4" wp14:editId="5AC34D4A">
            <wp:simplePos x="0" y="0"/>
            <wp:positionH relativeFrom="column">
              <wp:posOffset>133350</wp:posOffset>
            </wp:positionH>
            <wp:positionV relativeFrom="paragraph">
              <wp:posOffset>1261110</wp:posOffset>
            </wp:positionV>
            <wp:extent cx="5975985" cy="2762250"/>
            <wp:effectExtent l="19050" t="19050" r="24765" b="19050"/>
            <wp:wrapTopAndBottom/>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38-breakdown.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5975985" cy="2762250"/>
                    </a:xfrm>
                    <a:prstGeom prst="rect">
                      <a:avLst/>
                    </a:prstGeom>
                    <a:ln>
                      <a:solidFill>
                        <a:schemeClr val="bg1">
                          <a:lumMod val="50000"/>
                        </a:schemeClr>
                      </a:solidFill>
                    </a:ln>
                  </pic:spPr>
                </pic:pic>
              </a:graphicData>
            </a:graphic>
            <wp14:sizeRelH relativeFrom="page">
              <wp14:pctWidth>0</wp14:pctWidth>
            </wp14:sizeRelH>
            <wp14:sizeRelV relativeFrom="page">
              <wp14:pctHeight>0</wp14:pctHeight>
            </wp14:sizeRelV>
          </wp:anchor>
        </w:drawing>
      </w:r>
      <w:r w:rsidR="009B24D2">
        <w:t xml:space="preserve">Of these, the EPA determined that </w:t>
      </w:r>
      <w:r w:rsidR="009B24D2" w:rsidRPr="00277BB1">
        <w:t>1</w:t>
      </w:r>
      <w:r w:rsidR="009B24D2">
        <w:t>9</w:t>
      </w:r>
      <w:r w:rsidR="009B24D2" w:rsidRPr="00F40160">
        <w:t xml:space="preserve"> referred proposals warranted </w:t>
      </w:r>
      <w:r w:rsidR="009B24D2">
        <w:t xml:space="preserve">formal </w:t>
      </w:r>
      <w:r w:rsidR="009B24D2" w:rsidRPr="00F40160">
        <w:t xml:space="preserve">assessment. </w:t>
      </w:r>
      <w:r w:rsidR="009B24D2">
        <w:t>A further 65</w:t>
      </w:r>
      <w:r w:rsidR="009B24D2" w:rsidRPr="00F40160">
        <w:t xml:space="preserve"> referrals did not require assessment but specific advice was provided to proponents and approval agencies, </w:t>
      </w:r>
      <w:r w:rsidR="009B24D2">
        <w:t>two-thirds of which was</w:t>
      </w:r>
      <w:r w:rsidR="009B24D2" w:rsidRPr="00F40160">
        <w:t xml:space="preserve"> in relation to planning schemes</w:t>
      </w:r>
      <w:r w:rsidR="009B24D2">
        <w:t xml:space="preserve"> (44 scheme advice; 21 public advice on development proposals)</w:t>
      </w:r>
      <w:r w:rsidR="009B24D2" w:rsidRPr="00F40160">
        <w:t>.</w:t>
      </w:r>
    </w:p>
    <w:p w:rsidR="001B2017" w:rsidRDefault="0045004A" w:rsidP="007B16F2">
      <w:pPr>
        <w:pStyle w:val="Bodyfigures"/>
        <w:spacing w:before="240" w:after="240"/>
      </w:pPr>
      <w:r>
        <w:t xml:space="preserve">Figure 3: Breakdown of </w:t>
      </w:r>
      <w:r w:rsidR="001B2017">
        <w:t>referrals of development proposals (s38)</w:t>
      </w:r>
    </w:p>
    <w:p w:rsidR="00DA5AD0" w:rsidRDefault="00DA5AD0" w:rsidP="009B24D2">
      <w:pPr>
        <w:pStyle w:val="Body"/>
      </w:pPr>
      <w:r>
        <w:rPr>
          <w:noProof/>
          <w:lang w:eastAsia="en-AU"/>
        </w:rPr>
        <w:drawing>
          <wp:inline distT="0" distB="0" distL="0" distR="0" wp14:anchorId="4C615C24" wp14:editId="4E18BEEC">
            <wp:extent cx="5261141" cy="3063237"/>
            <wp:effectExtent l="19050" t="19050" r="15875" b="2349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48-breakdown.jp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5261141" cy="3063237"/>
                    </a:xfrm>
                    <a:prstGeom prst="rect">
                      <a:avLst/>
                    </a:prstGeom>
                    <a:ln>
                      <a:solidFill>
                        <a:schemeClr val="bg1">
                          <a:lumMod val="50000"/>
                        </a:schemeClr>
                      </a:solidFill>
                    </a:ln>
                  </pic:spPr>
                </pic:pic>
              </a:graphicData>
            </a:graphic>
          </wp:inline>
        </w:drawing>
      </w:r>
    </w:p>
    <w:p w:rsidR="00DA5AD0" w:rsidRDefault="00DA5AD0" w:rsidP="00DA5AD0">
      <w:pPr>
        <w:pStyle w:val="Bodyfigures"/>
      </w:pPr>
      <w:r>
        <w:t>Figure 4: Breakdown of referrals of schemes and scheme amendments (s48)</w:t>
      </w:r>
    </w:p>
    <w:p w:rsidR="009B24D2" w:rsidRDefault="009B24D2" w:rsidP="009B24D2">
      <w:pPr>
        <w:pStyle w:val="Body"/>
      </w:pPr>
      <w:r>
        <w:lastRenderedPageBreak/>
        <w:t xml:space="preserve">During 2014–15, the EPA completed </w:t>
      </w:r>
      <w:r w:rsidRPr="00FE76B2">
        <w:t>3</w:t>
      </w:r>
      <w:r>
        <w:t xml:space="preserve">1 reports, with the type and </w:t>
      </w:r>
      <w:r w:rsidRPr="00F40160">
        <w:t xml:space="preserve">number of assessments shown in Table </w:t>
      </w:r>
      <w:r>
        <w:t>1</w:t>
      </w:r>
      <w:r w:rsidRPr="00F40160">
        <w:t xml:space="preserve">. A list of all </w:t>
      </w:r>
      <w:r>
        <w:t xml:space="preserve">proposals assessed is shown </w:t>
      </w:r>
      <w:r w:rsidRPr="00F40160">
        <w:t>in Appendi</w:t>
      </w:r>
      <w:r>
        <w:t>x 1</w:t>
      </w:r>
      <w:r w:rsidRPr="00084FB5">
        <w:t xml:space="preserve">. </w:t>
      </w:r>
    </w:p>
    <w:p w:rsidR="009B24D2" w:rsidRPr="007E7A3F" w:rsidRDefault="009B24D2" w:rsidP="00E96D47">
      <w:pPr>
        <w:pStyle w:val="Bodytables"/>
      </w:pPr>
      <w:r w:rsidRPr="00E96D47">
        <w:t>Table 1: Completed</w:t>
      </w:r>
      <w:r w:rsidRPr="007E7A3F">
        <w:t xml:space="preserve"> assessments</w:t>
      </w:r>
    </w:p>
    <w:tbl>
      <w:tblPr>
        <w:tblW w:w="7654" w:type="dxa"/>
        <w:tblInd w:w="1242" w:type="dxa"/>
        <w:tblBorders>
          <w:bottom w:val="dotted" w:sz="8" w:space="0" w:color="5F5839" w:themeColor="accent4" w:themeShade="80"/>
          <w:insideH w:val="dotted" w:sz="8" w:space="0" w:color="5F5839" w:themeColor="accent4" w:themeShade="80"/>
        </w:tblBorders>
        <w:tblLayout w:type="fixed"/>
        <w:tblCellMar>
          <w:top w:w="28" w:type="dxa"/>
          <w:bottom w:w="28" w:type="dxa"/>
        </w:tblCellMar>
        <w:tblLook w:val="04A0" w:firstRow="1" w:lastRow="0" w:firstColumn="1" w:lastColumn="0" w:noHBand="0" w:noVBand="1"/>
      </w:tblPr>
      <w:tblGrid>
        <w:gridCol w:w="4536"/>
        <w:gridCol w:w="1559"/>
        <w:gridCol w:w="1559"/>
      </w:tblGrid>
      <w:tr w:rsidR="009B24D2" w:rsidRPr="00020B3B" w:rsidTr="00E96D47">
        <w:trPr>
          <w:trHeight w:val="255"/>
          <w:tblHeader/>
        </w:trPr>
        <w:tc>
          <w:tcPr>
            <w:tcW w:w="4536" w:type="dxa"/>
            <w:tcBorders>
              <w:top w:val="nil"/>
              <w:bottom w:val="single" w:sz="4" w:space="0" w:color="E0DCCB" w:themeColor="accent4" w:themeTint="66"/>
            </w:tcBorders>
            <w:shd w:val="clear" w:color="auto" w:fill="E0DCCB" w:themeFill="accent4" w:themeFillTint="66"/>
            <w:vAlign w:val="center"/>
            <w:hideMark/>
          </w:tcPr>
          <w:p w:rsidR="009B24D2" w:rsidRPr="00127973" w:rsidRDefault="009B24D2" w:rsidP="00E96D47">
            <w:pPr>
              <w:spacing w:after="0" w:line="240" w:lineRule="auto"/>
              <w:rPr>
                <w:rFonts w:ascii="Arial" w:eastAsia="Times New Roman" w:hAnsi="Arial" w:cs="Arial"/>
                <w:sz w:val="22"/>
                <w:lang w:eastAsia="en-AU"/>
              </w:rPr>
            </w:pPr>
            <w:r w:rsidRPr="00127973">
              <w:rPr>
                <w:rFonts w:ascii="Arial" w:eastAsia="Times New Roman" w:hAnsi="Arial" w:cs="Arial"/>
                <w:b/>
                <w:bCs/>
                <w:sz w:val="22"/>
                <w:lang w:eastAsia="en-AU"/>
              </w:rPr>
              <w:t>TYPE OF ASSESSMENT</w:t>
            </w:r>
          </w:p>
        </w:tc>
        <w:tc>
          <w:tcPr>
            <w:tcW w:w="1559" w:type="dxa"/>
            <w:tcBorders>
              <w:top w:val="nil"/>
              <w:bottom w:val="single" w:sz="4" w:space="0" w:color="E0DCCB" w:themeColor="accent4" w:themeTint="66"/>
            </w:tcBorders>
            <w:shd w:val="clear" w:color="auto" w:fill="E0DCCB" w:themeFill="accent4" w:themeFillTint="66"/>
          </w:tcPr>
          <w:p w:rsidR="009B24D2" w:rsidRPr="00127973" w:rsidRDefault="009B24D2" w:rsidP="00E96D47">
            <w:pPr>
              <w:spacing w:after="0" w:line="240" w:lineRule="auto"/>
              <w:jc w:val="center"/>
              <w:rPr>
                <w:rFonts w:ascii="Arial" w:eastAsia="Times New Roman" w:hAnsi="Arial" w:cs="Arial"/>
                <w:b/>
                <w:bCs/>
                <w:sz w:val="22"/>
                <w:lang w:eastAsia="en-AU"/>
              </w:rPr>
            </w:pPr>
            <w:r w:rsidRPr="00127973">
              <w:rPr>
                <w:rFonts w:ascii="Arial" w:eastAsia="Times New Roman" w:hAnsi="Arial" w:cs="Arial"/>
                <w:b/>
                <w:bCs/>
                <w:sz w:val="22"/>
                <w:lang w:eastAsia="en-AU"/>
              </w:rPr>
              <w:t>2013-14</w:t>
            </w:r>
          </w:p>
        </w:tc>
        <w:tc>
          <w:tcPr>
            <w:tcW w:w="1559" w:type="dxa"/>
            <w:tcBorders>
              <w:top w:val="nil"/>
              <w:bottom w:val="single" w:sz="4" w:space="0" w:color="E0DCCB" w:themeColor="accent4" w:themeTint="66"/>
            </w:tcBorders>
            <w:shd w:val="clear" w:color="auto" w:fill="DDD9C3" w:themeFill="background2" w:themeFillShade="E6"/>
            <w:vAlign w:val="center"/>
            <w:hideMark/>
          </w:tcPr>
          <w:p w:rsidR="009B24D2" w:rsidRPr="00127973" w:rsidRDefault="009B24D2" w:rsidP="00E96D47">
            <w:pPr>
              <w:spacing w:after="0" w:line="240" w:lineRule="auto"/>
              <w:jc w:val="center"/>
              <w:rPr>
                <w:rFonts w:ascii="Arial" w:eastAsia="Times New Roman" w:hAnsi="Arial" w:cs="Arial"/>
                <w:b/>
                <w:bCs/>
                <w:sz w:val="22"/>
                <w:lang w:eastAsia="en-AU"/>
              </w:rPr>
            </w:pPr>
            <w:r w:rsidRPr="00127973">
              <w:rPr>
                <w:rFonts w:ascii="Arial" w:eastAsia="Times New Roman" w:hAnsi="Arial" w:cs="Arial"/>
                <w:b/>
                <w:bCs/>
                <w:sz w:val="22"/>
                <w:lang w:eastAsia="en-AU"/>
              </w:rPr>
              <w:t>201</w:t>
            </w:r>
            <w:r>
              <w:rPr>
                <w:rFonts w:ascii="Arial" w:eastAsia="Times New Roman" w:hAnsi="Arial" w:cs="Arial"/>
                <w:b/>
                <w:bCs/>
                <w:lang w:eastAsia="en-AU"/>
              </w:rPr>
              <w:t>4</w:t>
            </w:r>
            <w:r w:rsidRPr="00127973">
              <w:rPr>
                <w:rFonts w:ascii="Arial" w:eastAsia="Times New Roman" w:hAnsi="Arial" w:cs="Arial"/>
                <w:b/>
                <w:bCs/>
                <w:sz w:val="22"/>
                <w:lang w:eastAsia="en-AU"/>
              </w:rPr>
              <w:t>-1</w:t>
            </w:r>
            <w:r>
              <w:rPr>
                <w:rFonts w:ascii="Arial" w:eastAsia="Times New Roman" w:hAnsi="Arial" w:cs="Arial"/>
                <w:b/>
                <w:bCs/>
                <w:lang w:eastAsia="en-AU"/>
              </w:rPr>
              <w:t>5</w:t>
            </w:r>
          </w:p>
        </w:tc>
      </w:tr>
      <w:tr w:rsidR="009B24D2" w:rsidRPr="007043E4" w:rsidTr="005557D1">
        <w:trPr>
          <w:trHeight w:val="255"/>
        </w:trPr>
        <w:tc>
          <w:tcPr>
            <w:tcW w:w="4536" w:type="dxa"/>
            <w:tcBorders>
              <w:top w:val="single" w:sz="4" w:space="0" w:color="E0DCCB" w:themeColor="accent4" w:themeTint="66"/>
              <w:bottom w:val="single" w:sz="4" w:space="0" w:color="E0DCCB" w:themeColor="accent4" w:themeTint="66"/>
            </w:tcBorders>
            <w:shd w:val="clear" w:color="auto" w:fill="auto"/>
            <w:vAlign w:val="center"/>
            <w:hideMark/>
          </w:tcPr>
          <w:p w:rsidR="009B24D2" w:rsidRPr="009F12BE" w:rsidRDefault="009B24D2" w:rsidP="00E96D47">
            <w:pPr>
              <w:spacing w:after="0" w:line="240" w:lineRule="auto"/>
              <w:rPr>
                <w:sz w:val="22"/>
                <w:lang w:eastAsia="en-AU"/>
              </w:rPr>
            </w:pPr>
            <w:r>
              <w:rPr>
                <w:rFonts w:eastAsia="HelveticaNeueLT Com 56 It" w:cstheme="minorHAnsi"/>
                <w:spacing w:val="1"/>
                <w:sz w:val="22"/>
              </w:rPr>
              <w:t xml:space="preserve">Public Environmental Review </w:t>
            </w:r>
            <w:r>
              <w:rPr>
                <w:rFonts w:eastAsia="HelveticaNeueLT Com 56 It" w:cstheme="minorHAnsi"/>
                <w:spacing w:val="1"/>
              </w:rPr>
              <w:t>and Environmental Review and Management Programme</w:t>
            </w:r>
          </w:p>
        </w:tc>
        <w:tc>
          <w:tcPr>
            <w:tcW w:w="1559" w:type="dxa"/>
            <w:tcBorders>
              <w:top w:val="single" w:sz="4" w:space="0" w:color="E0DCCB" w:themeColor="accent4" w:themeTint="66"/>
              <w:bottom w:val="single" w:sz="4" w:space="0" w:color="E0DCCB" w:themeColor="accent4" w:themeTint="66"/>
            </w:tcBorders>
            <w:vAlign w:val="center"/>
          </w:tcPr>
          <w:p w:rsidR="009B24D2" w:rsidRPr="00127973" w:rsidRDefault="009B24D2" w:rsidP="005557D1">
            <w:pPr>
              <w:spacing w:after="0" w:line="240" w:lineRule="auto"/>
              <w:jc w:val="center"/>
              <w:rPr>
                <w:b/>
                <w:sz w:val="22"/>
                <w:lang w:eastAsia="en-AU"/>
              </w:rPr>
            </w:pPr>
            <w:r w:rsidRPr="00127973">
              <w:rPr>
                <w:b/>
                <w:sz w:val="22"/>
                <w:lang w:eastAsia="en-AU"/>
              </w:rPr>
              <w:t>9</w:t>
            </w:r>
          </w:p>
        </w:tc>
        <w:tc>
          <w:tcPr>
            <w:tcW w:w="1559" w:type="dxa"/>
            <w:tcBorders>
              <w:top w:val="single" w:sz="4" w:space="0" w:color="E0DCCB" w:themeColor="accent4" w:themeTint="66"/>
              <w:bottom w:val="single" w:sz="4" w:space="0" w:color="E0DCCB" w:themeColor="accent4" w:themeTint="66"/>
            </w:tcBorders>
            <w:shd w:val="clear" w:color="auto" w:fill="DDD9C3" w:themeFill="background2" w:themeFillShade="E6"/>
            <w:vAlign w:val="center"/>
          </w:tcPr>
          <w:p w:rsidR="009B24D2" w:rsidRPr="009B24D2" w:rsidRDefault="009B24D2" w:rsidP="005557D1">
            <w:pPr>
              <w:spacing w:after="0" w:line="240" w:lineRule="auto"/>
              <w:jc w:val="center"/>
              <w:rPr>
                <w:b/>
                <w:sz w:val="22"/>
                <w:lang w:eastAsia="en-AU"/>
              </w:rPr>
            </w:pPr>
            <w:r w:rsidRPr="009B24D2">
              <w:rPr>
                <w:b/>
                <w:lang w:eastAsia="en-AU"/>
              </w:rPr>
              <w:t>6</w:t>
            </w:r>
          </w:p>
        </w:tc>
      </w:tr>
      <w:tr w:rsidR="009B24D2" w:rsidRPr="007043E4" w:rsidTr="005557D1">
        <w:trPr>
          <w:trHeight w:val="270"/>
        </w:trPr>
        <w:tc>
          <w:tcPr>
            <w:tcW w:w="4536" w:type="dxa"/>
            <w:tcBorders>
              <w:top w:val="single" w:sz="4" w:space="0" w:color="E0DCCB" w:themeColor="accent4" w:themeTint="66"/>
              <w:bottom w:val="single" w:sz="4" w:space="0" w:color="E0DCCB" w:themeColor="accent4" w:themeTint="66"/>
            </w:tcBorders>
            <w:shd w:val="clear" w:color="auto" w:fill="auto"/>
            <w:vAlign w:val="center"/>
          </w:tcPr>
          <w:p w:rsidR="009B24D2" w:rsidRPr="00BD2E12" w:rsidRDefault="009B24D2" w:rsidP="00E96D47">
            <w:pPr>
              <w:spacing w:after="0" w:line="240" w:lineRule="auto"/>
              <w:rPr>
                <w:rFonts w:eastAsia="HelveticaNeueLT Com 56 It" w:cstheme="minorHAnsi"/>
                <w:spacing w:val="1"/>
                <w:sz w:val="22"/>
              </w:rPr>
            </w:pPr>
            <w:r>
              <w:rPr>
                <w:rFonts w:eastAsia="HelveticaNeueLT Com 56 It" w:cstheme="minorHAnsi"/>
                <w:spacing w:val="1"/>
                <w:sz w:val="22"/>
              </w:rPr>
              <w:t>Assessment on Proponent Information – Category A</w:t>
            </w:r>
          </w:p>
        </w:tc>
        <w:tc>
          <w:tcPr>
            <w:tcW w:w="1559" w:type="dxa"/>
            <w:tcBorders>
              <w:top w:val="single" w:sz="4" w:space="0" w:color="E0DCCB" w:themeColor="accent4" w:themeTint="66"/>
              <w:bottom w:val="single" w:sz="4" w:space="0" w:color="E0DCCB" w:themeColor="accent4" w:themeTint="66"/>
            </w:tcBorders>
            <w:vAlign w:val="center"/>
          </w:tcPr>
          <w:p w:rsidR="009B24D2" w:rsidRPr="00127973" w:rsidRDefault="009B24D2" w:rsidP="005557D1">
            <w:pPr>
              <w:spacing w:after="0" w:line="240" w:lineRule="auto"/>
              <w:jc w:val="center"/>
              <w:rPr>
                <w:b/>
                <w:sz w:val="22"/>
                <w:lang w:eastAsia="en-AU"/>
              </w:rPr>
            </w:pPr>
            <w:r w:rsidRPr="00127973">
              <w:rPr>
                <w:b/>
                <w:sz w:val="22"/>
                <w:lang w:eastAsia="en-AU"/>
              </w:rPr>
              <w:t>8</w:t>
            </w:r>
          </w:p>
        </w:tc>
        <w:tc>
          <w:tcPr>
            <w:tcW w:w="1559" w:type="dxa"/>
            <w:tcBorders>
              <w:top w:val="single" w:sz="4" w:space="0" w:color="E0DCCB" w:themeColor="accent4" w:themeTint="66"/>
              <w:bottom w:val="single" w:sz="4" w:space="0" w:color="E0DCCB" w:themeColor="accent4" w:themeTint="66"/>
            </w:tcBorders>
            <w:shd w:val="clear" w:color="auto" w:fill="DDD9C3" w:themeFill="background2" w:themeFillShade="E6"/>
            <w:vAlign w:val="center"/>
          </w:tcPr>
          <w:p w:rsidR="009B24D2" w:rsidRPr="009B24D2" w:rsidRDefault="009B24D2" w:rsidP="005557D1">
            <w:pPr>
              <w:spacing w:after="0" w:line="240" w:lineRule="auto"/>
              <w:jc w:val="center"/>
              <w:rPr>
                <w:b/>
                <w:sz w:val="22"/>
                <w:lang w:eastAsia="en-AU"/>
              </w:rPr>
            </w:pPr>
            <w:r w:rsidRPr="009B24D2">
              <w:rPr>
                <w:b/>
                <w:lang w:eastAsia="en-AU"/>
              </w:rPr>
              <w:t>9</w:t>
            </w:r>
          </w:p>
        </w:tc>
      </w:tr>
      <w:tr w:rsidR="009B24D2" w:rsidRPr="007043E4" w:rsidTr="005557D1">
        <w:trPr>
          <w:trHeight w:val="270"/>
        </w:trPr>
        <w:tc>
          <w:tcPr>
            <w:tcW w:w="4536" w:type="dxa"/>
            <w:tcBorders>
              <w:top w:val="single" w:sz="4" w:space="0" w:color="E0DCCB" w:themeColor="accent4" w:themeTint="66"/>
              <w:bottom w:val="single" w:sz="4" w:space="0" w:color="E0DCCB" w:themeColor="accent4" w:themeTint="66"/>
            </w:tcBorders>
            <w:shd w:val="clear" w:color="auto" w:fill="auto"/>
            <w:vAlign w:val="center"/>
          </w:tcPr>
          <w:p w:rsidR="009B24D2" w:rsidRPr="00BD2E12" w:rsidRDefault="009B24D2" w:rsidP="00E96D47">
            <w:pPr>
              <w:spacing w:after="0" w:line="240" w:lineRule="auto"/>
              <w:rPr>
                <w:rFonts w:eastAsia="HelveticaNeueLT Com 56 It" w:cstheme="minorHAnsi"/>
                <w:spacing w:val="1"/>
                <w:sz w:val="22"/>
              </w:rPr>
            </w:pPr>
            <w:r>
              <w:rPr>
                <w:rFonts w:eastAsia="HelveticaNeueLT Com 56 It" w:cstheme="minorHAnsi"/>
                <w:spacing w:val="1"/>
                <w:sz w:val="22"/>
              </w:rPr>
              <w:t>Assessment on Proponent Information – Category B</w:t>
            </w:r>
          </w:p>
        </w:tc>
        <w:tc>
          <w:tcPr>
            <w:tcW w:w="1559" w:type="dxa"/>
            <w:tcBorders>
              <w:top w:val="single" w:sz="4" w:space="0" w:color="E0DCCB" w:themeColor="accent4" w:themeTint="66"/>
              <w:bottom w:val="single" w:sz="4" w:space="0" w:color="E0DCCB" w:themeColor="accent4" w:themeTint="66"/>
            </w:tcBorders>
            <w:vAlign w:val="center"/>
          </w:tcPr>
          <w:p w:rsidR="009B24D2" w:rsidRPr="00127973" w:rsidRDefault="009B24D2" w:rsidP="005557D1">
            <w:pPr>
              <w:spacing w:after="0" w:line="240" w:lineRule="auto"/>
              <w:jc w:val="center"/>
              <w:rPr>
                <w:b/>
                <w:sz w:val="22"/>
                <w:lang w:eastAsia="en-AU"/>
              </w:rPr>
            </w:pPr>
            <w:r w:rsidRPr="00127973">
              <w:rPr>
                <w:b/>
                <w:sz w:val="22"/>
                <w:lang w:eastAsia="en-AU"/>
              </w:rPr>
              <w:t>-</w:t>
            </w:r>
          </w:p>
        </w:tc>
        <w:tc>
          <w:tcPr>
            <w:tcW w:w="1559" w:type="dxa"/>
            <w:tcBorders>
              <w:top w:val="single" w:sz="4" w:space="0" w:color="E0DCCB" w:themeColor="accent4" w:themeTint="66"/>
              <w:bottom w:val="single" w:sz="4" w:space="0" w:color="E0DCCB" w:themeColor="accent4" w:themeTint="66"/>
            </w:tcBorders>
            <w:shd w:val="clear" w:color="auto" w:fill="DDD9C3" w:themeFill="background2" w:themeFillShade="E6"/>
            <w:vAlign w:val="center"/>
          </w:tcPr>
          <w:p w:rsidR="009B24D2" w:rsidRPr="009B24D2" w:rsidRDefault="009B24D2" w:rsidP="005557D1">
            <w:pPr>
              <w:spacing w:after="0" w:line="240" w:lineRule="auto"/>
              <w:jc w:val="center"/>
              <w:rPr>
                <w:b/>
                <w:sz w:val="22"/>
                <w:lang w:eastAsia="en-AU"/>
              </w:rPr>
            </w:pPr>
            <w:r w:rsidRPr="009B24D2">
              <w:rPr>
                <w:b/>
                <w:lang w:eastAsia="en-AU"/>
              </w:rPr>
              <w:t>2</w:t>
            </w:r>
          </w:p>
        </w:tc>
      </w:tr>
      <w:tr w:rsidR="009B24D2" w:rsidRPr="007043E4" w:rsidTr="005557D1">
        <w:trPr>
          <w:trHeight w:val="270"/>
        </w:trPr>
        <w:tc>
          <w:tcPr>
            <w:tcW w:w="4536" w:type="dxa"/>
            <w:tcBorders>
              <w:top w:val="single" w:sz="4" w:space="0" w:color="E0DCCB" w:themeColor="accent4" w:themeTint="66"/>
              <w:bottom w:val="single" w:sz="4" w:space="0" w:color="E0DCCB" w:themeColor="accent4" w:themeTint="66"/>
            </w:tcBorders>
            <w:shd w:val="clear" w:color="auto" w:fill="auto"/>
            <w:vAlign w:val="center"/>
            <w:hideMark/>
          </w:tcPr>
          <w:p w:rsidR="009B24D2" w:rsidRPr="00BD2E12" w:rsidRDefault="009B24D2" w:rsidP="00E96D47">
            <w:pPr>
              <w:spacing w:after="0" w:line="240" w:lineRule="auto"/>
              <w:rPr>
                <w:rFonts w:eastAsia="HelveticaNeueLT Com 56 It" w:cstheme="minorHAnsi"/>
                <w:spacing w:val="1"/>
                <w:sz w:val="22"/>
              </w:rPr>
            </w:pPr>
            <w:r>
              <w:rPr>
                <w:rFonts w:eastAsia="HelveticaNeueLT Com 56 It" w:cstheme="minorHAnsi"/>
                <w:spacing w:val="1"/>
                <w:sz w:val="22"/>
              </w:rPr>
              <w:t>Changes to Conditions – Section 46</w:t>
            </w:r>
          </w:p>
        </w:tc>
        <w:tc>
          <w:tcPr>
            <w:tcW w:w="1559" w:type="dxa"/>
            <w:tcBorders>
              <w:top w:val="single" w:sz="4" w:space="0" w:color="E0DCCB" w:themeColor="accent4" w:themeTint="66"/>
              <w:bottom w:val="single" w:sz="4" w:space="0" w:color="E0DCCB" w:themeColor="accent4" w:themeTint="66"/>
            </w:tcBorders>
            <w:vAlign w:val="center"/>
          </w:tcPr>
          <w:p w:rsidR="009B24D2" w:rsidRPr="00127973" w:rsidRDefault="009B24D2" w:rsidP="005557D1">
            <w:pPr>
              <w:spacing w:after="0" w:line="240" w:lineRule="auto"/>
              <w:jc w:val="center"/>
              <w:rPr>
                <w:b/>
                <w:sz w:val="22"/>
                <w:lang w:eastAsia="en-AU"/>
              </w:rPr>
            </w:pPr>
            <w:r w:rsidRPr="00127973">
              <w:rPr>
                <w:b/>
                <w:sz w:val="22"/>
                <w:lang w:eastAsia="en-AU"/>
              </w:rPr>
              <w:t>16</w:t>
            </w:r>
          </w:p>
        </w:tc>
        <w:tc>
          <w:tcPr>
            <w:tcW w:w="1559" w:type="dxa"/>
            <w:tcBorders>
              <w:top w:val="single" w:sz="4" w:space="0" w:color="E0DCCB" w:themeColor="accent4" w:themeTint="66"/>
              <w:bottom w:val="single" w:sz="4" w:space="0" w:color="E0DCCB" w:themeColor="accent4" w:themeTint="66"/>
            </w:tcBorders>
            <w:shd w:val="clear" w:color="auto" w:fill="DDD9C3" w:themeFill="background2" w:themeFillShade="E6"/>
            <w:vAlign w:val="center"/>
          </w:tcPr>
          <w:p w:rsidR="009B24D2" w:rsidRPr="009B24D2" w:rsidRDefault="009B24D2" w:rsidP="005557D1">
            <w:pPr>
              <w:spacing w:after="0" w:line="240" w:lineRule="auto"/>
              <w:jc w:val="center"/>
              <w:rPr>
                <w:b/>
                <w:sz w:val="22"/>
                <w:lang w:eastAsia="en-AU"/>
              </w:rPr>
            </w:pPr>
            <w:r w:rsidRPr="009B24D2">
              <w:rPr>
                <w:b/>
                <w:sz w:val="22"/>
                <w:lang w:eastAsia="en-AU"/>
              </w:rPr>
              <w:t>1</w:t>
            </w:r>
            <w:r w:rsidRPr="009B24D2">
              <w:rPr>
                <w:b/>
                <w:lang w:eastAsia="en-AU"/>
              </w:rPr>
              <w:t>4</w:t>
            </w:r>
          </w:p>
        </w:tc>
      </w:tr>
      <w:tr w:rsidR="009B24D2" w:rsidRPr="007043E4" w:rsidTr="005557D1">
        <w:trPr>
          <w:trHeight w:val="270"/>
        </w:trPr>
        <w:tc>
          <w:tcPr>
            <w:tcW w:w="4536" w:type="dxa"/>
            <w:tcBorders>
              <w:top w:val="single" w:sz="4" w:space="0" w:color="E0DCCB" w:themeColor="accent4" w:themeTint="66"/>
              <w:bottom w:val="single" w:sz="4" w:space="0" w:color="E0DCCB" w:themeColor="accent4" w:themeTint="66"/>
            </w:tcBorders>
            <w:shd w:val="clear" w:color="auto" w:fill="auto"/>
            <w:vAlign w:val="center"/>
          </w:tcPr>
          <w:p w:rsidR="009B24D2" w:rsidRDefault="009B24D2" w:rsidP="00E96D47">
            <w:pPr>
              <w:spacing w:after="0" w:line="240" w:lineRule="auto"/>
              <w:rPr>
                <w:rFonts w:eastAsia="HelveticaNeueLT Com 56 It" w:cstheme="minorHAnsi"/>
                <w:spacing w:val="1"/>
                <w:sz w:val="22"/>
              </w:rPr>
            </w:pPr>
            <w:r>
              <w:rPr>
                <w:rFonts w:eastAsia="HelveticaNeueLT Com 56 It" w:cstheme="minorHAnsi"/>
                <w:spacing w:val="1"/>
                <w:sz w:val="22"/>
              </w:rPr>
              <w:t>Derived proposal – Section 46(6)</w:t>
            </w:r>
          </w:p>
        </w:tc>
        <w:tc>
          <w:tcPr>
            <w:tcW w:w="1559" w:type="dxa"/>
            <w:tcBorders>
              <w:top w:val="single" w:sz="4" w:space="0" w:color="E0DCCB" w:themeColor="accent4" w:themeTint="66"/>
              <w:bottom w:val="single" w:sz="4" w:space="0" w:color="E0DCCB" w:themeColor="accent4" w:themeTint="66"/>
            </w:tcBorders>
            <w:vAlign w:val="center"/>
          </w:tcPr>
          <w:p w:rsidR="009B24D2" w:rsidRPr="00127973" w:rsidRDefault="009B24D2" w:rsidP="005557D1">
            <w:pPr>
              <w:spacing w:after="0" w:line="240" w:lineRule="auto"/>
              <w:jc w:val="center"/>
              <w:rPr>
                <w:b/>
                <w:sz w:val="22"/>
                <w:lang w:eastAsia="en-AU"/>
              </w:rPr>
            </w:pPr>
            <w:r w:rsidRPr="00127973">
              <w:rPr>
                <w:b/>
                <w:sz w:val="22"/>
                <w:lang w:eastAsia="en-AU"/>
              </w:rPr>
              <w:t>1</w:t>
            </w:r>
          </w:p>
        </w:tc>
        <w:tc>
          <w:tcPr>
            <w:tcW w:w="1559" w:type="dxa"/>
            <w:tcBorders>
              <w:top w:val="single" w:sz="4" w:space="0" w:color="E0DCCB" w:themeColor="accent4" w:themeTint="66"/>
              <w:bottom w:val="single" w:sz="4" w:space="0" w:color="E0DCCB" w:themeColor="accent4" w:themeTint="66"/>
            </w:tcBorders>
            <w:shd w:val="clear" w:color="auto" w:fill="DDD9C3" w:themeFill="background2" w:themeFillShade="E6"/>
            <w:vAlign w:val="center"/>
          </w:tcPr>
          <w:p w:rsidR="009B24D2" w:rsidRPr="009B24D2" w:rsidRDefault="009B24D2" w:rsidP="005557D1">
            <w:pPr>
              <w:spacing w:after="0" w:line="240" w:lineRule="auto"/>
              <w:jc w:val="center"/>
              <w:rPr>
                <w:b/>
                <w:sz w:val="22"/>
                <w:lang w:eastAsia="en-AU"/>
              </w:rPr>
            </w:pPr>
            <w:r w:rsidRPr="009B24D2">
              <w:rPr>
                <w:b/>
                <w:sz w:val="22"/>
                <w:lang w:eastAsia="en-AU"/>
              </w:rPr>
              <w:t>-</w:t>
            </w:r>
          </w:p>
        </w:tc>
      </w:tr>
      <w:tr w:rsidR="009B24D2" w:rsidRPr="007043E4" w:rsidTr="005557D1">
        <w:trPr>
          <w:trHeight w:val="270"/>
        </w:trPr>
        <w:tc>
          <w:tcPr>
            <w:tcW w:w="4536" w:type="dxa"/>
            <w:tcBorders>
              <w:top w:val="single" w:sz="4" w:space="0" w:color="E0DCCB" w:themeColor="accent4" w:themeTint="66"/>
              <w:bottom w:val="single" w:sz="4" w:space="0" w:color="E0DCCB" w:themeColor="accent4" w:themeTint="66"/>
            </w:tcBorders>
            <w:shd w:val="clear" w:color="auto" w:fill="auto"/>
            <w:vAlign w:val="center"/>
          </w:tcPr>
          <w:p w:rsidR="009B24D2" w:rsidRDefault="009B24D2" w:rsidP="00DA5AD0">
            <w:pPr>
              <w:spacing w:after="0" w:line="240" w:lineRule="auto"/>
              <w:rPr>
                <w:rFonts w:eastAsia="HelveticaNeueLT Com 56 It" w:cstheme="minorHAnsi"/>
                <w:spacing w:val="1"/>
                <w:sz w:val="22"/>
              </w:rPr>
            </w:pPr>
            <w:r>
              <w:rPr>
                <w:rFonts w:eastAsia="HelveticaNeueLT Com 56 It" w:cstheme="minorHAnsi"/>
                <w:spacing w:val="1"/>
                <w:sz w:val="22"/>
              </w:rPr>
              <w:t>Planning – Section 48A</w:t>
            </w:r>
          </w:p>
        </w:tc>
        <w:tc>
          <w:tcPr>
            <w:tcW w:w="1559" w:type="dxa"/>
            <w:tcBorders>
              <w:top w:val="single" w:sz="4" w:space="0" w:color="E0DCCB" w:themeColor="accent4" w:themeTint="66"/>
              <w:bottom w:val="single" w:sz="4" w:space="0" w:color="E0DCCB" w:themeColor="accent4" w:themeTint="66"/>
            </w:tcBorders>
            <w:vAlign w:val="center"/>
          </w:tcPr>
          <w:p w:rsidR="009B24D2" w:rsidRPr="00127973" w:rsidRDefault="009B24D2" w:rsidP="005557D1">
            <w:pPr>
              <w:spacing w:after="0" w:line="240" w:lineRule="auto"/>
              <w:jc w:val="center"/>
              <w:rPr>
                <w:b/>
                <w:sz w:val="22"/>
                <w:lang w:eastAsia="en-AU"/>
              </w:rPr>
            </w:pPr>
            <w:r w:rsidRPr="00127973">
              <w:rPr>
                <w:b/>
                <w:sz w:val="22"/>
                <w:lang w:eastAsia="en-AU"/>
              </w:rPr>
              <w:t>1</w:t>
            </w:r>
          </w:p>
        </w:tc>
        <w:tc>
          <w:tcPr>
            <w:tcW w:w="1559" w:type="dxa"/>
            <w:tcBorders>
              <w:top w:val="single" w:sz="4" w:space="0" w:color="E0DCCB" w:themeColor="accent4" w:themeTint="66"/>
              <w:bottom w:val="single" w:sz="4" w:space="0" w:color="E0DCCB" w:themeColor="accent4" w:themeTint="66"/>
            </w:tcBorders>
            <w:shd w:val="clear" w:color="auto" w:fill="DDD9C3" w:themeFill="background2" w:themeFillShade="E6"/>
            <w:vAlign w:val="center"/>
          </w:tcPr>
          <w:p w:rsidR="009B24D2" w:rsidRPr="009B24D2" w:rsidRDefault="009B24D2" w:rsidP="005557D1">
            <w:pPr>
              <w:spacing w:after="0" w:line="240" w:lineRule="auto"/>
              <w:jc w:val="center"/>
              <w:rPr>
                <w:b/>
                <w:sz w:val="22"/>
                <w:lang w:eastAsia="en-AU"/>
              </w:rPr>
            </w:pPr>
            <w:r w:rsidRPr="009B24D2">
              <w:rPr>
                <w:b/>
                <w:sz w:val="22"/>
                <w:lang w:eastAsia="en-AU"/>
              </w:rPr>
              <w:t>-</w:t>
            </w:r>
          </w:p>
        </w:tc>
      </w:tr>
      <w:tr w:rsidR="009B24D2" w:rsidRPr="00127973" w:rsidTr="005557D1">
        <w:trPr>
          <w:trHeight w:val="255"/>
          <w:tblHeader/>
        </w:trPr>
        <w:tc>
          <w:tcPr>
            <w:tcW w:w="4536" w:type="dxa"/>
            <w:tcBorders>
              <w:top w:val="single" w:sz="4" w:space="0" w:color="E0DCCB" w:themeColor="accent4" w:themeTint="66"/>
              <w:bottom w:val="nil"/>
            </w:tcBorders>
            <w:shd w:val="clear" w:color="auto" w:fill="E0DCCB" w:themeFill="accent4" w:themeFillTint="66"/>
            <w:vAlign w:val="center"/>
            <w:hideMark/>
          </w:tcPr>
          <w:p w:rsidR="009B24D2" w:rsidRPr="00127973" w:rsidRDefault="009B24D2" w:rsidP="00E96D47">
            <w:pPr>
              <w:spacing w:after="0" w:line="240" w:lineRule="auto"/>
              <w:rPr>
                <w:rFonts w:ascii="Arial" w:eastAsia="Times New Roman" w:hAnsi="Arial" w:cs="Arial"/>
                <w:sz w:val="22"/>
                <w:lang w:eastAsia="en-AU"/>
              </w:rPr>
            </w:pPr>
            <w:r w:rsidRPr="00127973">
              <w:rPr>
                <w:rFonts w:ascii="Arial" w:eastAsia="Times New Roman" w:hAnsi="Arial" w:cs="Arial"/>
                <w:b/>
                <w:bCs/>
                <w:sz w:val="22"/>
                <w:lang w:eastAsia="en-AU"/>
              </w:rPr>
              <w:t>TOTAL</w:t>
            </w:r>
          </w:p>
        </w:tc>
        <w:tc>
          <w:tcPr>
            <w:tcW w:w="1559" w:type="dxa"/>
            <w:tcBorders>
              <w:top w:val="single" w:sz="4" w:space="0" w:color="E0DCCB" w:themeColor="accent4" w:themeTint="66"/>
              <w:bottom w:val="nil"/>
            </w:tcBorders>
            <w:shd w:val="clear" w:color="auto" w:fill="E0DCCB" w:themeFill="accent4" w:themeFillTint="66"/>
            <w:vAlign w:val="center"/>
          </w:tcPr>
          <w:p w:rsidR="009B24D2" w:rsidRPr="00127973" w:rsidRDefault="009B24D2" w:rsidP="005557D1">
            <w:pPr>
              <w:spacing w:after="0" w:line="240" w:lineRule="auto"/>
              <w:jc w:val="center"/>
              <w:rPr>
                <w:rFonts w:ascii="Arial" w:eastAsia="Times New Roman" w:hAnsi="Arial" w:cs="Arial"/>
                <w:b/>
                <w:bCs/>
                <w:sz w:val="22"/>
                <w:lang w:eastAsia="en-AU"/>
              </w:rPr>
            </w:pPr>
            <w:r w:rsidRPr="00127973">
              <w:rPr>
                <w:rFonts w:ascii="Arial" w:eastAsia="Times New Roman" w:hAnsi="Arial" w:cs="Arial"/>
                <w:b/>
                <w:bCs/>
                <w:sz w:val="22"/>
                <w:lang w:eastAsia="en-AU"/>
              </w:rPr>
              <w:t>3</w:t>
            </w:r>
            <w:r>
              <w:rPr>
                <w:rFonts w:ascii="Arial" w:eastAsia="Times New Roman" w:hAnsi="Arial" w:cs="Arial"/>
                <w:b/>
                <w:bCs/>
                <w:sz w:val="22"/>
                <w:lang w:eastAsia="en-AU"/>
              </w:rPr>
              <w:t>5</w:t>
            </w:r>
          </w:p>
        </w:tc>
        <w:tc>
          <w:tcPr>
            <w:tcW w:w="1559" w:type="dxa"/>
            <w:tcBorders>
              <w:top w:val="single" w:sz="4" w:space="0" w:color="E0DCCB" w:themeColor="accent4" w:themeTint="66"/>
              <w:bottom w:val="nil"/>
            </w:tcBorders>
            <w:shd w:val="clear" w:color="auto" w:fill="DDD9C3" w:themeFill="background2" w:themeFillShade="E6"/>
            <w:vAlign w:val="center"/>
            <w:hideMark/>
          </w:tcPr>
          <w:p w:rsidR="009B24D2" w:rsidRPr="00127973" w:rsidRDefault="009B24D2" w:rsidP="005557D1">
            <w:pPr>
              <w:spacing w:after="0" w:line="240" w:lineRule="auto"/>
              <w:jc w:val="center"/>
              <w:rPr>
                <w:rFonts w:ascii="Arial" w:eastAsia="Times New Roman" w:hAnsi="Arial" w:cs="Arial"/>
                <w:b/>
                <w:bCs/>
                <w:sz w:val="22"/>
                <w:lang w:eastAsia="en-AU"/>
              </w:rPr>
            </w:pPr>
            <w:r w:rsidRPr="00127973">
              <w:rPr>
                <w:rFonts w:ascii="Arial" w:eastAsia="Times New Roman" w:hAnsi="Arial" w:cs="Arial"/>
                <w:b/>
                <w:bCs/>
                <w:sz w:val="22"/>
                <w:lang w:eastAsia="en-AU"/>
              </w:rPr>
              <w:t>3</w:t>
            </w:r>
            <w:r>
              <w:rPr>
                <w:rFonts w:ascii="Arial" w:eastAsia="Times New Roman" w:hAnsi="Arial" w:cs="Arial"/>
                <w:b/>
                <w:bCs/>
                <w:lang w:eastAsia="en-AU"/>
              </w:rPr>
              <w:t>1</w:t>
            </w:r>
          </w:p>
        </w:tc>
      </w:tr>
    </w:tbl>
    <w:p w:rsidR="00DA5AD0" w:rsidRDefault="00DA5AD0" w:rsidP="001B2017">
      <w:pPr>
        <w:pStyle w:val="Body"/>
      </w:pPr>
    </w:p>
    <w:p w:rsidR="009B24D2" w:rsidRPr="001B2017" w:rsidRDefault="001B2017" w:rsidP="001B2017">
      <w:pPr>
        <w:pStyle w:val="Body"/>
      </w:pPr>
      <w:r w:rsidRPr="001B2017">
        <w:t>Table 1 i</w:t>
      </w:r>
      <w:r w:rsidR="009B24D2" w:rsidRPr="001B2017">
        <w:t>ncludes EPA Report 1550 which was completed and transmitted to the</w:t>
      </w:r>
      <w:r w:rsidRPr="001B2017">
        <w:t xml:space="preserve"> </w:t>
      </w:r>
      <w:r w:rsidR="009B24D2" w:rsidRPr="001B2017">
        <w:t>Minister for Environment in June 2015, but released publicly on 2 July 2015.</w:t>
      </w:r>
    </w:p>
    <w:p w:rsidR="001E603E" w:rsidRPr="00375515" w:rsidRDefault="00595ED7" w:rsidP="00773FE9">
      <w:pPr>
        <w:pStyle w:val="Heading1"/>
      </w:pPr>
      <w:bookmarkStart w:id="31" w:name="_Toc428279155"/>
      <w:r w:rsidRPr="009547DF">
        <w:t>Environmental impact</w:t>
      </w:r>
      <w:r>
        <w:t xml:space="preserve"> a</w:t>
      </w:r>
      <w:r w:rsidR="00773FE9">
        <w:t>ssessment of mining proposals</w:t>
      </w:r>
      <w:bookmarkEnd w:id="31"/>
      <w:r w:rsidR="00773FE9">
        <w:t xml:space="preserve"> </w:t>
      </w:r>
    </w:p>
    <w:p w:rsidR="001E603E" w:rsidRDefault="001E603E" w:rsidP="00773FE9">
      <w:pPr>
        <w:pStyle w:val="Heading2"/>
      </w:pPr>
      <w:bookmarkStart w:id="32" w:name="_Toc428279156"/>
      <w:r>
        <w:t>Overview</w:t>
      </w:r>
      <w:bookmarkEnd w:id="32"/>
    </w:p>
    <w:p w:rsidR="001E603E" w:rsidRDefault="001E603E" w:rsidP="001E603E">
      <w:pPr>
        <w:pStyle w:val="Body"/>
      </w:pPr>
      <w:r>
        <w:t>The EPA completed 1</w:t>
      </w:r>
      <w:r w:rsidR="00F54049">
        <w:t>2</w:t>
      </w:r>
      <w:r>
        <w:t xml:space="preserve"> assessments for mining proposals during 2014–15: </w:t>
      </w:r>
      <w:r w:rsidR="00F54049">
        <w:t>three</w:t>
      </w:r>
      <w:r>
        <w:t xml:space="preserve"> Public Environmental Review (PER)/Environmental Review and Management Programme (ERMP) assessments, seven Assessment on Proponent Information (API) – Category A assessments and two API – Category B assessmen</w:t>
      </w:r>
      <w:r w:rsidRPr="004B2EDB">
        <w:t>ts. Iron ore proposals dominated the completed assessments with 10 (</w:t>
      </w:r>
      <w:r w:rsidR="00F54049">
        <w:t>83</w:t>
      </w:r>
      <w:r w:rsidRPr="004B2EDB">
        <w:t xml:space="preserve">%) of the assessments relating to iron ore proposals. Of the iron ore assessments, 60% were for proposals in the Pilbara Region and 40% were for proposals on the </w:t>
      </w:r>
      <w:proofErr w:type="spellStart"/>
      <w:r w:rsidRPr="004B2EDB">
        <w:t>Yilgarn</w:t>
      </w:r>
      <w:proofErr w:type="spellEnd"/>
      <w:r w:rsidRPr="004B2EDB">
        <w:t xml:space="preserve"> </w:t>
      </w:r>
      <w:proofErr w:type="spellStart"/>
      <w:r w:rsidRPr="004B2EDB">
        <w:t>Craton</w:t>
      </w:r>
      <w:proofErr w:type="spellEnd"/>
      <w:r w:rsidRPr="004B2EDB">
        <w:t xml:space="preserve"> geological formation in the</w:t>
      </w:r>
      <w:r>
        <w:t xml:space="preserve"> Midwest and Goldfields regions. </w:t>
      </w:r>
    </w:p>
    <w:p w:rsidR="001E603E" w:rsidRDefault="001E603E" w:rsidP="001E603E">
      <w:pPr>
        <w:pStyle w:val="Body"/>
      </w:pPr>
      <w:r>
        <w:t xml:space="preserve">The </w:t>
      </w:r>
      <w:proofErr w:type="spellStart"/>
      <w:r>
        <w:t>Kintyre</w:t>
      </w:r>
      <w:proofErr w:type="spellEnd"/>
      <w:r>
        <w:t xml:space="preserve"> Uranium Assessment was the last proposal to be assessed at the Environmental Review and Management Plan level, following the 2009 review of EIA processes and subsequent changes to the levels of assessment that could be applied. This was the second uranium assessment to be completed, with three others still under assessment. The OEPA continues to consider the important role of other State agencies in maintaining a consistent approach to assessment and regulation of uranium projects. </w:t>
      </w:r>
    </w:p>
    <w:p w:rsidR="001E603E" w:rsidRPr="0048417E" w:rsidRDefault="009657AC" w:rsidP="001E603E">
      <w:pPr>
        <w:pStyle w:val="Body"/>
      </w:pPr>
      <w:r>
        <w:rPr>
          <w:noProof/>
          <w:lang w:eastAsia="en-AU"/>
        </w:rPr>
        <w:lastRenderedPageBreak/>
        <mc:AlternateContent>
          <mc:Choice Requires="wpg">
            <w:drawing>
              <wp:anchor distT="0" distB="0" distL="114300" distR="114300" simplePos="0" relativeHeight="251701248" behindDoc="0" locked="0" layoutInCell="1" allowOverlap="1" wp14:anchorId="10CDC90A" wp14:editId="41A64931">
                <wp:simplePos x="0" y="0"/>
                <wp:positionH relativeFrom="column">
                  <wp:posOffset>2790825</wp:posOffset>
                </wp:positionH>
                <wp:positionV relativeFrom="paragraph">
                  <wp:posOffset>78740</wp:posOffset>
                </wp:positionV>
                <wp:extent cx="3362325" cy="5172075"/>
                <wp:effectExtent l="0" t="0" r="9525" b="9525"/>
                <wp:wrapSquare wrapText="bothSides"/>
                <wp:docPr id="41" name="Group 41"/>
                <wp:cNvGraphicFramePr/>
                <a:graphic xmlns:a="http://schemas.openxmlformats.org/drawingml/2006/main">
                  <a:graphicData uri="http://schemas.microsoft.com/office/word/2010/wordprocessingGroup">
                    <wpg:wgp>
                      <wpg:cNvGrpSpPr/>
                      <wpg:grpSpPr>
                        <a:xfrm>
                          <a:off x="0" y="0"/>
                          <a:ext cx="3362325" cy="5172075"/>
                          <a:chOff x="0" y="76200"/>
                          <a:chExt cx="3362325" cy="5172075"/>
                        </a:xfrm>
                      </wpg:grpSpPr>
                      <pic:pic xmlns:pic="http://schemas.openxmlformats.org/drawingml/2006/picture">
                        <pic:nvPicPr>
                          <pic:cNvPr id="32" name="Picture 32"/>
                          <pic:cNvPicPr>
                            <a:picLocks noChangeAspect="1"/>
                          </pic:cNvPicPr>
                        </pic:nvPicPr>
                        <pic:blipFill>
                          <a:blip r:embed="rId47" cstate="print">
                            <a:extLst>
                              <a:ext uri="{28A0092B-C50C-407E-A947-70E740481C1C}">
                                <a14:useLocalDpi xmlns:a14="http://schemas.microsoft.com/office/drawing/2010/main" val="0"/>
                              </a:ext>
                            </a:extLst>
                          </a:blip>
                          <a:stretch>
                            <a:fillRect/>
                          </a:stretch>
                        </pic:blipFill>
                        <pic:spPr>
                          <a:xfrm>
                            <a:off x="168453" y="76200"/>
                            <a:ext cx="3193872" cy="4514850"/>
                          </a:xfrm>
                          <a:prstGeom prst="rect">
                            <a:avLst/>
                          </a:prstGeom>
                        </pic:spPr>
                      </pic:pic>
                      <wps:wsp>
                        <wps:cNvPr id="40" name="Text Box 40"/>
                        <wps:cNvSpPr txBox="1"/>
                        <wps:spPr>
                          <a:xfrm>
                            <a:off x="0" y="4648200"/>
                            <a:ext cx="3362325" cy="6000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621C6" w:rsidRDefault="00E621C6" w:rsidP="00981BE9">
                              <w:pPr>
                                <w:pStyle w:val="Figures"/>
                              </w:pPr>
                              <w:r>
                                <w:t>Figure 5: Location of proposals where the assessment report and recommendations to the Minister were completed during 2014–15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id="Group 41" o:spid="_x0000_s1028" style="position:absolute;left:0;text-align:left;margin-left:219.75pt;margin-top:6.2pt;width:264.75pt;height:407.25pt;z-index:251701248;mso-height-relative:margin" coordorigin=",762" coordsize="33623,5172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38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2" o:spid="_x0000_s1029" type="#_x0000_t75" style="position:absolute;left:1684;top:762;width:31939;height:4514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EScTEAAAA2wAAAA8AAABkcnMvZG93bnJldi54bWxEj0FrwkAUhO8F/8PyCt7qpqYUiW5CEQTx&#10;UmqD4O2Rfc0Gs2/j7qqxv75bKPQ4zMw3zKoabS+u5EPnWMHzLANB3Djdcaug/tw8LUCEiKyxd0wK&#10;7hSgKicPKyy0u/EHXfexFQnCoUAFJsahkDI0hiyGmRuIk/flvMWYpG+l9nhLcNvLeZa9SosdpwWD&#10;A60NNaf9xSo4vJjQ+GzXHRf+O5z9e16fdrlS08fxbQki0hj/w3/trVaQz+H3S/oBsvw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G/EScTEAAAA2wAAAA8AAAAAAAAAAAAAAAAA&#10;nwIAAGRycy9kb3ducmV2LnhtbFBLBQYAAAAABAAEAPcAAACQAwAAAAA=&#10;">
                  <v:imagedata r:id="rId48" o:title=""/>
                  <v:path arrowok="t"/>
                </v:shape>
                <v:shape id="Text Box 40" o:spid="_x0000_s1030" type="#_x0000_t202" style="position:absolute;top:46482;width:33623;height:60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BoxcMA&#10;AADbAAAADwAAAGRycy9kb3ducmV2LnhtbERPy2rCQBTdF/yH4QpupE7qo5XUUUR84a6mtXR3ydwm&#10;oZk7ITMm8e+dhdDl4bwXq86UoqHaFZYVvIwiEMSp1QVnCj6T3fMchPPIGkvLpOBGDlbL3tMCY21b&#10;/qDm7DMRQtjFqCD3voqldGlOBt3IVsSB+7W1QR9gnUldYxvCTSnHUfQqDRYcGnKsaJNT+ne+GgU/&#10;w+z75Lr9VzuZTartoUneLjpRatDv1u8gPHX+X/xwH7WCaVgfvoQfIJ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VBoxcMAAADbAAAADwAAAAAAAAAAAAAAAACYAgAAZHJzL2Rv&#10;d25yZXYueG1sUEsFBgAAAAAEAAQA9QAAAIgDAAAAAA==&#10;" fillcolor="white [3201]" stroked="f" strokeweight=".5pt">
                  <v:textbox>
                    <w:txbxContent>
                      <w:p w:rsidR="00E621C6" w:rsidRDefault="00E621C6" w:rsidP="00981BE9">
                        <w:pPr>
                          <w:pStyle w:val="Figures"/>
                        </w:pPr>
                        <w:r>
                          <w:t>Figure 5: Location of proposals where the assessment report and recommendations to the Minister were completed during 2014–15</w:t>
                        </w:r>
                      </w:p>
                    </w:txbxContent>
                  </v:textbox>
                </v:shape>
                <w10:wrap type="square"/>
              </v:group>
            </w:pict>
          </mc:Fallback>
        </mc:AlternateContent>
      </w:r>
      <w:r w:rsidR="001E603E">
        <w:t xml:space="preserve">The time taken for the completion of API – Category </w:t>
      </w:r>
      <w:proofErr w:type="gramStart"/>
      <w:r w:rsidR="001E603E">
        <w:t>A</w:t>
      </w:r>
      <w:proofErr w:type="gramEnd"/>
      <w:r w:rsidR="001E603E">
        <w:t xml:space="preserve"> assessments for mining proposals reduced during 2014–15, coinciding with the release of the EPA’s Environmental Assessment Guideline 14 </w:t>
      </w:r>
      <w:r w:rsidR="001E603E" w:rsidRPr="00DB2AB6">
        <w:rPr>
          <w:i/>
        </w:rPr>
        <w:t xml:space="preserve">Preparation of an API – Category A Environmental Review Document </w:t>
      </w:r>
      <w:r w:rsidR="001E603E" w:rsidRPr="008A74A3">
        <w:t xml:space="preserve">(EAG 14) </w:t>
      </w:r>
      <w:r w:rsidR="001E603E">
        <w:t xml:space="preserve">in January 2015. The average time taken for API – Category </w:t>
      </w:r>
      <w:proofErr w:type="gramStart"/>
      <w:r w:rsidR="001E603E">
        <w:t>A</w:t>
      </w:r>
      <w:proofErr w:type="gramEnd"/>
      <w:r w:rsidR="001E603E">
        <w:t xml:space="preserve"> assessments where the level of assessment was set from January 2015 onwards was less than three months, compared to nearly 12 months for other API assessments completed during 2014–15.</w:t>
      </w:r>
    </w:p>
    <w:p w:rsidR="001E603E" w:rsidRDefault="001E603E" w:rsidP="001E603E">
      <w:pPr>
        <w:pStyle w:val="Body"/>
      </w:pPr>
      <w:r>
        <w:t>The trend of mining proposals, and in particular iron ore proposals, dominating the assessment workload is likely to continue. Of the 19 proposals referred during 2014–15 where the EPA decided to formally assess, 16 are mining proposals (84%), of which 14 are proposals relating to iron ore mines (74%). There is also an increasing trend of extensions to existing iron-ore projects (to sustain or increase production), rather than new “</w:t>
      </w:r>
      <w:proofErr w:type="spellStart"/>
      <w:r>
        <w:t>greenfields</w:t>
      </w:r>
      <w:proofErr w:type="spellEnd"/>
      <w:r>
        <w:t>” developments.</w:t>
      </w:r>
    </w:p>
    <w:p w:rsidR="001E603E" w:rsidRPr="006228B5" w:rsidRDefault="001E603E" w:rsidP="007121EF">
      <w:pPr>
        <w:pStyle w:val="Heading2"/>
      </w:pPr>
      <w:bookmarkStart w:id="33" w:name="_Toc428279157"/>
      <w:r w:rsidRPr="006228B5">
        <w:t>Case Study</w:t>
      </w:r>
      <w:bookmarkEnd w:id="33"/>
      <w:r w:rsidRPr="006228B5">
        <w:t xml:space="preserve"> </w:t>
      </w:r>
    </w:p>
    <w:p w:rsidR="001E603E" w:rsidRPr="007121EF" w:rsidRDefault="001E603E" w:rsidP="007121EF">
      <w:pPr>
        <w:pStyle w:val="Heading3"/>
        <w:rPr>
          <w:rStyle w:val="Style11ptBoldItalic"/>
          <w:b/>
          <w:bCs/>
          <w:i w:val="0"/>
          <w:iCs w:val="0"/>
        </w:rPr>
      </w:pPr>
      <w:bookmarkStart w:id="34" w:name="_Toc428279158"/>
      <w:proofErr w:type="spellStart"/>
      <w:r w:rsidRPr="007121EF">
        <w:rPr>
          <w:rStyle w:val="Style11ptBoldItalic"/>
          <w:b/>
          <w:bCs/>
          <w:i w:val="0"/>
          <w:iCs w:val="0"/>
        </w:rPr>
        <w:t>Koodaideri</w:t>
      </w:r>
      <w:proofErr w:type="spellEnd"/>
      <w:r w:rsidRPr="007121EF">
        <w:rPr>
          <w:rStyle w:val="Style11ptBoldItalic"/>
          <w:b/>
          <w:bCs/>
          <w:i w:val="0"/>
          <w:iCs w:val="0"/>
        </w:rPr>
        <w:t xml:space="preserve"> iron ore and infrastructure project</w:t>
      </w:r>
      <w:bookmarkEnd w:id="34"/>
    </w:p>
    <w:p w:rsidR="001E603E" w:rsidRDefault="001E603E" w:rsidP="001E603E">
      <w:pPr>
        <w:pStyle w:val="Body"/>
      </w:pPr>
      <w:r w:rsidRPr="00D53958">
        <w:t>The proposal</w:t>
      </w:r>
      <w:r>
        <w:t>,</w:t>
      </w:r>
      <w:r w:rsidRPr="00D53958">
        <w:t xml:space="preserve"> by Mount Bruce Mining</w:t>
      </w:r>
      <w:r>
        <w:t>,</w:t>
      </w:r>
      <w:r w:rsidRPr="00D53958">
        <w:t xml:space="preserve"> is to construct and operate an open cut iron ore mine and associated infrastructure, </w:t>
      </w:r>
      <w:r>
        <w:t xml:space="preserve">including a railway, </w:t>
      </w:r>
      <w:r w:rsidRPr="00D53958">
        <w:t xml:space="preserve">approximately 110 kilometres west-northwest of Newman in the Pilbara region of Western Australia. </w:t>
      </w:r>
      <w:r>
        <w:t xml:space="preserve">The proposal includes an open cut iron ore mine, ore processing areas, waste dumps, waste fines storage facility, a railway and an infrastructure corridor to link the proposal to Rio Tinto’s </w:t>
      </w:r>
      <w:proofErr w:type="spellStart"/>
      <w:r>
        <w:t>Yandicoogina</w:t>
      </w:r>
      <w:proofErr w:type="spellEnd"/>
      <w:r>
        <w:t xml:space="preserve"> operation. It</w:t>
      </w:r>
      <w:r w:rsidRPr="00304430">
        <w:t xml:space="preserve"> </w:t>
      </w:r>
      <w:r>
        <w:t>will require over 12,000 ha of clearing and will have</w:t>
      </w:r>
      <w:r w:rsidRPr="00304430">
        <w:t xml:space="preserve"> a mine life of </w:t>
      </w:r>
      <w:r>
        <w:t>over 30</w:t>
      </w:r>
      <w:r w:rsidRPr="00304430">
        <w:t xml:space="preserve"> years</w:t>
      </w:r>
      <w:r>
        <w:t>, generating</w:t>
      </w:r>
      <w:r w:rsidRPr="00304430">
        <w:t xml:space="preserve"> up to </w:t>
      </w:r>
      <w:r>
        <w:t>70</w:t>
      </w:r>
      <w:r w:rsidRPr="00304430">
        <w:t xml:space="preserve"> million tonnes of </w:t>
      </w:r>
      <w:r>
        <w:t>ore each year</w:t>
      </w:r>
      <w:r w:rsidRPr="00304430">
        <w:t>.</w:t>
      </w:r>
    </w:p>
    <w:p w:rsidR="001E603E" w:rsidRPr="00337E3B" w:rsidRDefault="001E603E" w:rsidP="001E603E">
      <w:pPr>
        <w:pStyle w:val="Body"/>
      </w:pPr>
      <w:r w:rsidRPr="004C3142">
        <w:lastRenderedPageBreak/>
        <w:t xml:space="preserve">The proposal </w:t>
      </w:r>
      <w:r>
        <w:t>is in an area of</w:t>
      </w:r>
      <w:r w:rsidRPr="004C3142">
        <w:t xml:space="preserve"> high biodiversity and is located within the catchment of the Fortescue Marsh, a nationally and internationally important wetland. The EPA </w:t>
      </w:r>
      <w:r>
        <w:t xml:space="preserve">decided to </w:t>
      </w:r>
      <w:r w:rsidRPr="004C3142">
        <w:t>assess the proposal a</w:t>
      </w:r>
      <w:r>
        <w:t>t the level of</w:t>
      </w:r>
      <w:r w:rsidRPr="004C3142">
        <w:t xml:space="preserve"> P</w:t>
      </w:r>
      <w:r>
        <w:t>ublic Environmental Review (PER)</w:t>
      </w:r>
      <w:r w:rsidRPr="004C3142">
        <w:t xml:space="preserve"> due to </w:t>
      </w:r>
      <w:r>
        <w:t>its</w:t>
      </w:r>
      <w:r w:rsidRPr="004C3142">
        <w:t xml:space="preserve"> large scale and the number of complex environmental factors. This proposal was also assessed under a bilateral agreement with the Commonwealth Government because of the clearing of habitat </w:t>
      </w:r>
      <w:r>
        <w:t>that supports</w:t>
      </w:r>
      <w:r w:rsidRPr="004C3142">
        <w:t xml:space="preserve"> threatened species and communities listed under the </w:t>
      </w:r>
      <w:r w:rsidRPr="004C3142">
        <w:rPr>
          <w:i/>
        </w:rPr>
        <w:t>Environment Protection and Biodiversity Conservation Act 1999</w:t>
      </w:r>
      <w:r w:rsidRPr="004C3142">
        <w:t xml:space="preserve"> (EPBC Act).</w:t>
      </w:r>
    </w:p>
    <w:p w:rsidR="001E603E" w:rsidRDefault="001E603E" w:rsidP="001E603E">
      <w:pPr>
        <w:pStyle w:val="Body"/>
      </w:pPr>
      <w:r>
        <w:t>The key environmental factors evaluated were Terrestrial Fauna, Subterranean Fauna, Flora and Vegetation, Hydrological Processes, Inland Waters Environmental Quality, Human Health, and the integrating factors of Rehabilitation and Decommissioning, and Offsets.</w:t>
      </w:r>
      <w:r w:rsidRPr="005273D4">
        <w:t xml:space="preserve"> </w:t>
      </w:r>
      <w:r w:rsidRPr="004401DC">
        <w:t xml:space="preserve">The EPA’s assessment identified </w:t>
      </w:r>
      <w:r>
        <w:t xml:space="preserve">potential </w:t>
      </w:r>
      <w:r w:rsidRPr="004401DC">
        <w:t xml:space="preserve">impacts to threatened </w:t>
      </w:r>
      <w:r>
        <w:t xml:space="preserve">terrestrial </w:t>
      </w:r>
      <w:r w:rsidRPr="004401DC">
        <w:t>fauna</w:t>
      </w:r>
      <w:r>
        <w:t xml:space="preserve"> (</w:t>
      </w:r>
      <w:r w:rsidRPr="004401DC">
        <w:t xml:space="preserve">specifically the Pilbara Leaf-nosed Bat, </w:t>
      </w:r>
      <w:r>
        <w:t xml:space="preserve">Northern Quoll and Pilbara Olive Python), impacts to </w:t>
      </w:r>
      <w:proofErr w:type="spellStart"/>
      <w:r>
        <w:t>troglofauna</w:t>
      </w:r>
      <w:proofErr w:type="spellEnd"/>
      <w:r>
        <w:t xml:space="preserve"> (air-breathing subterranean fauna), and</w:t>
      </w:r>
      <w:r w:rsidRPr="004401DC">
        <w:t xml:space="preserve"> disturbance to </w:t>
      </w:r>
      <w:r>
        <w:t xml:space="preserve">the Declared Rare Flora, </w:t>
      </w:r>
      <w:r w:rsidRPr="004401DC">
        <w:rPr>
          <w:i/>
        </w:rPr>
        <w:t xml:space="preserve">Hamersley </w:t>
      </w:r>
      <w:proofErr w:type="spellStart"/>
      <w:r w:rsidRPr="004401DC">
        <w:rPr>
          <w:i/>
        </w:rPr>
        <w:t>Lepidium</w:t>
      </w:r>
      <w:proofErr w:type="spellEnd"/>
      <w:r>
        <w:t xml:space="preserve"> and </w:t>
      </w:r>
      <w:r w:rsidRPr="004401DC">
        <w:t xml:space="preserve">a Priority 1 flora species, </w:t>
      </w:r>
      <w:proofErr w:type="spellStart"/>
      <w:r w:rsidRPr="004401DC">
        <w:rPr>
          <w:i/>
        </w:rPr>
        <w:t>Sauropus</w:t>
      </w:r>
      <w:proofErr w:type="spellEnd"/>
      <w:r w:rsidRPr="004401DC">
        <w:t xml:space="preserve"> sp. </w:t>
      </w:r>
      <w:proofErr w:type="spellStart"/>
      <w:r>
        <w:t>Koodaideri</w:t>
      </w:r>
      <w:proofErr w:type="spellEnd"/>
      <w:r>
        <w:t xml:space="preserve"> </w:t>
      </w:r>
      <w:proofErr w:type="spellStart"/>
      <w:r>
        <w:t>detritals</w:t>
      </w:r>
      <w:proofErr w:type="spellEnd"/>
      <w:r>
        <w:t>.</w:t>
      </w:r>
      <w:r w:rsidRPr="004401DC">
        <w:t xml:space="preserve"> </w:t>
      </w:r>
      <w:r>
        <w:t>Protection of habitat for the terrestrial and subterranean fauna within</w:t>
      </w:r>
      <w:r w:rsidRPr="001A19DE">
        <w:t xml:space="preserve"> the Mine Development Envelope was a key concern of the EPA</w:t>
      </w:r>
      <w:r>
        <w:t xml:space="preserve">, particularly in the context of potential cumulative impacts on the </w:t>
      </w:r>
      <w:r w:rsidRPr="001A19DE">
        <w:t>Pilbara Leaf-nosed Bat</w:t>
      </w:r>
      <w:r>
        <w:t xml:space="preserve"> from other proposals</w:t>
      </w:r>
      <w:r w:rsidRPr="001A19DE">
        <w:t>.</w:t>
      </w:r>
      <w:r>
        <w:t xml:space="preserve"> </w:t>
      </w:r>
    </w:p>
    <w:p w:rsidR="001E603E" w:rsidRDefault="001E603E" w:rsidP="001E603E">
      <w:pPr>
        <w:pStyle w:val="Body"/>
      </w:pPr>
      <w:r>
        <w:t xml:space="preserve">In its role of supporting the EPA’s assessment of the proposal, the OEPA focused on achieving good environmental outcomes. Assessment Officers attended a site visit to understand the context of the proposal and attended workshops with the proponent to develop protection zones for terrestrial and subterranean fauna. The OEPA also helped in the development of offsets for the proposal which reflected the significant residual impact of the large amount of clearing of native vegetation in ‘good to excellent’ condition and the clearing of important </w:t>
      </w:r>
      <w:r w:rsidRPr="001A19DE">
        <w:t>Pilbara Leaf-nosed Bat</w:t>
      </w:r>
      <w:r>
        <w:t xml:space="preserve"> foraging habitat between the mine pits.</w:t>
      </w:r>
    </w:p>
    <w:p w:rsidR="001E603E" w:rsidRDefault="001E603E" w:rsidP="001E603E">
      <w:pPr>
        <w:pStyle w:val="Body"/>
      </w:pPr>
      <w:r w:rsidRPr="0013788C">
        <w:t xml:space="preserve">The </w:t>
      </w:r>
      <w:r>
        <w:t>assessment</w:t>
      </w:r>
      <w:r w:rsidRPr="0013788C">
        <w:t xml:space="preserve"> </w:t>
      </w:r>
      <w:r>
        <w:t>concluded</w:t>
      </w:r>
      <w:r w:rsidRPr="0013788C">
        <w:t xml:space="preserve"> that the proposal </w:t>
      </w:r>
      <w:r>
        <w:t>could</w:t>
      </w:r>
      <w:r w:rsidRPr="0013788C">
        <w:t xml:space="preserve"> be implemented subject to conditions</w:t>
      </w:r>
      <w:r>
        <w:t xml:space="preserve">, including outcome-based conditions requiring avoidance zones for critical terrestrial fauna habitat and declared rare flora, and protection zones for important terrestrial and subterranean fauna habitat. The conditions also included management plans for the Pilbara Leaf-nosed bat, Northern Quoll, </w:t>
      </w:r>
      <w:proofErr w:type="spellStart"/>
      <w:r>
        <w:t>Koodaideri</w:t>
      </w:r>
      <w:proofErr w:type="spellEnd"/>
      <w:r>
        <w:t xml:space="preserve"> Spring and the Priority 1 </w:t>
      </w:r>
      <w:proofErr w:type="spellStart"/>
      <w:r w:rsidRPr="001C7F6E">
        <w:rPr>
          <w:i/>
        </w:rPr>
        <w:t>Sauropus</w:t>
      </w:r>
      <w:proofErr w:type="spellEnd"/>
      <w:r w:rsidRPr="001C7F6E">
        <w:rPr>
          <w:i/>
        </w:rPr>
        <w:t xml:space="preserve"> </w:t>
      </w:r>
      <w:r>
        <w:rPr>
          <w:i/>
        </w:rPr>
        <w:t xml:space="preserve">flora </w:t>
      </w:r>
      <w:r>
        <w:t>species, to minimise the impacts on the species, and an offsets condition to counterbalance the significant residual impacts of the clearing of vegetation and habitat.</w:t>
      </w:r>
    </w:p>
    <w:p w:rsidR="001E603E" w:rsidRDefault="001E603E" w:rsidP="00D255DC">
      <w:pPr>
        <w:pStyle w:val="Body"/>
      </w:pPr>
      <w:r>
        <w:t xml:space="preserve">The Western Australian Minister for Environment approved the proposal and the conditions recommended by the EPA, and issued the Ministerial Statement on 10 March 2015. The Commonwealth Department of Environment approved the proposal on 9 May 2015, requiring the proponent to </w:t>
      </w:r>
      <w:r>
        <w:lastRenderedPageBreak/>
        <w:t>implement the Western Australian conditions, with some variations to the offsets condition.</w:t>
      </w:r>
    </w:p>
    <w:p w:rsidR="001E603E" w:rsidRDefault="001E603E" w:rsidP="00D255DC">
      <w:pPr>
        <w:pStyle w:val="Body"/>
        <w:spacing w:after="0"/>
      </w:pPr>
      <w:r>
        <w:t>In response to the OEPA’s invitation to provide feedback on its management of the assessment process, the proponent:</w:t>
      </w:r>
    </w:p>
    <w:p w:rsidR="001E603E" w:rsidRDefault="001E603E" w:rsidP="00067EE9">
      <w:pPr>
        <w:pStyle w:val="ListParagraph"/>
      </w:pPr>
      <w:r>
        <w:t>welcomed the focus on key environmental factors</w:t>
      </w:r>
      <w:r w:rsidR="00D255DC">
        <w:t>;</w:t>
      </w:r>
    </w:p>
    <w:p w:rsidR="001E603E" w:rsidRDefault="001E603E" w:rsidP="00067EE9">
      <w:pPr>
        <w:pStyle w:val="ListParagraph"/>
      </w:pPr>
      <w:r>
        <w:t>appreciated the good guidance on policies and expectations given by OEPA officers</w:t>
      </w:r>
      <w:r w:rsidR="00D255DC">
        <w:t>; and</w:t>
      </w:r>
    </w:p>
    <w:p w:rsidR="001E603E" w:rsidRDefault="001E603E" w:rsidP="00067EE9">
      <w:pPr>
        <w:pStyle w:val="ListParagraph"/>
      </w:pPr>
      <w:proofErr w:type="gramStart"/>
      <w:r>
        <w:t>found</w:t>
      </w:r>
      <w:proofErr w:type="gramEnd"/>
      <w:r>
        <w:t xml:space="preserve"> that the level of engagement and extensive consultation with the OEPA was constructive and beneficial.</w:t>
      </w:r>
    </w:p>
    <w:p w:rsidR="001E603E" w:rsidRPr="00A0143F" w:rsidRDefault="00595ED7" w:rsidP="007121EF">
      <w:pPr>
        <w:pStyle w:val="Heading1"/>
        <w:spacing w:before="240"/>
      </w:pPr>
      <w:bookmarkStart w:id="35" w:name="_Toc428279159"/>
      <w:r w:rsidRPr="009547DF">
        <w:t>Environmental impact</w:t>
      </w:r>
      <w:r w:rsidRPr="00A0143F">
        <w:t xml:space="preserve"> </w:t>
      </w:r>
      <w:r>
        <w:t>a</w:t>
      </w:r>
      <w:r w:rsidR="001E603E" w:rsidRPr="00A0143F">
        <w:t>ssessment</w:t>
      </w:r>
      <w:r w:rsidR="007121EF">
        <w:t xml:space="preserve"> of industrial proposals</w:t>
      </w:r>
      <w:bookmarkEnd w:id="35"/>
    </w:p>
    <w:p w:rsidR="001E603E" w:rsidRPr="006228B5" w:rsidRDefault="001E603E" w:rsidP="007121EF">
      <w:pPr>
        <w:pStyle w:val="Heading2"/>
        <w:rPr>
          <w:rStyle w:val="Style11ptBoldItalic"/>
        </w:rPr>
      </w:pPr>
      <w:bookmarkStart w:id="36" w:name="_Toc428279160"/>
      <w:r>
        <w:t>Overview</w:t>
      </w:r>
      <w:bookmarkEnd w:id="36"/>
    </w:p>
    <w:p w:rsidR="001E603E" w:rsidRDefault="001E603E" w:rsidP="001E603E">
      <w:pPr>
        <w:pStyle w:val="Body"/>
      </w:pPr>
      <w:r>
        <w:t xml:space="preserve">The EPA completed two industrial assessments during 2014–15. Both the Gorgon Gas Development Fourth Train Expansion proposal and the Kwinana Waste to Energy Project were assessed as Public Environmental Reviews. </w:t>
      </w:r>
    </w:p>
    <w:p w:rsidR="001E603E" w:rsidRDefault="001E603E" w:rsidP="001E603E">
      <w:pPr>
        <w:pStyle w:val="Body"/>
      </w:pPr>
      <w:r>
        <w:t>The Gorgon Gas Development Fourth Train Expansion is an expansion of the existing liquefied natural gas (LNG) proposal which has current Ministerial Statements of approval with associated implementation conditions. A key consideration of the assessment was whether the existing conditions would be capable of managing the potential impacts of the expansion. The OEPA had a key role in validating the application of the existing conditions to the expansion proposal. The EPA found that the proposal could be managed to meet the EPA’s objectives subject to the conditions in the existing Ministerial Statements issued for the original project. No further referrals for land-based LNG plants were received in 2014–15.</w:t>
      </w:r>
    </w:p>
    <w:p w:rsidR="001E603E" w:rsidRDefault="001E603E" w:rsidP="001E603E">
      <w:pPr>
        <w:pStyle w:val="Body"/>
      </w:pPr>
      <w:r>
        <w:t xml:space="preserve">Waste management continues to be an issue in the urban environment, resulting in referrals of proposals for both landfills and waste processing facilities. Since the release of the EPA </w:t>
      </w:r>
      <w:r w:rsidRPr="00E3520E">
        <w:t>and the Waste Authority</w:t>
      </w:r>
      <w:r>
        <w:t xml:space="preserve">’s strategic review of </w:t>
      </w:r>
      <w:r w:rsidRPr="00D91846">
        <w:rPr>
          <w:rStyle w:val="contenttitlelink"/>
          <w:i/>
        </w:rPr>
        <w:t>Environmental and health performance of waste to energy technologies</w:t>
      </w:r>
      <w:r>
        <w:rPr>
          <w:rStyle w:val="contenttitlelink"/>
        </w:rPr>
        <w:t xml:space="preserve"> (April 2013) f</w:t>
      </w:r>
      <w:r>
        <w:t>our formal assessments of Waste to Energy (</w:t>
      </w:r>
      <w:proofErr w:type="spellStart"/>
      <w:r>
        <w:t>WtE</w:t>
      </w:r>
      <w:proofErr w:type="spellEnd"/>
      <w:r>
        <w:t xml:space="preserve">) projects have been completed, all of which intend to use municipal solid waste (MSW) as feedstock. The most recently completed of these – the Kwinana </w:t>
      </w:r>
      <w:proofErr w:type="spellStart"/>
      <w:r>
        <w:t>WtE</w:t>
      </w:r>
      <w:proofErr w:type="spellEnd"/>
      <w:r>
        <w:t xml:space="preserve"> Project – is discussed in more detail below. There is one formal assessment in progress, targeting wood waste, which is due to be completed in July 2015, but no referrals of further large-scale </w:t>
      </w:r>
      <w:proofErr w:type="spellStart"/>
      <w:r>
        <w:t>WtE</w:t>
      </w:r>
      <w:proofErr w:type="spellEnd"/>
      <w:r>
        <w:t xml:space="preserve"> proposals in the metropolitan area were received in 2014–15. The future trend is likely to be toward proposals for smaller facilities targeting niche wastes or servicing regional areas.</w:t>
      </w:r>
    </w:p>
    <w:p w:rsidR="001E603E" w:rsidRPr="006228B5" w:rsidRDefault="001E603E" w:rsidP="007121EF">
      <w:pPr>
        <w:pStyle w:val="Heading2"/>
      </w:pPr>
      <w:bookmarkStart w:id="37" w:name="_Toc428279161"/>
      <w:r w:rsidRPr="006228B5">
        <w:lastRenderedPageBreak/>
        <w:t>Case Study</w:t>
      </w:r>
      <w:bookmarkEnd w:id="37"/>
      <w:r w:rsidRPr="006228B5">
        <w:t xml:space="preserve"> </w:t>
      </w:r>
    </w:p>
    <w:p w:rsidR="001E603E" w:rsidRPr="007121EF" w:rsidRDefault="001E603E" w:rsidP="007121EF">
      <w:pPr>
        <w:pStyle w:val="Heading3"/>
        <w:rPr>
          <w:rStyle w:val="Style11ptBoldItalic"/>
          <w:b/>
          <w:bCs/>
          <w:i w:val="0"/>
          <w:iCs w:val="0"/>
        </w:rPr>
      </w:pPr>
      <w:bookmarkStart w:id="38" w:name="_Toc428279162"/>
      <w:r w:rsidRPr="007121EF">
        <w:rPr>
          <w:rStyle w:val="Style11ptBoldItalic"/>
          <w:b/>
          <w:bCs/>
          <w:i w:val="0"/>
          <w:iCs w:val="0"/>
        </w:rPr>
        <w:t>Kwinana Waste to Energy Project</w:t>
      </w:r>
      <w:bookmarkEnd w:id="38"/>
      <w:r w:rsidRPr="007121EF">
        <w:rPr>
          <w:rStyle w:val="Style11ptBoldItalic"/>
          <w:b/>
          <w:bCs/>
          <w:i w:val="0"/>
          <w:iCs w:val="0"/>
        </w:rPr>
        <w:t xml:space="preserve"> </w:t>
      </w:r>
    </w:p>
    <w:p w:rsidR="001E603E" w:rsidRDefault="001E603E" w:rsidP="001E603E">
      <w:pPr>
        <w:pStyle w:val="Body"/>
      </w:pPr>
      <w:r>
        <w:t xml:space="preserve">The proposal by the Kwinana WTE Project Company was to construct and operate a </w:t>
      </w:r>
      <w:proofErr w:type="spellStart"/>
      <w:r>
        <w:t>WtE</w:t>
      </w:r>
      <w:proofErr w:type="spellEnd"/>
      <w:r>
        <w:t xml:space="preserve"> plant and brick making facility in Kwinana Beach. The facility would receive and process up to 400,000 tonnes of residual municipal solid waste supplied by local governments and would export up to 36 megawatts of electricity into the South West Interconnected System each year. A brick-making facility would also be incorporated to reuse the ash produced in combustion to make by-products such as bricks and pavers.</w:t>
      </w:r>
    </w:p>
    <w:p w:rsidR="001E603E" w:rsidRDefault="001E603E" w:rsidP="001E603E">
      <w:pPr>
        <w:pStyle w:val="Body"/>
      </w:pPr>
      <w:r>
        <w:t>The level of assessment was set at Public Environmental Review (PER) in October 2012.</w:t>
      </w:r>
    </w:p>
    <w:p w:rsidR="001E603E" w:rsidRDefault="001E603E" w:rsidP="001E603E">
      <w:pPr>
        <w:pStyle w:val="Body"/>
        <w:rPr>
          <w:rFonts w:cs="Times New Roman"/>
          <w:szCs w:val="20"/>
        </w:rPr>
      </w:pPr>
      <w:r>
        <w:t xml:space="preserve">The OEPA helped the EPA identify the preliminary environmental factors and prepared a draft Environmental Scoping Document (ESD) describing the scope and content to be included in the proponent’s PER document. The EPA approved the ESD in May 2013, and the proponent’s PER document was released for a six-week public review in June 2014.  </w:t>
      </w:r>
    </w:p>
    <w:p w:rsidR="001E603E" w:rsidRPr="004E5C34" w:rsidRDefault="001E603E" w:rsidP="001E603E">
      <w:pPr>
        <w:pStyle w:val="Body"/>
      </w:pPr>
      <w:r>
        <w:t xml:space="preserve">A total of 32 public submissions were received during the public review period. The key issues raised related to concerns regarding technology, air quality, cumulative impacts, potential health risks, the waste hierarchy, suitability of ash for reuse, and consistency with the EPA and Waste Authority’s strategic review on </w:t>
      </w:r>
      <w:proofErr w:type="spellStart"/>
      <w:r w:rsidRPr="00687469">
        <w:t>W</w:t>
      </w:r>
      <w:r>
        <w:t>tE</w:t>
      </w:r>
      <w:proofErr w:type="spellEnd"/>
      <w:r w:rsidRPr="00687469">
        <w:t xml:space="preserve"> </w:t>
      </w:r>
      <w:r>
        <w:t>t</w:t>
      </w:r>
      <w:r w:rsidRPr="00687469">
        <w:t>echnologies</w:t>
      </w:r>
      <w:r>
        <w:t>. The OEPA consolidated and summarised these submissions, and provided them to the proponent for a response.</w:t>
      </w:r>
      <w:r w:rsidRPr="004E5C34">
        <w:t xml:space="preserve"> The EPA determined that the key environmental factors to be evaluated were Air quality and Ash reuse.</w:t>
      </w:r>
    </w:p>
    <w:p w:rsidR="001E603E" w:rsidRDefault="001E603E" w:rsidP="001E603E">
      <w:pPr>
        <w:pStyle w:val="Body"/>
        <w:rPr>
          <w:sz w:val="22"/>
        </w:rPr>
      </w:pPr>
      <w:r>
        <w:t xml:space="preserve">The OEPA coordinated the assessment of the Kwinana Waste to Energy Project consistent with the previous </w:t>
      </w:r>
      <w:proofErr w:type="spellStart"/>
      <w:r>
        <w:t>WtE</w:t>
      </w:r>
      <w:proofErr w:type="spellEnd"/>
      <w:r>
        <w:t xml:space="preserve"> assessments through application of the recommendations in the strategic review. The corporate knowledge and experience previously gained contributed to improved timeliness during stages of this assessment.</w:t>
      </w:r>
    </w:p>
    <w:p w:rsidR="001E603E" w:rsidRDefault="001E603E" w:rsidP="001E603E">
      <w:pPr>
        <w:pStyle w:val="Body"/>
      </w:pPr>
      <w:r>
        <w:t xml:space="preserve">Among issues raised in submissions and addressed during the assessment was that the proposed site is located in the Kwinana Industrial Area which includes many existing industries, leading to concerns about cumulative impacts. The OEPA consulted with the Department of Environment Regulation (DER) to address community concern over the potential for combined emissions from the recently assessed East Rockingham </w:t>
      </w:r>
      <w:proofErr w:type="spellStart"/>
      <w:r>
        <w:t>WtE</w:t>
      </w:r>
      <w:proofErr w:type="spellEnd"/>
      <w:r>
        <w:t xml:space="preserve"> and Materials Recovery Facility, and cumulative impact in general. The Kwinana Waste to Energy Project’s contribution to ambient pollutant concentrations was determined to be acceptably small, and cumulative emissions would not compromise ambient air quality criteria.</w:t>
      </w:r>
    </w:p>
    <w:p w:rsidR="001E603E" w:rsidRDefault="001E603E" w:rsidP="001E603E">
      <w:pPr>
        <w:pStyle w:val="Body"/>
      </w:pPr>
      <w:r>
        <w:lastRenderedPageBreak/>
        <w:t>The OEPA also worked with the DER to ensure that the EPA’s re</w:t>
      </w:r>
      <w:r w:rsidR="00906CF8">
        <w:t>commended conditions were comple</w:t>
      </w:r>
      <w:r>
        <w:t xml:space="preserve">mentary to the DER’s works approval and licensing process in order to avoid regulatory overlap. </w:t>
      </w:r>
    </w:p>
    <w:p w:rsidR="001E603E" w:rsidRDefault="001E603E" w:rsidP="001E603E">
      <w:pPr>
        <w:pStyle w:val="Body"/>
      </w:pPr>
      <w:r>
        <w:t xml:space="preserve">The proponent’s selection of robust well proven technology with a proven record of meeting stringent emission limits, along with a continuous emissions monitoring system, provided confidence that the proposal could be managed to meet the EPA’s objectives.  </w:t>
      </w:r>
    </w:p>
    <w:p w:rsidR="001E603E" w:rsidRPr="00AA50D4" w:rsidRDefault="001E603E" w:rsidP="001E603E">
      <w:pPr>
        <w:pStyle w:val="Body"/>
      </w:pPr>
      <w:r w:rsidRPr="00AA50D4">
        <w:t xml:space="preserve">The EPA concluded that the proposal could be implemented subject to recommended conditions including </w:t>
      </w:r>
      <w:r>
        <w:t>requiring</w:t>
      </w:r>
      <w:r w:rsidRPr="00AA50D4">
        <w:t xml:space="preserve"> a publicly-available Waste Acceptance Monitoring and Management Plan, which will describe and record the waste types accepte</w:t>
      </w:r>
      <w:r>
        <w:t>d on site and disposed off-site, and an Ash Reuse Management Plan.</w:t>
      </w:r>
      <w:r w:rsidRPr="00AA50D4">
        <w:t xml:space="preserve"> </w:t>
      </w:r>
    </w:p>
    <w:p w:rsidR="001E603E" w:rsidRDefault="001E603E" w:rsidP="001E603E">
      <w:pPr>
        <w:pStyle w:val="Body"/>
      </w:pPr>
      <w:r>
        <w:t>EPA Report 1538 Kwinana Waste to Energy Project was published in February 2015.</w:t>
      </w:r>
    </w:p>
    <w:p w:rsidR="001E603E" w:rsidRDefault="001E603E" w:rsidP="001E603E">
      <w:pPr>
        <w:pStyle w:val="Body"/>
      </w:pPr>
      <w:r>
        <w:t xml:space="preserve">Following the completion of the EPA report, the OEPA invited the proponent to provide feedback on the environmental impact assessment process. The proponent recognised the professionalism of the OEPA’s environmental officers in undertaking the assessment, and commended the EPA and the Waste Authority on their efforts in producing the section 16(e) strategic review which guided the assessment. </w:t>
      </w:r>
    </w:p>
    <w:p w:rsidR="001E603E" w:rsidRDefault="001E603E" w:rsidP="001E603E">
      <w:pPr>
        <w:pStyle w:val="Body"/>
      </w:pPr>
      <w:r>
        <w:t xml:space="preserve">The proponent also highlighted that timeliness is probably their most significant concern and encouraged the OEPA to further develop its defined process </w:t>
      </w:r>
      <w:r w:rsidR="007E47E2">
        <w:t>time</w:t>
      </w:r>
      <w:r>
        <w:t>lines to the extent that a proponent has greater visibility and assurance of the status of its assessment at any point in time.</w:t>
      </w:r>
    </w:p>
    <w:p w:rsidR="001E603E" w:rsidRPr="00A0143F" w:rsidRDefault="00595ED7" w:rsidP="00595ED7">
      <w:pPr>
        <w:pStyle w:val="Heading1"/>
      </w:pPr>
      <w:bookmarkStart w:id="39" w:name="_Toc428279163"/>
      <w:r w:rsidRPr="009547DF">
        <w:t>Environmental impact</w:t>
      </w:r>
      <w:r w:rsidRPr="00A0143F">
        <w:t xml:space="preserve"> </w:t>
      </w:r>
      <w:r>
        <w:t>a</w:t>
      </w:r>
      <w:r w:rsidR="001E603E" w:rsidRPr="00A0143F">
        <w:t>ssessment</w:t>
      </w:r>
      <w:r>
        <w:t xml:space="preserve"> of infrastructure proposals</w:t>
      </w:r>
      <w:bookmarkEnd w:id="39"/>
    </w:p>
    <w:p w:rsidR="001E603E" w:rsidRPr="006228B5" w:rsidRDefault="001E603E" w:rsidP="00595ED7">
      <w:pPr>
        <w:pStyle w:val="Heading2"/>
        <w:rPr>
          <w:rStyle w:val="Style11ptBoldItalic"/>
        </w:rPr>
      </w:pPr>
      <w:bookmarkStart w:id="40" w:name="_Toc428279164"/>
      <w:r>
        <w:t>Overview</w:t>
      </w:r>
      <w:bookmarkEnd w:id="40"/>
    </w:p>
    <w:p w:rsidR="001E603E" w:rsidRDefault="001E603E" w:rsidP="001E603E">
      <w:pPr>
        <w:pStyle w:val="Body"/>
      </w:pPr>
      <w:r>
        <w:t>The EPA has considered a broad range of significant infrastructure proposals in the marine and terrestrial environments</w:t>
      </w:r>
      <w:r w:rsidRPr="00443799">
        <w:t xml:space="preserve"> </w:t>
      </w:r>
      <w:r>
        <w:t xml:space="preserve">in 2014–15. This has included the consideration of proposals for port developments, road and rail infrastructure, pipelines, tourism and aquaculture developments. The EPA also completed its assessment of the State Government’s proposal for the Shark Hazard Mitigation Drum Line Program for 2014–17. </w:t>
      </w:r>
    </w:p>
    <w:p w:rsidR="001E603E" w:rsidRDefault="001E603E" w:rsidP="001E603E">
      <w:pPr>
        <w:pStyle w:val="Body"/>
      </w:pPr>
      <w:r>
        <w:t xml:space="preserve">The Perth metropolitan area has been an area of particular interest with the EPA assessing the environmental impacts of a number of State significant infrastructure projects for the development of major roads, railway and water pipelines. Being in the metropolitan area these proposals are often located in </w:t>
      </w:r>
      <w:r>
        <w:lastRenderedPageBreak/>
        <w:t xml:space="preserve">sensitive and constrained environments where the cumulative loss of native vegetation and fauna habitat is a key issue. </w:t>
      </w:r>
    </w:p>
    <w:p w:rsidR="001E603E" w:rsidRDefault="001E603E" w:rsidP="001E603E">
      <w:pPr>
        <w:pStyle w:val="Body"/>
      </w:pPr>
      <w:r>
        <w:t xml:space="preserve">In the Pilbara region the OEPA has been in discussions with proponents during the early stages of planning of infrastructure projects for iron ore export. As with assessment of mining proposals, the application of </w:t>
      </w:r>
      <w:r w:rsidRPr="004238D4">
        <w:t>the EPA’s newly developed</w:t>
      </w:r>
      <w:r>
        <w:t xml:space="preserve"> guidance for preparation of API – Category </w:t>
      </w:r>
      <w:proofErr w:type="gramStart"/>
      <w:r>
        <w:t>A</w:t>
      </w:r>
      <w:proofErr w:type="gramEnd"/>
      <w:r>
        <w:t xml:space="preserve"> documents (EAG 14) </w:t>
      </w:r>
      <w:r w:rsidRPr="00F21B35">
        <w:t xml:space="preserve">provides </w:t>
      </w:r>
      <w:r w:rsidRPr="004238D4">
        <w:t xml:space="preserve">a more streamlined approach to </w:t>
      </w:r>
      <w:r>
        <w:t xml:space="preserve">infrastructure </w:t>
      </w:r>
      <w:r w:rsidRPr="004238D4">
        <w:t>assessments</w:t>
      </w:r>
      <w:r>
        <w:t>, allowing them to be</w:t>
      </w:r>
      <w:r w:rsidRPr="004238D4">
        <w:t xml:space="preserve"> </w:t>
      </w:r>
      <w:r>
        <w:t>undertaken in a timely manner, while still achieving good environmental outcomes.</w:t>
      </w:r>
      <w:r w:rsidRPr="004238D4">
        <w:t xml:space="preserve"> </w:t>
      </w:r>
    </w:p>
    <w:p w:rsidR="001E603E" w:rsidRPr="006228B5" w:rsidRDefault="001E603E" w:rsidP="00595ED7">
      <w:pPr>
        <w:pStyle w:val="Heading2"/>
      </w:pPr>
      <w:bookmarkStart w:id="41" w:name="_Toc428279165"/>
      <w:r w:rsidRPr="006228B5">
        <w:t>Case Study</w:t>
      </w:r>
      <w:bookmarkEnd w:id="41"/>
      <w:r w:rsidRPr="006228B5">
        <w:t xml:space="preserve"> </w:t>
      </w:r>
    </w:p>
    <w:p w:rsidR="001E603E" w:rsidRPr="00595ED7" w:rsidRDefault="001E603E" w:rsidP="00595ED7">
      <w:pPr>
        <w:pStyle w:val="Heading3"/>
        <w:rPr>
          <w:rStyle w:val="Style11ptBoldItalic"/>
          <w:b/>
          <w:bCs/>
          <w:i w:val="0"/>
          <w:iCs w:val="0"/>
        </w:rPr>
      </w:pPr>
      <w:bookmarkStart w:id="42" w:name="_Toc428279166"/>
      <w:proofErr w:type="spellStart"/>
      <w:r w:rsidRPr="00595ED7">
        <w:rPr>
          <w:rStyle w:val="Style11ptBoldItalic"/>
          <w:b/>
          <w:bCs/>
          <w:i w:val="0"/>
          <w:iCs w:val="0"/>
        </w:rPr>
        <w:t>Balla</w:t>
      </w:r>
      <w:proofErr w:type="spellEnd"/>
      <w:r w:rsidRPr="00595ED7">
        <w:rPr>
          <w:rStyle w:val="Style11ptBoldItalic"/>
          <w:b/>
          <w:bCs/>
          <w:i w:val="0"/>
          <w:iCs w:val="0"/>
        </w:rPr>
        <w:t xml:space="preserve"> </w:t>
      </w:r>
      <w:proofErr w:type="spellStart"/>
      <w:r w:rsidRPr="00595ED7">
        <w:rPr>
          <w:rStyle w:val="Style11ptBoldItalic"/>
          <w:b/>
          <w:bCs/>
          <w:i w:val="0"/>
          <w:iCs w:val="0"/>
        </w:rPr>
        <w:t>Balla</w:t>
      </w:r>
      <w:proofErr w:type="spellEnd"/>
      <w:r w:rsidRPr="00595ED7">
        <w:rPr>
          <w:rStyle w:val="Style11ptBoldItalic"/>
          <w:b/>
          <w:bCs/>
          <w:i w:val="0"/>
          <w:iCs w:val="0"/>
        </w:rPr>
        <w:t xml:space="preserve"> Infrastructure – Rail and Conveyor Project</w:t>
      </w:r>
      <w:bookmarkEnd w:id="42"/>
    </w:p>
    <w:p w:rsidR="001E603E" w:rsidRDefault="001E603E" w:rsidP="001E603E">
      <w:pPr>
        <w:pStyle w:val="Body"/>
      </w:pPr>
      <w:r w:rsidRPr="003A1024">
        <w:t xml:space="preserve">The </w:t>
      </w:r>
      <w:proofErr w:type="spellStart"/>
      <w:r w:rsidRPr="003A1024">
        <w:t>Balla</w:t>
      </w:r>
      <w:proofErr w:type="spellEnd"/>
      <w:r w:rsidRPr="003A1024">
        <w:t xml:space="preserve"> </w:t>
      </w:r>
      <w:proofErr w:type="spellStart"/>
      <w:r w:rsidRPr="003A1024">
        <w:t>Balla</w:t>
      </w:r>
      <w:proofErr w:type="spellEnd"/>
      <w:r w:rsidRPr="003A1024">
        <w:t xml:space="preserve"> Export Facilities</w:t>
      </w:r>
      <w:r>
        <w:t>,</w:t>
      </w:r>
      <w:r w:rsidRPr="00731E0B">
        <w:t xml:space="preserve"> located midway between Port Hedland and Karratha,</w:t>
      </w:r>
      <w:r w:rsidRPr="003A1024">
        <w:t xml:space="preserve"> w</w:t>
      </w:r>
      <w:r>
        <w:t>ere</w:t>
      </w:r>
      <w:r w:rsidRPr="003A1024">
        <w:t xml:space="preserve"> originally proposed to allow the export of ore from </w:t>
      </w:r>
      <w:r>
        <w:t>Forge Resources Swan</w:t>
      </w:r>
      <w:r w:rsidRPr="003A1024">
        <w:t xml:space="preserve">’s approved </w:t>
      </w:r>
      <w:proofErr w:type="spellStart"/>
      <w:r w:rsidRPr="003A1024">
        <w:t>Balla</w:t>
      </w:r>
      <w:proofErr w:type="spellEnd"/>
      <w:r w:rsidRPr="003A1024">
        <w:t xml:space="preserve"> </w:t>
      </w:r>
      <w:proofErr w:type="spellStart"/>
      <w:r w:rsidRPr="003A1024">
        <w:t>Balla</w:t>
      </w:r>
      <w:proofErr w:type="spellEnd"/>
      <w:r w:rsidRPr="003A1024">
        <w:t xml:space="preserve"> Magnetite Mining Project.</w:t>
      </w:r>
      <w:r>
        <w:t xml:space="preserve"> The export facilities</w:t>
      </w:r>
      <w:r w:rsidRPr="003A1024">
        <w:t xml:space="preserve"> </w:t>
      </w:r>
      <w:r>
        <w:t>were assessed by the EPA and recommended for approval in June 2013. Subsequently, i</w:t>
      </w:r>
      <w:r w:rsidRPr="003A1024">
        <w:t xml:space="preserve">t </w:t>
      </w:r>
      <w:r>
        <w:t>was</w:t>
      </w:r>
      <w:r w:rsidRPr="003A1024">
        <w:t xml:space="preserve"> identified that there </w:t>
      </w:r>
      <w:r>
        <w:t>i</w:t>
      </w:r>
      <w:r w:rsidRPr="003A1024">
        <w:t xml:space="preserve">s additional port capacity available for use by third parties. </w:t>
      </w:r>
    </w:p>
    <w:p w:rsidR="001E603E" w:rsidRPr="00731E0B" w:rsidRDefault="001E603E" w:rsidP="001E603E">
      <w:pPr>
        <w:pStyle w:val="Body"/>
      </w:pPr>
      <w:r>
        <w:t xml:space="preserve">The </w:t>
      </w:r>
      <w:proofErr w:type="spellStart"/>
      <w:r w:rsidRPr="003D6D90">
        <w:t>Balla</w:t>
      </w:r>
      <w:proofErr w:type="spellEnd"/>
      <w:r w:rsidRPr="003D6D90">
        <w:t xml:space="preserve"> </w:t>
      </w:r>
      <w:proofErr w:type="spellStart"/>
      <w:r w:rsidRPr="003D6D90">
        <w:t>Balla</w:t>
      </w:r>
      <w:proofErr w:type="spellEnd"/>
      <w:r w:rsidRPr="003D6D90">
        <w:t xml:space="preserve"> Infrastructure – Rail and Conveyor Project</w:t>
      </w:r>
      <w:r>
        <w:t xml:space="preserve"> proposal was</w:t>
      </w:r>
      <w:r w:rsidRPr="00731E0B">
        <w:t xml:space="preserve"> to construct and operate a combination of railway and overland conveyor </w:t>
      </w:r>
      <w:r>
        <w:t xml:space="preserve">to </w:t>
      </w:r>
      <w:r w:rsidRPr="00731E0B">
        <w:t xml:space="preserve">connect the </w:t>
      </w:r>
      <w:r>
        <w:t>export facilities</w:t>
      </w:r>
      <w:r w:rsidRPr="00731E0B">
        <w:t xml:space="preserve"> with the Flinders Pilbara Iron Ore Projec</w:t>
      </w:r>
      <w:r>
        <w:t xml:space="preserve">t, approximately 200 kilometres to the south in the central Pilbara Region. The OEPA </w:t>
      </w:r>
      <w:r w:rsidR="00906CF8">
        <w:t>advis</w:t>
      </w:r>
      <w:r>
        <w:t xml:space="preserve">ed the proponent </w:t>
      </w:r>
      <w:r w:rsidR="00906CF8">
        <w:t>on</w:t>
      </w:r>
      <w:r>
        <w:t xml:space="preserve"> the application of EAG 14 in the preparation of the environmental review documents, and the proposal was assessed at the API – Category A level.</w:t>
      </w:r>
    </w:p>
    <w:p w:rsidR="001E603E" w:rsidRDefault="001E603E" w:rsidP="001E603E">
      <w:pPr>
        <w:pStyle w:val="Body"/>
      </w:pPr>
      <w:r>
        <w:t>The k</w:t>
      </w:r>
      <w:r w:rsidRPr="00731E0B">
        <w:t>ey environmental factors evaluated were flora and vegetation, terrestrial fauna, reha</w:t>
      </w:r>
      <w:r w:rsidR="00906CF8">
        <w:t>bilitation and decommissioning</w:t>
      </w:r>
      <w:r w:rsidRPr="00731E0B">
        <w:t xml:space="preserve"> and offsets. </w:t>
      </w:r>
    </w:p>
    <w:p w:rsidR="001E603E" w:rsidRPr="00A34B65" w:rsidRDefault="001E603E" w:rsidP="001E603E">
      <w:pPr>
        <w:pStyle w:val="Body"/>
      </w:pPr>
      <w:r>
        <w:t xml:space="preserve">The proponent applied the EPA’s </w:t>
      </w:r>
      <w:r w:rsidRPr="005A59A1">
        <w:t>mitigation hierarchy (avoid, minimise, rehabilitate and offset) during the design of the proposal</w:t>
      </w:r>
      <w:r>
        <w:t xml:space="preserve"> and </w:t>
      </w:r>
      <w:r w:rsidRPr="00A34B65">
        <w:t>considered six alternative rail corridors to minimise potential impacts to the environment. In selecting the final rail corridor the proponent has:</w:t>
      </w:r>
    </w:p>
    <w:p w:rsidR="001E603E" w:rsidRPr="00111622" w:rsidRDefault="001E603E" w:rsidP="00067EE9">
      <w:pPr>
        <w:pStyle w:val="ListParagraph"/>
      </w:pPr>
      <w:r w:rsidRPr="00111622">
        <w:t xml:space="preserve">avoided </w:t>
      </w:r>
      <w:proofErr w:type="spellStart"/>
      <w:r w:rsidRPr="00111622">
        <w:t>Nunyerry</w:t>
      </w:r>
      <w:proofErr w:type="spellEnd"/>
      <w:r w:rsidRPr="00111622">
        <w:t xml:space="preserve"> Gorge, home to a relatively large population of the conservation significant Northern Quoll;</w:t>
      </w:r>
    </w:p>
    <w:p w:rsidR="001E603E" w:rsidRPr="00AB3713" w:rsidRDefault="001E603E" w:rsidP="00067EE9">
      <w:pPr>
        <w:pStyle w:val="ListParagraph"/>
      </w:pPr>
      <w:r w:rsidRPr="00AB3713">
        <w:t>relocated the northern rail loop to reduce the impact to a Priority Ecological Community (PEC) P3 ‘</w:t>
      </w:r>
      <w:proofErr w:type="spellStart"/>
      <w:r w:rsidRPr="00AB3713">
        <w:t>Horseflat</w:t>
      </w:r>
      <w:proofErr w:type="spellEnd"/>
      <w:r w:rsidRPr="00AB3713">
        <w:t xml:space="preserve"> Land System of the Roebourne Plains; </w:t>
      </w:r>
    </w:p>
    <w:p w:rsidR="001E603E" w:rsidRPr="00AB3713" w:rsidRDefault="001E603E" w:rsidP="00067EE9">
      <w:pPr>
        <w:pStyle w:val="ListParagraph"/>
      </w:pPr>
      <w:r w:rsidRPr="00AB3713">
        <w:t>relocated the crossing of Sherlock River to minimise potential impacts to riparian vegetation and indirect impacts associated with watercourse crossings; and</w:t>
      </w:r>
    </w:p>
    <w:p w:rsidR="001E603E" w:rsidRPr="00731E0B" w:rsidRDefault="001E603E" w:rsidP="006F4400">
      <w:pPr>
        <w:pStyle w:val="Lastbullet"/>
      </w:pPr>
      <w:proofErr w:type="gramStart"/>
      <w:r w:rsidRPr="00AB3713">
        <w:lastRenderedPageBreak/>
        <w:t>minimised</w:t>
      </w:r>
      <w:proofErr w:type="gramEnd"/>
      <w:r w:rsidRPr="00AB3713">
        <w:t xml:space="preserve"> impacts on vegetation through progressive rehabilitation of areas not required for operations.</w:t>
      </w:r>
    </w:p>
    <w:p w:rsidR="001E603E" w:rsidRPr="003832DF" w:rsidRDefault="001E603E" w:rsidP="001E603E">
      <w:pPr>
        <w:pStyle w:val="Body"/>
      </w:pPr>
      <w:r>
        <w:t xml:space="preserve">Officers of the </w:t>
      </w:r>
      <w:r w:rsidRPr="003832DF">
        <w:t xml:space="preserve">OEPA attended a site visit </w:t>
      </w:r>
      <w:r>
        <w:t xml:space="preserve">in February 2015 of the Flinders Pilbara Iron Ore </w:t>
      </w:r>
      <w:proofErr w:type="spellStart"/>
      <w:r>
        <w:t>Minesite</w:t>
      </w:r>
      <w:proofErr w:type="spellEnd"/>
      <w:r>
        <w:t xml:space="preserve">, the </w:t>
      </w:r>
      <w:proofErr w:type="spellStart"/>
      <w:r>
        <w:t>Balla</w:t>
      </w:r>
      <w:proofErr w:type="spellEnd"/>
      <w:r>
        <w:t xml:space="preserve"> </w:t>
      </w:r>
      <w:proofErr w:type="spellStart"/>
      <w:r>
        <w:t>Balla</w:t>
      </w:r>
      <w:proofErr w:type="spellEnd"/>
      <w:r>
        <w:t xml:space="preserve"> Infrastructure Rail and Conveyor proposal alignment, the </w:t>
      </w:r>
      <w:proofErr w:type="spellStart"/>
      <w:r>
        <w:t>Balla</w:t>
      </w:r>
      <w:proofErr w:type="spellEnd"/>
      <w:r>
        <w:t xml:space="preserve"> </w:t>
      </w:r>
      <w:proofErr w:type="spellStart"/>
      <w:r>
        <w:t>Balla</w:t>
      </w:r>
      <w:proofErr w:type="spellEnd"/>
      <w:r>
        <w:t xml:space="preserve"> </w:t>
      </w:r>
      <w:r w:rsidRPr="00731E0B">
        <w:rPr>
          <w:rFonts w:cs="Arial"/>
        </w:rPr>
        <w:t>Magnetite Mining Project</w:t>
      </w:r>
      <w:r>
        <w:rPr>
          <w:rFonts w:cs="Arial"/>
        </w:rPr>
        <w:t xml:space="preserve"> and the </w:t>
      </w:r>
      <w:proofErr w:type="spellStart"/>
      <w:r>
        <w:rPr>
          <w:rFonts w:cs="Arial"/>
        </w:rPr>
        <w:t>Balla</w:t>
      </w:r>
      <w:proofErr w:type="spellEnd"/>
      <w:r>
        <w:rPr>
          <w:rFonts w:cs="Arial"/>
        </w:rPr>
        <w:t xml:space="preserve"> </w:t>
      </w:r>
      <w:proofErr w:type="spellStart"/>
      <w:r>
        <w:rPr>
          <w:rFonts w:cs="Arial"/>
        </w:rPr>
        <w:t>Balla</w:t>
      </w:r>
      <w:proofErr w:type="spellEnd"/>
      <w:r>
        <w:rPr>
          <w:rFonts w:cs="Arial"/>
        </w:rPr>
        <w:t xml:space="preserve"> Export Facilities. The site visit provided valuable context of the proposal and environment and how it links with the previously approved proposals.</w:t>
      </w:r>
    </w:p>
    <w:p w:rsidR="001E603E" w:rsidRPr="00A34B65" w:rsidRDefault="001E603E" w:rsidP="001E603E">
      <w:pPr>
        <w:pStyle w:val="Body"/>
      </w:pPr>
      <w:r w:rsidRPr="00A34B65">
        <w:t xml:space="preserve">The EPA recommended that the proposal could be implemented to meet its objectives subject to a set of conditions. The proponent will be required to: </w:t>
      </w:r>
    </w:p>
    <w:p w:rsidR="001E603E" w:rsidRPr="00BA3B76" w:rsidRDefault="001E603E" w:rsidP="00067EE9">
      <w:pPr>
        <w:pStyle w:val="ListParagraph"/>
      </w:pPr>
      <w:r w:rsidRPr="00A34B65">
        <w:t>p</w:t>
      </w:r>
      <w:r w:rsidRPr="00BA3B76">
        <w:t>repare a Terrestrial Flora and Vegetation Management Plan, detailing actions to minimise impacts from fire, weeds and changes to surface water flows;</w:t>
      </w:r>
    </w:p>
    <w:p w:rsidR="001E603E" w:rsidRPr="00BA3B76" w:rsidRDefault="001E603E" w:rsidP="00067EE9">
      <w:pPr>
        <w:pStyle w:val="ListParagraph"/>
      </w:pPr>
      <w:r w:rsidRPr="00A34B65">
        <w:t>p</w:t>
      </w:r>
      <w:r w:rsidRPr="00BA3B76">
        <w:t>repare a Conservation Significant Fauna Management Plan, ensuring construction and operation activities minimise impacts to fauna, in particular the Northern Quoll, Bilby and Pilbara Olive Python; and</w:t>
      </w:r>
    </w:p>
    <w:p w:rsidR="001E603E" w:rsidRPr="00BA3B76" w:rsidRDefault="001E603E" w:rsidP="006F4400">
      <w:pPr>
        <w:pStyle w:val="Lastbullet"/>
      </w:pPr>
      <w:proofErr w:type="gramStart"/>
      <w:r w:rsidRPr="00A34B65">
        <w:t>e</w:t>
      </w:r>
      <w:r w:rsidRPr="00BA3B76">
        <w:t>nsure</w:t>
      </w:r>
      <w:proofErr w:type="gramEnd"/>
      <w:r w:rsidRPr="00BA3B76">
        <w:t xml:space="preserve"> qualified fauna-rescue personnel clear open trenches of trapped fauna at least twice daily. </w:t>
      </w:r>
    </w:p>
    <w:p w:rsidR="001E603E" w:rsidRPr="00A34B65" w:rsidRDefault="001E603E" w:rsidP="001E603E">
      <w:pPr>
        <w:pStyle w:val="Body"/>
        <w:rPr>
          <w:lang w:eastAsia="en-AU"/>
        </w:rPr>
      </w:pPr>
      <w:r w:rsidRPr="00BA3B76">
        <w:rPr>
          <w:lang w:eastAsia="en-AU"/>
        </w:rPr>
        <w:t>The EPA also recommended the proponent rehabilitate disturbed areas using locally native flora species a</w:t>
      </w:r>
      <w:r w:rsidRPr="00A34B65">
        <w:rPr>
          <w:lang w:eastAsia="en-AU"/>
        </w:rPr>
        <w:t>nd</w:t>
      </w:r>
      <w:r w:rsidRPr="00BA3B76">
        <w:rPr>
          <w:lang w:eastAsia="en-AU"/>
        </w:rPr>
        <w:t xml:space="preserve"> contribute to a government-established conservation offset fund to mitigate for significant residual impacts on vegetation in ‘good to excellent’ condition</w:t>
      </w:r>
      <w:r w:rsidRPr="00A34B65">
        <w:rPr>
          <w:lang w:eastAsia="en-AU"/>
        </w:rPr>
        <w:t>.</w:t>
      </w:r>
    </w:p>
    <w:p w:rsidR="001E603E" w:rsidRDefault="001E603E" w:rsidP="001E603E">
      <w:pPr>
        <w:pStyle w:val="Body"/>
        <w:rPr>
          <w:szCs w:val="24"/>
        </w:rPr>
      </w:pPr>
      <w:r>
        <w:t xml:space="preserve">The application of EAG 14 saw the assessment of the proposal completed in three months from the date of receiving the referral from the proponent. </w:t>
      </w:r>
      <w:r w:rsidRPr="003832DF">
        <w:t>The EPA released its report and recommendations in March 2015</w:t>
      </w:r>
      <w:r>
        <w:t xml:space="preserve"> and the Ministerial Statement was issued by the Minister for Environment in June 2015, an overall period of six months from the proponent’s referral to final approval. </w:t>
      </w:r>
      <w:r>
        <w:rPr>
          <w:szCs w:val="24"/>
        </w:rPr>
        <w:t xml:space="preserve"> </w:t>
      </w:r>
    </w:p>
    <w:p w:rsidR="001E603E" w:rsidRDefault="001E603E" w:rsidP="001E603E">
      <w:pPr>
        <w:pStyle w:val="Body"/>
        <w:rPr>
          <w:szCs w:val="24"/>
        </w:rPr>
      </w:pPr>
      <w:r>
        <w:rPr>
          <w:szCs w:val="24"/>
        </w:rPr>
        <w:t>Feedback from the proponent on their experience of the OEPA’s service throughout the EIA process was that:</w:t>
      </w:r>
    </w:p>
    <w:p w:rsidR="001E603E" w:rsidRDefault="001E603E" w:rsidP="00067EE9">
      <w:pPr>
        <w:pStyle w:val="ListParagraph"/>
      </w:pPr>
      <w:r>
        <w:t>application of the risk-based focus was an efficient use of their resources, as they could target studies towards the factors that were of most importance to the proposal, resulting in high-quality scientific data;</w:t>
      </w:r>
    </w:p>
    <w:p w:rsidR="001E603E" w:rsidRDefault="001E603E" w:rsidP="00067EE9">
      <w:pPr>
        <w:pStyle w:val="ListParagraph"/>
      </w:pPr>
      <w:r>
        <w:t>the OEPA performed tasks in a timely manner and worked with the proponent to meet or reduce timeframes wherever possible;</w:t>
      </w:r>
    </w:p>
    <w:p w:rsidR="001E603E" w:rsidRDefault="001E603E" w:rsidP="00067EE9">
      <w:pPr>
        <w:pStyle w:val="ListParagraph"/>
      </w:pPr>
      <w:r>
        <w:t xml:space="preserve">the EPA’s guidance material was useful in highlighting information required for the assessment process; </w:t>
      </w:r>
    </w:p>
    <w:p w:rsidR="001E603E" w:rsidRDefault="001E603E" w:rsidP="00067EE9">
      <w:pPr>
        <w:pStyle w:val="ListParagraph"/>
      </w:pPr>
      <w:r>
        <w:t>the proponent was impressed with the OEPA’s assistance, willingness to provide advice, and continuous interactions throughout; and</w:t>
      </w:r>
    </w:p>
    <w:p w:rsidR="001E603E" w:rsidRPr="00C02B70" w:rsidRDefault="001E603E" w:rsidP="006F4400">
      <w:pPr>
        <w:pStyle w:val="Lastbullet"/>
      </w:pPr>
      <w:proofErr w:type="gramStart"/>
      <w:r>
        <w:lastRenderedPageBreak/>
        <w:t>the</w:t>
      </w:r>
      <w:proofErr w:type="gramEnd"/>
      <w:r>
        <w:t xml:space="preserve"> professionalism and experience of the OEPA staff allowed the proposal to progress through the assessment process with no issues.</w:t>
      </w:r>
    </w:p>
    <w:p w:rsidR="001E603E" w:rsidRPr="009547DF" w:rsidRDefault="001E603E" w:rsidP="00595ED7">
      <w:pPr>
        <w:pStyle w:val="Heading1"/>
      </w:pPr>
      <w:bookmarkStart w:id="43" w:name="_Toc428279167"/>
      <w:r w:rsidRPr="009547DF">
        <w:t>Environmental impact assessment of planning schemes and scheme amendments</w:t>
      </w:r>
      <w:bookmarkEnd w:id="43"/>
    </w:p>
    <w:p w:rsidR="001E603E" w:rsidRPr="00502B4B" w:rsidRDefault="001E603E" w:rsidP="001E603E">
      <w:pPr>
        <w:pStyle w:val="Body"/>
      </w:pPr>
      <w:r>
        <w:t xml:space="preserve">Under the </w:t>
      </w:r>
      <w:r>
        <w:rPr>
          <w:i/>
        </w:rPr>
        <w:t>Planning and Development Act 2005</w:t>
      </w:r>
      <w:r>
        <w:t>, all schemes and scheme amendments must be referred to the EPA for consideration. The EPA is then required to determine whether or not each scheme or scheme amendment requires formal environmental impact assessment under Part IV of the EP Act</w:t>
      </w:r>
      <w:r>
        <w:rPr>
          <w:i/>
        </w:rPr>
        <w:t xml:space="preserve"> </w:t>
      </w:r>
      <w:r>
        <w:t>or, in rare cases, is environmentally unacceptable.</w:t>
      </w:r>
    </w:p>
    <w:p w:rsidR="001E603E" w:rsidRDefault="001E603E" w:rsidP="001E603E">
      <w:pPr>
        <w:pStyle w:val="Body"/>
      </w:pPr>
      <w:r>
        <w:t>I</w:t>
      </w:r>
      <w:r w:rsidRPr="00502B4B">
        <w:t>n 2014-15</w:t>
      </w:r>
      <w:r>
        <w:t>, t</w:t>
      </w:r>
      <w:r w:rsidRPr="00502B4B">
        <w:t xml:space="preserve">he EPA considered </w:t>
      </w:r>
      <w:r w:rsidR="00ED2188">
        <w:t>259</w:t>
      </w:r>
      <w:r w:rsidRPr="00502B4B">
        <w:t xml:space="preserve"> schemes and </w:t>
      </w:r>
      <w:r>
        <w:t xml:space="preserve">scheme </w:t>
      </w:r>
      <w:r w:rsidRPr="00502B4B">
        <w:t xml:space="preserve">amendments. The EPA </w:t>
      </w:r>
      <w:r>
        <w:t>determined that none of these</w:t>
      </w:r>
      <w:r w:rsidRPr="00502B4B">
        <w:t xml:space="preserve"> raised environmental issues </w:t>
      </w:r>
      <w:r>
        <w:t xml:space="preserve">that could not be managed through planning and other regulatory processes, and that formal environmental impact assessment was not required. The EPA did, </w:t>
      </w:r>
      <w:r w:rsidRPr="00502B4B">
        <w:t>however</w:t>
      </w:r>
      <w:r>
        <w:t xml:space="preserve">, </w:t>
      </w:r>
      <w:r w:rsidRPr="00502B4B">
        <w:t>provide</w:t>
      </w:r>
      <w:r>
        <w:t xml:space="preserve"> </w:t>
      </w:r>
      <w:r w:rsidRPr="00502B4B">
        <w:t xml:space="preserve">environmental advice, to be implemented through the planning process, </w:t>
      </w:r>
      <w:r>
        <w:t xml:space="preserve">for </w:t>
      </w:r>
      <w:r w:rsidR="00D870B3">
        <w:t>44</w:t>
      </w:r>
      <w:r w:rsidRPr="00502B4B">
        <w:t xml:space="preserve"> of the </w:t>
      </w:r>
      <w:r>
        <w:t>schemes and scheme amendments. This advice helps responsible authorities and other stakeholders ensure that environmental impacts are avoided.</w:t>
      </w:r>
    </w:p>
    <w:p w:rsidR="001E603E" w:rsidRDefault="001E603E" w:rsidP="001E603E">
      <w:pPr>
        <w:pStyle w:val="Body"/>
      </w:pPr>
      <w:r>
        <w:t>In addition to assisting the EPA with these statutory tasks during 2014-15, the OEPA also worked on improving referral and processing systems relating to schemes and scheme amendments.</w:t>
      </w:r>
    </w:p>
    <w:p w:rsidR="001E603E" w:rsidRDefault="001E603E" w:rsidP="001E603E">
      <w:pPr>
        <w:pStyle w:val="Body"/>
      </w:pPr>
      <w:r>
        <w:t xml:space="preserve">A new referral form was developed and released for use by responsible authorities. The streamlining procedures for dealing with scheme amendments that pose little environmental risk were also implemented across the entire State. These low-impact schemes and scheme amendments are fast-tracked through the EPA process, taking on average </w:t>
      </w:r>
      <w:r w:rsidR="00A30A11">
        <w:t>13 days</w:t>
      </w:r>
      <w:r>
        <w:t xml:space="preserve"> to process compared to </w:t>
      </w:r>
      <w:r w:rsidR="00A30A11">
        <w:t>22 days</w:t>
      </w:r>
      <w:r>
        <w:t xml:space="preserve"> </w:t>
      </w:r>
      <w:r w:rsidR="00A30A11">
        <w:t>for non-streamlined referrals.</w:t>
      </w:r>
    </w:p>
    <w:p w:rsidR="001E603E" w:rsidRDefault="001E603E" w:rsidP="001E603E">
      <w:pPr>
        <w:pStyle w:val="Body"/>
      </w:pPr>
      <w:r>
        <w:t xml:space="preserve">The OEPA also worked with the Department of Planning during 2014–15 on </w:t>
      </w:r>
      <w:r>
        <w:rPr>
          <w:i/>
        </w:rPr>
        <w:t xml:space="preserve">Planning Makes it Happen </w:t>
      </w:r>
      <w:r>
        <w:t xml:space="preserve">reforms to amend the </w:t>
      </w:r>
      <w:r>
        <w:rPr>
          <w:i/>
        </w:rPr>
        <w:t>Planning and Development Act 2005</w:t>
      </w:r>
      <w:r>
        <w:t xml:space="preserve"> and the EP Act so that only schemes and scheme amendments not exempted by regulations made under the EP Act will require referral to the EPA. The </w:t>
      </w:r>
      <w:r w:rsidRPr="004220D2">
        <w:t>proposed</w:t>
      </w:r>
      <w:r>
        <w:t xml:space="preserve"> regulations will exempt schemes and scheme amendments that present little environmental risk. It is anticipated that the legislative amendments will be introduced into Parliament during 2015–16.</w:t>
      </w:r>
    </w:p>
    <w:p w:rsidR="001E603E" w:rsidRPr="00541EB2" w:rsidRDefault="001E603E" w:rsidP="00595ED7">
      <w:pPr>
        <w:pStyle w:val="Heading1"/>
      </w:pPr>
      <w:bookmarkStart w:id="44" w:name="_Toc428279168"/>
      <w:r w:rsidRPr="00541EB2">
        <w:t>Post assessment</w:t>
      </w:r>
      <w:bookmarkEnd w:id="44"/>
    </w:p>
    <w:p w:rsidR="001E603E" w:rsidRPr="0029299A" w:rsidRDefault="001E603E" w:rsidP="001E603E">
      <w:pPr>
        <w:pStyle w:val="Body"/>
      </w:pPr>
      <w:r w:rsidRPr="0029299A">
        <w:t xml:space="preserve">The </w:t>
      </w:r>
      <w:r>
        <w:t xml:space="preserve">OEPA </w:t>
      </w:r>
      <w:r w:rsidRPr="0029299A">
        <w:t xml:space="preserve">provides </w:t>
      </w:r>
      <w:r>
        <w:t>post assessment s</w:t>
      </w:r>
      <w:r w:rsidRPr="00F75EA0">
        <w:t>upport</w:t>
      </w:r>
      <w:r w:rsidRPr="0029299A">
        <w:t xml:space="preserve"> to the EPA under Part IV of the</w:t>
      </w:r>
      <w:r w:rsidRPr="00422FDD">
        <w:t xml:space="preserve"> EP Act </w:t>
      </w:r>
      <w:r w:rsidRPr="0029299A">
        <w:t xml:space="preserve">for: </w:t>
      </w:r>
    </w:p>
    <w:p w:rsidR="001E603E" w:rsidRPr="00E64720" w:rsidRDefault="001E603E" w:rsidP="00067EE9">
      <w:pPr>
        <w:pStyle w:val="ListParagraph"/>
      </w:pPr>
      <w:r>
        <w:t>c</w:t>
      </w:r>
      <w:r w:rsidRPr="00E64720">
        <w:t>hanges to proposal</w:t>
      </w:r>
      <w:r>
        <w:t>s after assessment (s</w:t>
      </w:r>
      <w:r w:rsidRPr="00E64720">
        <w:t>ection 45C)</w:t>
      </w:r>
    </w:p>
    <w:p w:rsidR="001E603E" w:rsidRPr="00E64720" w:rsidRDefault="001E603E" w:rsidP="00067EE9">
      <w:pPr>
        <w:pStyle w:val="ListParagraph"/>
      </w:pPr>
      <w:r>
        <w:t>a</w:t>
      </w:r>
      <w:r w:rsidRPr="00E64720">
        <w:t>mendment of implementation conditions by inquiry (</w:t>
      </w:r>
      <w:r>
        <w:t>s</w:t>
      </w:r>
      <w:r w:rsidRPr="00E64720">
        <w:t>ection 46)</w:t>
      </w:r>
    </w:p>
    <w:p w:rsidR="001E603E" w:rsidRPr="00E64720" w:rsidRDefault="001E603E" w:rsidP="00067EE9">
      <w:pPr>
        <w:pStyle w:val="ListParagraph"/>
      </w:pPr>
      <w:r>
        <w:lastRenderedPageBreak/>
        <w:t>m</w:t>
      </w:r>
      <w:r w:rsidRPr="00E64720">
        <w:t>inor changes to implementation conditions (</w:t>
      </w:r>
      <w:r>
        <w:t>section 46C)</w:t>
      </w:r>
    </w:p>
    <w:p w:rsidR="001E603E" w:rsidRPr="00E64720" w:rsidRDefault="001E603E" w:rsidP="00067EE9">
      <w:pPr>
        <w:pStyle w:val="ListParagraph"/>
      </w:pPr>
      <w:r>
        <w:t>review and approval</w:t>
      </w:r>
      <w:r w:rsidRPr="00E64720">
        <w:t xml:space="preserve"> of</w:t>
      </w:r>
      <w:r>
        <w:t xml:space="preserve"> Environmental Management Plans</w:t>
      </w:r>
    </w:p>
    <w:p w:rsidR="001E603E" w:rsidRDefault="001E603E" w:rsidP="006F4400">
      <w:pPr>
        <w:pStyle w:val="Lastbullet"/>
      </w:pPr>
      <w:proofErr w:type="gramStart"/>
      <w:r>
        <w:t>c</w:t>
      </w:r>
      <w:r w:rsidRPr="00E64720">
        <w:t>hange</w:t>
      </w:r>
      <w:proofErr w:type="gramEnd"/>
      <w:r w:rsidRPr="00E64720">
        <w:t xml:space="preserve"> of Nominated Proponent (</w:t>
      </w:r>
      <w:r>
        <w:t>s</w:t>
      </w:r>
      <w:r w:rsidRPr="00E64720">
        <w:t>ection</w:t>
      </w:r>
      <w:r>
        <w:t>s</w:t>
      </w:r>
      <w:r w:rsidRPr="00E64720">
        <w:t xml:space="preserve"> 38(6) and 38(7)).</w:t>
      </w:r>
    </w:p>
    <w:p w:rsidR="001E603E" w:rsidRPr="00607F96" w:rsidRDefault="001E603E" w:rsidP="00595ED7">
      <w:pPr>
        <w:pStyle w:val="Heading2"/>
        <w:rPr>
          <w:lang w:val="en-US"/>
        </w:rPr>
      </w:pPr>
      <w:bookmarkStart w:id="45" w:name="_Toc428279169"/>
      <w:r w:rsidRPr="00607F96">
        <w:rPr>
          <w:lang w:val="en-US"/>
        </w:rPr>
        <w:t xml:space="preserve">Changes to proposals </w:t>
      </w:r>
      <w:r w:rsidR="00A14656">
        <w:rPr>
          <w:lang w:val="en-US"/>
        </w:rPr>
        <w:t>–</w:t>
      </w:r>
      <w:r w:rsidRPr="00607F96">
        <w:rPr>
          <w:lang w:val="en-US"/>
        </w:rPr>
        <w:t xml:space="preserve"> Section 45C</w:t>
      </w:r>
      <w:bookmarkEnd w:id="45"/>
    </w:p>
    <w:p w:rsidR="001E603E" w:rsidRDefault="001E603E" w:rsidP="001E603E">
      <w:pPr>
        <w:pStyle w:val="Body"/>
      </w:pPr>
      <w:r w:rsidRPr="006D6471">
        <w:t xml:space="preserve">Changes to proposals may be approved by the </w:t>
      </w:r>
      <w:r>
        <w:t xml:space="preserve">EPA </w:t>
      </w:r>
      <w:r w:rsidRPr="006D6471">
        <w:t>Chairman (</w:t>
      </w:r>
      <w:r>
        <w:t>as</w:t>
      </w:r>
      <w:r w:rsidRPr="006D6471">
        <w:t xml:space="preserve"> the Minister</w:t>
      </w:r>
      <w:r>
        <w:t xml:space="preserve"> for Environment</w:t>
      </w:r>
      <w:r w:rsidRPr="006D6471">
        <w:t xml:space="preserve">’s delegate) under s45C of </w:t>
      </w:r>
      <w:r w:rsidRPr="0050047A">
        <w:t>the EP Act.</w:t>
      </w:r>
      <w:r w:rsidRPr="006D6471">
        <w:t xml:space="preserve"> Changes to proposals may not be approved if it is considered they might have a significant detrimental effect on the environment in addition to, or different from, the original proposal.</w:t>
      </w:r>
      <w:r>
        <w:t xml:space="preserve"> There were </w:t>
      </w:r>
      <w:r w:rsidRPr="00A14656">
        <w:t>3</w:t>
      </w:r>
      <w:r w:rsidR="006A2E14">
        <w:t>2</w:t>
      </w:r>
      <w:r>
        <w:t xml:space="preserve"> changes to proposals approved under s45C during the year.</w:t>
      </w:r>
    </w:p>
    <w:p w:rsidR="001E603E" w:rsidRPr="00607F96" w:rsidRDefault="001E603E" w:rsidP="00595ED7">
      <w:pPr>
        <w:pStyle w:val="Heading2"/>
      </w:pPr>
      <w:bookmarkStart w:id="46" w:name="_Toc428279170"/>
      <w:r w:rsidRPr="00607F96">
        <w:t xml:space="preserve">Amendment of implementation conditions </w:t>
      </w:r>
      <w:r w:rsidR="00A14656">
        <w:t>–</w:t>
      </w:r>
      <w:r w:rsidRPr="00607F96">
        <w:t xml:space="preserve"> Section 46</w:t>
      </w:r>
      <w:bookmarkEnd w:id="46"/>
    </w:p>
    <w:p w:rsidR="001E603E" w:rsidRDefault="001E603E" w:rsidP="001E603E">
      <w:pPr>
        <w:pStyle w:val="Body"/>
      </w:pPr>
      <w:r w:rsidRPr="006D6471">
        <w:t xml:space="preserve">Under s46 of the EP Act the Minister may request the EPA to inquire into and report on the matter of changing implementation conditions relating to proposals. </w:t>
      </w:r>
      <w:r w:rsidR="009D08F2" w:rsidRPr="009D08F2">
        <w:t>Four</w:t>
      </w:r>
      <w:r w:rsidRPr="009D08F2">
        <w:t>teen</w:t>
      </w:r>
      <w:r>
        <w:t xml:space="preserve"> s46 reports were transmitted to the Minister in 2014–15. The most common reason for a requested change to conditions during the year was to extend the </w:t>
      </w:r>
      <w:r w:rsidRPr="0050047A">
        <w:t>Time Limit for Proposal Implementation</w:t>
      </w:r>
      <w:r w:rsidRPr="004952B6">
        <w:t xml:space="preserve"> </w:t>
      </w:r>
      <w:r>
        <w:t>for up to</w:t>
      </w:r>
      <w:r w:rsidRPr="004952B6">
        <w:t xml:space="preserve"> </w:t>
      </w:r>
      <w:r>
        <w:t>five</w:t>
      </w:r>
      <w:r w:rsidRPr="004952B6">
        <w:t xml:space="preserve"> years for commencement of proposals</w:t>
      </w:r>
      <w:r>
        <w:t xml:space="preserve">. </w:t>
      </w:r>
    </w:p>
    <w:p w:rsidR="001E603E" w:rsidRDefault="001E603E" w:rsidP="001E603E">
      <w:pPr>
        <w:pStyle w:val="Body"/>
      </w:pPr>
      <w:r>
        <w:t>An increasing number of proponents are seeking to consolidate implementation</w:t>
      </w:r>
      <w:r w:rsidRPr="007A346F">
        <w:t xml:space="preserve"> conditions </w:t>
      </w:r>
      <w:r>
        <w:t>across a number of Ministerial Statements. The consolidated conditions provide a basis for reducing duplication, contemporising conditions and streamlining reporting and compliance.</w:t>
      </w:r>
    </w:p>
    <w:p w:rsidR="001E603E" w:rsidRPr="00485E82" w:rsidRDefault="001E603E" w:rsidP="00595ED7">
      <w:pPr>
        <w:pStyle w:val="Heading2"/>
      </w:pPr>
      <w:bookmarkStart w:id="47" w:name="_Toc428279171"/>
      <w:r w:rsidRPr="00485E82">
        <w:t>Minor changes to Implementation Conditions – Section 46C</w:t>
      </w:r>
      <w:bookmarkEnd w:id="47"/>
    </w:p>
    <w:p w:rsidR="001E603E" w:rsidRDefault="001E603E" w:rsidP="001E603E">
      <w:pPr>
        <w:pStyle w:val="Body"/>
      </w:pPr>
      <w:r w:rsidRPr="00971B09">
        <w:t xml:space="preserve">The Minister may change the implementation conditions </w:t>
      </w:r>
      <w:r>
        <w:t>if the Minister considers the changes are of a minor nature and necessary or desirable</w:t>
      </w:r>
      <w:r w:rsidRPr="00830B01">
        <w:t xml:space="preserve"> in order to standardise conditions relating to different proposals.</w:t>
      </w:r>
    </w:p>
    <w:p w:rsidR="00D255DC" w:rsidRDefault="00D255DC" w:rsidP="001E603E">
      <w:pPr>
        <w:pStyle w:val="Body"/>
      </w:pPr>
      <w:r>
        <w:t>There has been a small but increasing number of section 46C changes as newer, contemporary conditions, are applied to older Statements.</w:t>
      </w:r>
    </w:p>
    <w:p w:rsidR="00D255DC" w:rsidRDefault="00A92FFE" w:rsidP="00595ED7">
      <w:pPr>
        <w:pStyle w:val="Body"/>
      </w:pPr>
      <w:r>
        <w:rPr>
          <w:noProof/>
          <w:lang w:eastAsia="en-AU"/>
        </w:rPr>
        <w:lastRenderedPageBreak/>
        <w:drawing>
          <wp:anchor distT="0" distB="0" distL="114300" distR="114300" simplePos="0" relativeHeight="251703296" behindDoc="0" locked="0" layoutInCell="1" allowOverlap="1" wp14:anchorId="2352BE5C" wp14:editId="385D95EE">
            <wp:simplePos x="0" y="0"/>
            <wp:positionH relativeFrom="column">
              <wp:posOffset>2738120</wp:posOffset>
            </wp:positionH>
            <wp:positionV relativeFrom="paragraph">
              <wp:posOffset>4000500</wp:posOffset>
            </wp:positionV>
            <wp:extent cx="3060065" cy="4381500"/>
            <wp:effectExtent l="0" t="0" r="6985" b="0"/>
            <wp:wrapTopAndBottom/>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703_OEPA_Annual_Report_Maps_2014_2015_Map_3_45c_400dpi.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060065" cy="4381500"/>
                    </a:xfrm>
                    <a:prstGeom prst="rect">
                      <a:avLst/>
                    </a:prstGeom>
                  </pic:spPr>
                </pic:pic>
              </a:graphicData>
            </a:graphic>
            <wp14:sizeRelH relativeFrom="page">
              <wp14:pctWidth>0</wp14:pctWidth>
            </wp14:sizeRelH>
            <wp14:sizeRelV relativeFrom="page">
              <wp14:pctHeight>0</wp14:pctHeight>
            </wp14:sizeRelV>
          </wp:anchor>
        </w:drawing>
      </w:r>
      <w:r>
        <w:rPr>
          <w:noProof/>
          <w:lang w:eastAsia="en-AU"/>
        </w:rPr>
        <w:drawing>
          <wp:anchor distT="0" distB="0" distL="114300" distR="114300" simplePos="0" relativeHeight="251702272" behindDoc="0" locked="0" layoutInCell="1" allowOverlap="1" wp14:anchorId="794DA260" wp14:editId="325B31B0">
            <wp:simplePos x="0" y="0"/>
            <wp:positionH relativeFrom="column">
              <wp:posOffset>247650</wp:posOffset>
            </wp:positionH>
            <wp:positionV relativeFrom="paragraph">
              <wp:posOffset>123825</wp:posOffset>
            </wp:positionV>
            <wp:extent cx="2914650" cy="4305935"/>
            <wp:effectExtent l="0" t="0" r="0" b="0"/>
            <wp:wrapTopAndBottom/>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50703_OEPA_Annual_Report_Maps_2014_2015_Map_2_s46_400dpi (2).jp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2914650" cy="4305935"/>
                    </a:xfrm>
                    <a:prstGeom prst="rect">
                      <a:avLst/>
                    </a:prstGeom>
                  </pic:spPr>
                </pic:pic>
              </a:graphicData>
            </a:graphic>
            <wp14:sizeRelH relativeFrom="page">
              <wp14:pctWidth>0</wp14:pctWidth>
            </wp14:sizeRelH>
            <wp14:sizeRelV relativeFrom="page">
              <wp14:pctHeight>0</wp14:pctHeight>
            </wp14:sizeRelV>
          </wp:anchor>
        </w:drawing>
      </w:r>
      <w:r>
        <w:rPr>
          <w:noProof/>
          <w:lang w:eastAsia="en-AU"/>
        </w:rPr>
        <mc:AlternateContent>
          <mc:Choice Requires="wps">
            <w:drawing>
              <wp:anchor distT="0" distB="0" distL="114300" distR="114300" simplePos="0" relativeHeight="251704320" behindDoc="0" locked="0" layoutInCell="1" allowOverlap="1" wp14:anchorId="6F8E0DAB" wp14:editId="37AF4611">
                <wp:simplePos x="0" y="0"/>
                <wp:positionH relativeFrom="column">
                  <wp:posOffset>3276600</wp:posOffset>
                </wp:positionH>
                <wp:positionV relativeFrom="paragraph">
                  <wp:posOffset>1532890</wp:posOffset>
                </wp:positionV>
                <wp:extent cx="2628900" cy="752475"/>
                <wp:effectExtent l="0" t="0" r="0" b="9525"/>
                <wp:wrapNone/>
                <wp:docPr id="45" name="Text Box 45"/>
                <wp:cNvGraphicFramePr/>
                <a:graphic xmlns:a="http://schemas.openxmlformats.org/drawingml/2006/main">
                  <a:graphicData uri="http://schemas.microsoft.com/office/word/2010/wordprocessingShape">
                    <wps:wsp>
                      <wps:cNvSpPr txBox="1"/>
                      <wps:spPr>
                        <a:xfrm>
                          <a:off x="0" y="0"/>
                          <a:ext cx="2628900" cy="752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621C6" w:rsidRDefault="00E621C6" w:rsidP="00981BE9">
                            <w:pPr>
                              <w:pStyle w:val="Figures"/>
                            </w:pPr>
                            <w:r>
                              <w:t>Figure 6: Location of proposals subject to section 45C changes to proposals during 2014–15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5" o:spid="_x0000_s1031" type="#_x0000_t202" style="position:absolute;left:0;text-align:left;margin-left:258pt;margin-top:120.7pt;width:207pt;height:59.2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" fillcolor="white [3201]" stroked="f" strokeweight=".5pt">
                <v:textbox>
                  <w:txbxContent>
                    <w:p w:rsidR="00E621C6" w:rsidRDefault="00E621C6" w:rsidP="00981BE9">
                      <w:pPr>
                        <w:pStyle w:val="Figures"/>
                      </w:pPr>
                      <w:r>
                        <w:t>Figure 6: Location of proposals subject to section 45C changes to proposals during 2014–15</w:t>
                      </w:r>
                    </w:p>
                  </w:txbxContent>
                </v:textbox>
              </v:shape>
            </w:pict>
          </mc:Fallback>
        </mc:AlternateContent>
      </w:r>
      <w:r w:rsidR="00D255DC">
        <w:rPr>
          <w:noProof/>
          <w:lang w:eastAsia="en-AU"/>
        </w:rPr>
        <mc:AlternateContent>
          <mc:Choice Requires="wps">
            <w:drawing>
              <wp:anchor distT="0" distB="0" distL="114300" distR="114300" simplePos="0" relativeHeight="251706368" behindDoc="0" locked="0" layoutInCell="1" allowOverlap="1" wp14:anchorId="5A1FD80F" wp14:editId="12B0A825">
                <wp:simplePos x="0" y="0"/>
                <wp:positionH relativeFrom="column">
                  <wp:posOffset>106680</wp:posOffset>
                </wp:positionH>
                <wp:positionV relativeFrom="paragraph">
                  <wp:posOffset>6621145</wp:posOffset>
                </wp:positionV>
                <wp:extent cx="2628900" cy="752475"/>
                <wp:effectExtent l="0" t="0" r="0" b="9525"/>
                <wp:wrapNone/>
                <wp:docPr id="46" name="Text Box 46"/>
                <wp:cNvGraphicFramePr/>
                <a:graphic xmlns:a="http://schemas.openxmlformats.org/drawingml/2006/main">
                  <a:graphicData uri="http://schemas.microsoft.com/office/word/2010/wordprocessingShape">
                    <wps:wsp>
                      <wps:cNvSpPr txBox="1"/>
                      <wps:spPr>
                        <a:xfrm>
                          <a:off x="0" y="0"/>
                          <a:ext cx="2628900" cy="7524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621C6" w:rsidRDefault="00E621C6" w:rsidP="00981BE9">
                            <w:pPr>
                              <w:pStyle w:val="Figures"/>
                            </w:pPr>
                            <w:r>
                              <w:t>Figure 7: Location of proposals subject to section 46 changes to implementation conditions during 2014–15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46" o:spid="_x0000_s1032" type="#_x0000_t202" style="position:absolute;left:0;text-align:left;margin-left:8.4pt;margin-top:521.35pt;width:207pt;height:59.25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" fillcolor="white [3201]" stroked="f" strokeweight=".5pt">
                <v:textbox>
                  <w:txbxContent>
                    <w:p w:rsidR="00E621C6" w:rsidRDefault="00E621C6" w:rsidP="00981BE9">
                      <w:pPr>
                        <w:pStyle w:val="Figures"/>
                      </w:pPr>
                      <w:r>
                        <w:t>Figure 7: Location of proposals subject to section 46 changes to implementation conditions during 2014–15</w:t>
                      </w:r>
                    </w:p>
                  </w:txbxContent>
                </v:textbox>
              </v:shape>
            </w:pict>
          </mc:Fallback>
        </mc:AlternateContent>
      </w:r>
    </w:p>
    <w:p w:rsidR="00D255DC" w:rsidRDefault="00D255DC" w:rsidP="00595ED7">
      <w:pPr>
        <w:pStyle w:val="Body"/>
      </w:pPr>
    </w:p>
    <w:p w:rsidR="002D0C18" w:rsidRDefault="00C75C57" w:rsidP="00A92FFE">
      <w:pPr>
        <w:pStyle w:val="Heading1"/>
        <w:rPr>
          <w:noProof/>
          <w:lang w:eastAsia="en-AU"/>
        </w:rPr>
      </w:pPr>
      <w:bookmarkStart w:id="48" w:name="_Toc425253649"/>
      <w:bookmarkStart w:id="49" w:name="_Toc428279172"/>
      <w:r>
        <w:lastRenderedPageBreak/>
        <w:t xml:space="preserve">Service 2: </w:t>
      </w:r>
      <w:r w:rsidRPr="00E76C17">
        <w:t xml:space="preserve">Environmental </w:t>
      </w:r>
      <w:r>
        <w:t>management</w:t>
      </w:r>
      <w:r w:rsidRPr="00E76C17">
        <w:t xml:space="preserve"> services to the EPA</w:t>
      </w:r>
      <w:bookmarkEnd w:id="48"/>
      <w:bookmarkEnd w:id="49"/>
      <w:r>
        <w:rPr>
          <w:noProof/>
          <w:lang w:eastAsia="en-AU"/>
        </w:rPr>
        <w:t xml:space="preserve"> </w:t>
      </w:r>
    </w:p>
    <w:p w:rsidR="002D0C18" w:rsidRPr="003D56AD" w:rsidRDefault="002D0C18" w:rsidP="002D0C18">
      <w:pPr>
        <w:pStyle w:val="Servicedescription"/>
        <w:spacing w:line="240" w:lineRule="auto"/>
        <w:ind w:left="1134"/>
      </w:pPr>
      <w:r>
        <w:t>Develop, for the EPA, statutory policies, guidelines and strategic advice to manage environmental impacts and protect the environment</w:t>
      </w:r>
      <w:r w:rsidRPr="003D56AD">
        <w:t>.</w:t>
      </w:r>
    </w:p>
    <w:p w:rsidR="00477212" w:rsidRDefault="00477212" w:rsidP="00477212">
      <w:pPr>
        <w:pStyle w:val="Heading2"/>
      </w:pPr>
      <w:bookmarkStart w:id="50" w:name="_Toc428279173"/>
      <w:r>
        <w:t>Key effectiveness indicator</w:t>
      </w:r>
      <w:bookmarkEnd w:id="50"/>
    </w:p>
    <w:tbl>
      <w:tblPr>
        <w:tblW w:w="8419" w:type="dxa"/>
        <w:tblInd w:w="1264" w:type="dxa"/>
        <w:tblLayout w:type="fixed"/>
        <w:tblCellMar>
          <w:top w:w="57" w:type="dxa"/>
          <w:bottom w:w="57" w:type="dxa"/>
        </w:tblCellMar>
        <w:tblLook w:val="04A0" w:firstRow="1" w:lastRow="0" w:firstColumn="1" w:lastColumn="0" w:noHBand="0" w:noVBand="1"/>
      </w:tblPr>
      <w:tblGrid>
        <w:gridCol w:w="5443"/>
        <w:gridCol w:w="992"/>
        <w:gridCol w:w="992"/>
        <w:gridCol w:w="992"/>
      </w:tblGrid>
      <w:tr w:rsidR="00477212" w:rsidRPr="00A24413" w:rsidTr="006A2E14">
        <w:trPr>
          <w:trHeight w:val="680"/>
        </w:trPr>
        <w:tc>
          <w:tcPr>
            <w:tcW w:w="5443" w:type="dxa"/>
            <w:tcBorders>
              <w:bottom w:val="single" w:sz="4" w:space="0" w:color="E0DCCB" w:themeColor="accent4" w:themeTint="66"/>
            </w:tcBorders>
            <w:noWrap/>
            <w:vAlign w:val="bottom"/>
            <w:hideMark/>
          </w:tcPr>
          <w:p w:rsidR="00477212" w:rsidRPr="00A24413" w:rsidRDefault="00477212" w:rsidP="006D0E0A">
            <w:pPr>
              <w:rPr>
                <w:rFonts w:eastAsia="Calibri" w:cs="Times New Roman"/>
                <w:color w:val="auto"/>
                <w:sz w:val="22"/>
              </w:rPr>
            </w:pPr>
          </w:p>
        </w:tc>
        <w:tc>
          <w:tcPr>
            <w:tcW w:w="992" w:type="dxa"/>
            <w:tcBorders>
              <w:top w:val="nil"/>
              <w:left w:val="nil"/>
              <w:bottom w:val="single" w:sz="4" w:space="0" w:color="E0DCCB" w:themeColor="accent4" w:themeTint="66"/>
              <w:right w:val="single" w:sz="8" w:space="0" w:color="FFFFFF"/>
            </w:tcBorders>
            <w:shd w:val="clear" w:color="auto" w:fill="E0DCCB"/>
            <w:vAlign w:val="center"/>
            <w:hideMark/>
          </w:tcPr>
          <w:p w:rsidR="00477212" w:rsidRPr="00A24413" w:rsidRDefault="00477212" w:rsidP="006D0E0A">
            <w:pPr>
              <w:spacing w:after="0" w:line="240" w:lineRule="auto"/>
              <w:jc w:val="center"/>
              <w:rPr>
                <w:rFonts w:ascii="Calibri" w:eastAsia="Times New Roman" w:hAnsi="Calibri" w:cs="Arial"/>
                <w:b/>
                <w:bCs/>
                <w:color w:val="4D4D4F"/>
                <w:sz w:val="22"/>
                <w:lang w:eastAsia="en-AU"/>
              </w:rPr>
            </w:pPr>
            <w:r w:rsidRPr="00A24413">
              <w:rPr>
                <w:rFonts w:ascii="Calibri" w:eastAsia="Times New Roman" w:hAnsi="Calibri" w:cs="Arial"/>
                <w:b/>
                <w:bCs/>
                <w:color w:val="4D4D4F"/>
                <w:sz w:val="22"/>
                <w:lang w:eastAsia="en-AU"/>
              </w:rPr>
              <w:t>2013-14</w:t>
            </w:r>
            <w:r w:rsidRPr="00A24413">
              <w:rPr>
                <w:rFonts w:ascii="Calibri" w:eastAsia="Times New Roman" w:hAnsi="Calibri" w:cs="Arial"/>
                <w:b/>
                <w:bCs/>
                <w:color w:val="4D4D4F"/>
                <w:sz w:val="22"/>
                <w:lang w:eastAsia="en-AU"/>
              </w:rPr>
              <w:br/>
              <w:t>Actual</w:t>
            </w:r>
          </w:p>
        </w:tc>
        <w:tc>
          <w:tcPr>
            <w:tcW w:w="992" w:type="dxa"/>
            <w:tcBorders>
              <w:top w:val="nil"/>
              <w:left w:val="nil"/>
              <w:bottom w:val="single" w:sz="4" w:space="0" w:color="E0DCCB" w:themeColor="accent4" w:themeTint="66"/>
              <w:right w:val="single" w:sz="8" w:space="0" w:color="FFFFFF"/>
            </w:tcBorders>
            <w:shd w:val="clear" w:color="auto" w:fill="E0DCCB"/>
            <w:vAlign w:val="center"/>
            <w:hideMark/>
          </w:tcPr>
          <w:p w:rsidR="00477212" w:rsidRPr="00A24413" w:rsidRDefault="00477212" w:rsidP="006D0E0A">
            <w:pPr>
              <w:spacing w:after="0" w:line="240" w:lineRule="auto"/>
              <w:jc w:val="center"/>
              <w:rPr>
                <w:rFonts w:ascii="Calibri" w:eastAsia="Times New Roman" w:hAnsi="Calibri" w:cs="Arial"/>
                <w:b/>
                <w:bCs/>
                <w:color w:val="4D4D4F"/>
                <w:sz w:val="22"/>
                <w:lang w:eastAsia="en-AU"/>
              </w:rPr>
            </w:pPr>
            <w:r w:rsidRPr="00A24413">
              <w:rPr>
                <w:rFonts w:ascii="Calibri" w:eastAsia="Times New Roman" w:hAnsi="Calibri" w:cs="Arial"/>
                <w:b/>
                <w:bCs/>
                <w:color w:val="4D4D4F"/>
                <w:sz w:val="22"/>
                <w:lang w:eastAsia="en-AU"/>
              </w:rPr>
              <w:t>2014-15</w:t>
            </w:r>
            <w:r w:rsidRPr="00A24413">
              <w:rPr>
                <w:rFonts w:ascii="Calibri" w:eastAsia="Times New Roman" w:hAnsi="Calibri" w:cs="Arial"/>
                <w:b/>
                <w:bCs/>
                <w:color w:val="4D4D4F"/>
                <w:sz w:val="22"/>
                <w:lang w:eastAsia="en-AU"/>
              </w:rPr>
              <w:br/>
              <w:t>Target</w:t>
            </w:r>
          </w:p>
        </w:tc>
        <w:tc>
          <w:tcPr>
            <w:tcW w:w="992" w:type="dxa"/>
            <w:tcBorders>
              <w:top w:val="nil"/>
              <w:left w:val="nil"/>
              <w:right w:val="single" w:sz="8" w:space="0" w:color="FFFFFF"/>
            </w:tcBorders>
            <w:shd w:val="clear" w:color="auto" w:fill="E0DCCB"/>
            <w:vAlign w:val="center"/>
            <w:hideMark/>
          </w:tcPr>
          <w:p w:rsidR="00477212" w:rsidRPr="00A24413" w:rsidRDefault="00477212" w:rsidP="006D0E0A">
            <w:pPr>
              <w:spacing w:after="0" w:line="240" w:lineRule="auto"/>
              <w:jc w:val="center"/>
              <w:rPr>
                <w:rFonts w:ascii="Calibri" w:eastAsia="Times New Roman" w:hAnsi="Calibri" w:cs="Arial"/>
                <w:b/>
                <w:bCs/>
                <w:color w:val="4D4D4F"/>
                <w:sz w:val="22"/>
                <w:lang w:eastAsia="en-AU"/>
              </w:rPr>
            </w:pPr>
            <w:r w:rsidRPr="00A24413">
              <w:rPr>
                <w:rFonts w:ascii="Calibri" w:eastAsia="Times New Roman" w:hAnsi="Calibri" w:cs="Arial"/>
                <w:b/>
                <w:bCs/>
                <w:color w:val="4D4D4F"/>
                <w:sz w:val="22"/>
                <w:lang w:eastAsia="en-AU"/>
              </w:rPr>
              <w:t>2014-15</w:t>
            </w:r>
            <w:r w:rsidRPr="00A24413">
              <w:rPr>
                <w:rFonts w:ascii="Calibri" w:eastAsia="Times New Roman" w:hAnsi="Calibri" w:cs="Arial"/>
                <w:b/>
                <w:bCs/>
                <w:color w:val="4D4D4F"/>
                <w:sz w:val="22"/>
                <w:lang w:eastAsia="en-AU"/>
              </w:rPr>
              <w:br/>
              <w:t>Actual</w:t>
            </w:r>
          </w:p>
        </w:tc>
      </w:tr>
      <w:tr w:rsidR="002D668A" w:rsidRPr="00A24413" w:rsidTr="006A2E14">
        <w:trPr>
          <w:trHeight w:val="862"/>
        </w:trPr>
        <w:tc>
          <w:tcPr>
            <w:tcW w:w="5443"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shd w:val="clear" w:color="auto" w:fill="auto"/>
            <w:vAlign w:val="center"/>
            <w:hideMark/>
          </w:tcPr>
          <w:p w:rsidR="002D668A" w:rsidRDefault="002D668A" w:rsidP="002D668A">
            <w:pPr>
              <w:spacing w:after="0" w:line="240" w:lineRule="auto"/>
              <w:rPr>
                <w:rFonts w:ascii="Arial" w:eastAsia="Times New Roman" w:hAnsi="Arial" w:cs="Arial"/>
                <w:color w:val="4D4D4F"/>
                <w:sz w:val="22"/>
                <w:lang w:eastAsia="en-AU"/>
              </w:rPr>
            </w:pPr>
            <w:r>
              <w:rPr>
                <w:rFonts w:ascii="Arial" w:eastAsia="Times New Roman" w:hAnsi="Arial" w:cs="Arial"/>
                <w:color w:val="4D4D4F"/>
                <w:sz w:val="22"/>
                <w:lang w:eastAsia="en-AU"/>
              </w:rPr>
              <w:t xml:space="preserve">The EPA's satisfaction with the OEPA's provision of environmental management services during the year </w:t>
            </w:r>
          </w:p>
        </w:tc>
        <w:tc>
          <w:tcPr>
            <w:tcW w:w="992"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hideMark/>
          </w:tcPr>
          <w:p w:rsidR="002D668A" w:rsidRDefault="002D668A" w:rsidP="002D668A">
            <w:pPr>
              <w:spacing w:after="0" w:line="240" w:lineRule="auto"/>
              <w:jc w:val="center"/>
              <w:rPr>
                <w:rFonts w:ascii="Arial" w:eastAsia="Times New Roman" w:hAnsi="Arial" w:cs="Arial"/>
                <w:color w:val="4D4D4F"/>
                <w:sz w:val="22"/>
                <w:lang w:eastAsia="en-AU"/>
              </w:rPr>
            </w:pPr>
            <w:r>
              <w:rPr>
                <w:rFonts w:ascii="Arial" w:eastAsia="Times New Roman" w:hAnsi="Arial" w:cstheme="minorHAnsi"/>
                <w:color w:val="4D4D4F"/>
                <w:sz w:val="22"/>
                <w:lang w:eastAsia="en-AU"/>
              </w:rPr>
              <w:t>n/a</w:t>
            </w:r>
          </w:p>
        </w:tc>
        <w:tc>
          <w:tcPr>
            <w:tcW w:w="992"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hideMark/>
          </w:tcPr>
          <w:p w:rsidR="002D668A" w:rsidRDefault="002D668A" w:rsidP="002D668A">
            <w:pPr>
              <w:spacing w:after="0"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80%</w:t>
            </w:r>
          </w:p>
        </w:tc>
        <w:tc>
          <w:tcPr>
            <w:tcW w:w="992" w:type="dxa"/>
            <w:tcBorders>
              <w:top w:val="nil"/>
              <w:left w:val="single" w:sz="4" w:space="0" w:color="E0DCCB" w:themeColor="accent4" w:themeTint="66"/>
              <w:bottom w:val="single" w:sz="4" w:space="0" w:color="FFFFFF" w:themeColor="background1"/>
              <w:right w:val="single" w:sz="8" w:space="0" w:color="E0DCCB"/>
            </w:tcBorders>
            <w:shd w:val="clear" w:color="auto" w:fill="E0DCCB"/>
            <w:noWrap/>
            <w:vAlign w:val="center"/>
            <w:hideMark/>
          </w:tcPr>
          <w:p w:rsidR="002D668A" w:rsidRDefault="002D668A" w:rsidP="002D668A">
            <w:pPr>
              <w:spacing w:after="0"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92% </w:t>
            </w:r>
          </w:p>
        </w:tc>
      </w:tr>
    </w:tbl>
    <w:p w:rsidR="00477212" w:rsidRDefault="00477212" w:rsidP="00477212"/>
    <w:p w:rsidR="00C03C5C" w:rsidRDefault="002973B8" w:rsidP="00480851">
      <w:pPr>
        <w:pStyle w:val="Body"/>
      </w:pPr>
      <w:r>
        <w:t>Th</w:t>
      </w:r>
      <w:r w:rsidR="00087DA5">
        <w:t xml:space="preserve">e effectiveness of the OEPA’s provision of environmental management advice to the EPA </w:t>
      </w:r>
      <w:r w:rsidR="00480851">
        <w:t xml:space="preserve">is rated </w:t>
      </w:r>
      <w:r w:rsidR="0056349F">
        <w:t>in</w:t>
      </w:r>
    </w:p>
    <w:tbl>
      <w:tblPr>
        <w:tblStyle w:val="TableGrid"/>
        <w:tblW w:w="8505" w:type="dxa"/>
        <w:tblInd w:w="1219" w:type="dxa"/>
        <w:tblLayout w:type="fixed"/>
        <w:tblCellMar>
          <w:top w:w="28" w:type="dxa"/>
          <w:left w:w="85" w:type="dxa"/>
          <w:bottom w:w="28" w:type="dxa"/>
          <w:right w:w="85" w:type="dxa"/>
        </w:tblCellMar>
        <w:tblLook w:val="04A0" w:firstRow="1" w:lastRow="0" w:firstColumn="1" w:lastColumn="0" w:noHBand="0" w:noVBand="1"/>
      </w:tblPr>
      <w:tblGrid>
        <w:gridCol w:w="3855"/>
        <w:gridCol w:w="1134"/>
        <w:gridCol w:w="851"/>
        <w:gridCol w:w="1134"/>
        <w:gridCol w:w="708"/>
        <w:gridCol w:w="823"/>
      </w:tblGrid>
      <w:tr w:rsidR="00E45D40" w:rsidRPr="00482BD5" w:rsidTr="00A92FFE">
        <w:tc>
          <w:tcPr>
            <w:tcW w:w="8505" w:type="dxa"/>
            <w:gridSpan w:val="6"/>
          </w:tcPr>
          <w:p w:rsidR="00E45D40" w:rsidRPr="00DF3389" w:rsidRDefault="00E45D40" w:rsidP="008F6AA1">
            <w:pPr>
              <w:pStyle w:val="Body"/>
              <w:ind w:left="0"/>
              <w:rPr>
                <w:b/>
                <w:sz w:val="22"/>
              </w:rPr>
            </w:pPr>
            <w:r w:rsidRPr="00DF3389">
              <w:rPr>
                <w:b/>
                <w:sz w:val="22"/>
              </w:rPr>
              <w:t>Meeting number:</w:t>
            </w:r>
          </w:p>
        </w:tc>
      </w:tr>
      <w:tr w:rsidR="00E45D40" w:rsidRPr="00482BD5" w:rsidTr="00A92FFE">
        <w:tc>
          <w:tcPr>
            <w:tcW w:w="8505" w:type="dxa"/>
            <w:gridSpan w:val="6"/>
          </w:tcPr>
          <w:p w:rsidR="00E45D40" w:rsidRPr="00DF3389" w:rsidRDefault="00E45D40" w:rsidP="008F6AA1">
            <w:pPr>
              <w:pStyle w:val="Body"/>
              <w:ind w:left="0"/>
              <w:rPr>
                <w:b/>
                <w:sz w:val="22"/>
              </w:rPr>
            </w:pPr>
            <w:r w:rsidRPr="00DF3389">
              <w:rPr>
                <w:b/>
                <w:sz w:val="22"/>
              </w:rPr>
              <w:t>Item:</w:t>
            </w:r>
          </w:p>
        </w:tc>
      </w:tr>
      <w:tr w:rsidR="00E45D40" w:rsidRPr="00482BD5" w:rsidTr="00A92FFE">
        <w:tc>
          <w:tcPr>
            <w:tcW w:w="8505" w:type="dxa"/>
            <w:gridSpan w:val="6"/>
          </w:tcPr>
          <w:p w:rsidR="00E45D40" w:rsidRPr="00DF3389" w:rsidRDefault="00E45D40" w:rsidP="008F6AA1">
            <w:pPr>
              <w:pStyle w:val="Body"/>
              <w:ind w:left="0"/>
              <w:rPr>
                <w:b/>
                <w:sz w:val="22"/>
              </w:rPr>
            </w:pPr>
            <w:r>
              <w:rPr>
                <w:b/>
                <w:sz w:val="22"/>
              </w:rPr>
              <w:t>Purpose and scope</w:t>
            </w:r>
            <w:r w:rsidRPr="00DF3389">
              <w:rPr>
                <w:b/>
                <w:sz w:val="22"/>
              </w:rPr>
              <w:t>:</w:t>
            </w:r>
          </w:p>
        </w:tc>
      </w:tr>
      <w:tr w:rsidR="00E45D40" w:rsidRPr="00482BD5" w:rsidTr="00A92FFE">
        <w:trPr>
          <w:trHeight w:val="1259"/>
        </w:trPr>
        <w:tc>
          <w:tcPr>
            <w:tcW w:w="8505" w:type="dxa"/>
            <w:gridSpan w:val="6"/>
          </w:tcPr>
          <w:p w:rsidR="00E45D40" w:rsidRPr="00DF3389" w:rsidRDefault="00E45D40" w:rsidP="008F6AA1">
            <w:pPr>
              <w:pStyle w:val="Body"/>
              <w:spacing w:after="120"/>
              <w:ind w:left="0"/>
              <w:rPr>
                <w:b/>
                <w:sz w:val="22"/>
              </w:rPr>
            </w:pPr>
            <w:r w:rsidRPr="00DF3389">
              <w:rPr>
                <w:b/>
                <w:sz w:val="22"/>
              </w:rPr>
              <w:t>Survey question:</w:t>
            </w:r>
          </w:p>
          <w:p w:rsidR="00E45D40" w:rsidRPr="00DF3389" w:rsidRDefault="00E45D40" w:rsidP="00E45D40">
            <w:pPr>
              <w:pStyle w:val="Body"/>
              <w:ind w:left="0"/>
              <w:rPr>
                <w:sz w:val="22"/>
              </w:rPr>
            </w:pPr>
            <w:r w:rsidRPr="00E45D40">
              <w:rPr>
                <w:sz w:val="22"/>
              </w:rPr>
              <w:t>In light of the quality described, how would you rate the Environmental Management (policies, guidelines and strategic advice) service provided by the OEPA? (tick the level of quality that best applies)</w:t>
            </w:r>
          </w:p>
        </w:tc>
      </w:tr>
      <w:tr w:rsidR="00793EEF" w:rsidRPr="00482BD5" w:rsidTr="00A92FFE">
        <w:tc>
          <w:tcPr>
            <w:tcW w:w="3855" w:type="dxa"/>
          </w:tcPr>
          <w:p w:rsidR="00E45D40" w:rsidRPr="00482BD5" w:rsidRDefault="00E45D40" w:rsidP="008F6AA1">
            <w:pPr>
              <w:pStyle w:val="Body"/>
              <w:ind w:left="0"/>
              <w:rPr>
                <w:sz w:val="22"/>
              </w:rPr>
            </w:pPr>
          </w:p>
        </w:tc>
        <w:tc>
          <w:tcPr>
            <w:tcW w:w="1134" w:type="dxa"/>
          </w:tcPr>
          <w:p w:rsidR="00E45D40" w:rsidRPr="00482BD5" w:rsidRDefault="00E45D40" w:rsidP="008F6AA1">
            <w:pPr>
              <w:pStyle w:val="Body"/>
              <w:ind w:left="0"/>
              <w:rPr>
                <w:sz w:val="22"/>
              </w:rPr>
            </w:pPr>
            <w:r w:rsidRPr="00482BD5">
              <w:rPr>
                <w:sz w:val="22"/>
              </w:rPr>
              <w:t>Excellent</w:t>
            </w:r>
          </w:p>
        </w:tc>
        <w:tc>
          <w:tcPr>
            <w:tcW w:w="851" w:type="dxa"/>
          </w:tcPr>
          <w:p w:rsidR="00E45D40" w:rsidRPr="00482BD5" w:rsidRDefault="00E45D40" w:rsidP="008F6AA1">
            <w:pPr>
              <w:pStyle w:val="Body"/>
              <w:ind w:left="0"/>
              <w:rPr>
                <w:sz w:val="22"/>
              </w:rPr>
            </w:pPr>
            <w:r w:rsidRPr="00482BD5">
              <w:rPr>
                <w:sz w:val="22"/>
              </w:rPr>
              <w:t>Good</w:t>
            </w:r>
          </w:p>
        </w:tc>
        <w:tc>
          <w:tcPr>
            <w:tcW w:w="1134" w:type="dxa"/>
          </w:tcPr>
          <w:p w:rsidR="00E45D40" w:rsidRPr="00482BD5" w:rsidRDefault="00E45D40" w:rsidP="008F6AA1">
            <w:pPr>
              <w:pStyle w:val="Body"/>
              <w:ind w:left="0"/>
              <w:rPr>
                <w:sz w:val="22"/>
              </w:rPr>
            </w:pPr>
            <w:r w:rsidRPr="00482BD5">
              <w:rPr>
                <w:sz w:val="22"/>
              </w:rPr>
              <w:t>Average</w:t>
            </w:r>
          </w:p>
        </w:tc>
        <w:tc>
          <w:tcPr>
            <w:tcW w:w="708" w:type="dxa"/>
          </w:tcPr>
          <w:p w:rsidR="00E45D40" w:rsidRPr="00482BD5" w:rsidRDefault="00E45D40" w:rsidP="008F6AA1">
            <w:pPr>
              <w:pStyle w:val="Body"/>
              <w:ind w:left="0"/>
              <w:rPr>
                <w:sz w:val="22"/>
              </w:rPr>
            </w:pPr>
            <w:r w:rsidRPr="00482BD5">
              <w:rPr>
                <w:sz w:val="22"/>
              </w:rPr>
              <w:t>Fair</w:t>
            </w:r>
          </w:p>
        </w:tc>
        <w:tc>
          <w:tcPr>
            <w:tcW w:w="823" w:type="dxa"/>
          </w:tcPr>
          <w:p w:rsidR="00E45D40" w:rsidRPr="00482BD5" w:rsidRDefault="00E45D40" w:rsidP="008F6AA1">
            <w:pPr>
              <w:pStyle w:val="Body"/>
              <w:ind w:left="0"/>
              <w:rPr>
                <w:sz w:val="22"/>
              </w:rPr>
            </w:pPr>
            <w:r w:rsidRPr="00482BD5">
              <w:rPr>
                <w:sz w:val="22"/>
              </w:rPr>
              <w:t>Poor</w:t>
            </w:r>
          </w:p>
        </w:tc>
      </w:tr>
      <w:tr w:rsidR="00793EEF" w:rsidRPr="00482BD5" w:rsidTr="00A92FFE">
        <w:tc>
          <w:tcPr>
            <w:tcW w:w="3855" w:type="dxa"/>
          </w:tcPr>
          <w:p w:rsidR="00E45D40" w:rsidRPr="00482BD5" w:rsidRDefault="00E45D40" w:rsidP="008F6AA1">
            <w:pPr>
              <w:pStyle w:val="Body"/>
              <w:ind w:left="0"/>
              <w:rPr>
                <w:sz w:val="22"/>
              </w:rPr>
            </w:pPr>
            <w:r w:rsidRPr="00482BD5">
              <w:rPr>
                <w:sz w:val="22"/>
              </w:rPr>
              <w:t xml:space="preserve">1. </w:t>
            </w:r>
            <w:r>
              <w:rPr>
                <w:sz w:val="22"/>
              </w:rPr>
              <w:t xml:space="preserve">Clear purpose: The policy/ guideline/ strategic advice </w:t>
            </w:r>
            <w:proofErr w:type="gramStart"/>
            <w:r>
              <w:rPr>
                <w:sz w:val="22"/>
              </w:rPr>
              <w:t>addresses</w:t>
            </w:r>
            <w:proofErr w:type="gramEnd"/>
            <w:r>
              <w:rPr>
                <w:sz w:val="22"/>
              </w:rPr>
              <w:t xml:space="preserve"> an identified problem. </w:t>
            </w:r>
          </w:p>
        </w:tc>
        <w:tc>
          <w:tcPr>
            <w:tcW w:w="1134" w:type="dxa"/>
          </w:tcPr>
          <w:p w:rsidR="00E45D40" w:rsidRPr="00482BD5" w:rsidRDefault="00E45D40" w:rsidP="008F6AA1">
            <w:pPr>
              <w:pStyle w:val="Body"/>
              <w:ind w:left="0"/>
              <w:rPr>
                <w:sz w:val="22"/>
              </w:rPr>
            </w:pPr>
          </w:p>
        </w:tc>
        <w:tc>
          <w:tcPr>
            <w:tcW w:w="851" w:type="dxa"/>
          </w:tcPr>
          <w:p w:rsidR="00E45D40" w:rsidRPr="00482BD5" w:rsidRDefault="00E45D40" w:rsidP="008F6AA1">
            <w:pPr>
              <w:pStyle w:val="Body"/>
              <w:ind w:left="0"/>
              <w:rPr>
                <w:sz w:val="22"/>
              </w:rPr>
            </w:pPr>
          </w:p>
        </w:tc>
        <w:tc>
          <w:tcPr>
            <w:tcW w:w="1134" w:type="dxa"/>
          </w:tcPr>
          <w:p w:rsidR="00E45D40" w:rsidRPr="00482BD5" w:rsidRDefault="00E45D40" w:rsidP="008F6AA1">
            <w:pPr>
              <w:pStyle w:val="Body"/>
              <w:ind w:left="0"/>
              <w:rPr>
                <w:sz w:val="22"/>
              </w:rPr>
            </w:pPr>
          </w:p>
        </w:tc>
        <w:tc>
          <w:tcPr>
            <w:tcW w:w="708" w:type="dxa"/>
          </w:tcPr>
          <w:p w:rsidR="00E45D40" w:rsidRPr="00482BD5" w:rsidRDefault="00E45D40" w:rsidP="008F6AA1">
            <w:pPr>
              <w:pStyle w:val="Body"/>
              <w:ind w:left="0"/>
              <w:rPr>
                <w:sz w:val="22"/>
              </w:rPr>
            </w:pPr>
          </w:p>
        </w:tc>
        <w:tc>
          <w:tcPr>
            <w:tcW w:w="823" w:type="dxa"/>
          </w:tcPr>
          <w:p w:rsidR="00E45D40" w:rsidRPr="00482BD5" w:rsidRDefault="00E45D40" w:rsidP="008F6AA1">
            <w:pPr>
              <w:pStyle w:val="Body"/>
              <w:ind w:left="0"/>
              <w:rPr>
                <w:sz w:val="22"/>
              </w:rPr>
            </w:pPr>
          </w:p>
        </w:tc>
      </w:tr>
      <w:tr w:rsidR="00793EEF" w:rsidRPr="00482BD5" w:rsidTr="00A92FFE">
        <w:tc>
          <w:tcPr>
            <w:tcW w:w="3855" w:type="dxa"/>
          </w:tcPr>
          <w:p w:rsidR="00E45D40" w:rsidRPr="00482BD5" w:rsidRDefault="00E45D40" w:rsidP="008F6AA1">
            <w:pPr>
              <w:pStyle w:val="Body"/>
              <w:ind w:left="0"/>
              <w:rPr>
                <w:sz w:val="22"/>
              </w:rPr>
            </w:pPr>
            <w:r w:rsidRPr="00482BD5">
              <w:rPr>
                <w:sz w:val="22"/>
              </w:rPr>
              <w:t>2.</w:t>
            </w:r>
            <w:r>
              <w:rPr>
                <w:sz w:val="22"/>
              </w:rPr>
              <w:t xml:space="preserve"> Rigorous: The policy/ guideline/ strategic advice </w:t>
            </w:r>
            <w:proofErr w:type="gramStart"/>
            <w:r>
              <w:rPr>
                <w:sz w:val="22"/>
              </w:rPr>
              <w:t>is</w:t>
            </w:r>
            <w:proofErr w:type="gramEnd"/>
            <w:r>
              <w:rPr>
                <w:sz w:val="22"/>
              </w:rPr>
              <w:t xml:space="preserve"> based on robust science/ evidence/ research/ learning/ experience. </w:t>
            </w:r>
          </w:p>
        </w:tc>
        <w:tc>
          <w:tcPr>
            <w:tcW w:w="1134" w:type="dxa"/>
          </w:tcPr>
          <w:p w:rsidR="00E45D40" w:rsidRPr="00482BD5" w:rsidRDefault="00E45D40" w:rsidP="008F6AA1">
            <w:pPr>
              <w:pStyle w:val="Body"/>
              <w:ind w:left="0"/>
              <w:rPr>
                <w:sz w:val="22"/>
              </w:rPr>
            </w:pPr>
          </w:p>
        </w:tc>
        <w:tc>
          <w:tcPr>
            <w:tcW w:w="851" w:type="dxa"/>
          </w:tcPr>
          <w:p w:rsidR="00E45D40" w:rsidRPr="00482BD5" w:rsidRDefault="00E45D40" w:rsidP="008F6AA1">
            <w:pPr>
              <w:pStyle w:val="Body"/>
              <w:ind w:left="0"/>
              <w:rPr>
                <w:sz w:val="22"/>
              </w:rPr>
            </w:pPr>
          </w:p>
        </w:tc>
        <w:tc>
          <w:tcPr>
            <w:tcW w:w="1134" w:type="dxa"/>
          </w:tcPr>
          <w:p w:rsidR="00E45D40" w:rsidRPr="00482BD5" w:rsidRDefault="00E45D40" w:rsidP="008F6AA1">
            <w:pPr>
              <w:pStyle w:val="Body"/>
              <w:ind w:left="0"/>
              <w:rPr>
                <w:sz w:val="22"/>
              </w:rPr>
            </w:pPr>
          </w:p>
        </w:tc>
        <w:tc>
          <w:tcPr>
            <w:tcW w:w="708" w:type="dxa"/>
          </w:tcPr>
          <w:p w:rsidR="00E45D40" w:rsidRPr="00482BD5" w:rsidRDefault="00E45D40" w:rsidP="008F6AA1">
            <w:pPr>
              <w:pStyle w:val="Body"/>
              <w:ind w:left="0"/>
              <w:rPr>
                <w:sz w:val="22"/>
              </w:rPr>
            </w:pPr>
          </w:p>
        </w:tc>
        <w:tc>
          <w:tcPr>
            <w:tcW w:w="823" w:type="dxa"/>
          </w:tcPr>
          <w:p w:rsidR="00E45D40" w:rsidRPr="00482BD5" w:rsidRDefault="00E45D40" w:rsidP="008F6AA1">
            <w:pPr>
              <w:pStyle w:val="Body"/>
              <w:ind w:left="0"/>
              <w:rPr>
                <w:sz w:val="22"/>
              </w:rPr>
            </w:pPr>
          </w:p>
        </w:tc>
      </w:tr>
      <w:tr w:rsidR="00793EEF" w:rsidRPr="00482BD5" w:rsidTr="00A92FFE">
        <w:tc>
          <w:tcPr>
            <w:tcW w:w="3855" w:type="dxa"/>
          </w:tcPr>
          <w:p w:rsidR="00E45D40" w:rsidRPr="00482BD5" w:rsidRDefault="00793EEF" w:rsidP="00793EEF">
            <w:pPr>
              <w:pStyle w:val="Body"/>
              <w:ind w:left="0"/>
              <w:rPr>
                <w:sz w:val="22"/>
              </w:rPr>
            </w:pPr>
            <w:r w:rsidRPr="00793EEF">
              <w:rPr>
                <w:sz w:val="22"/>
              </w:rPr>
              <w:t>3.</w:t>
            </w:r>
            <w:r>
              <w:rPr>
                <w:sz w:val="22"/>
              </w:rPr>
              <w:t xml:space="preserve"> Readable: The policy/ guideline/ strategic advice is in plain language and readily understandable to the target audience. </w:t>
            </w:r>
          </w:p>
        </w:tc>
        <w:tc>
          <w:tcPr>
            <w:tcW w:w="1134" w:type="dxa"/>
          </w:tcPr>
          <w:p w:rsidR="00E45D40" w:rsidRPr="00482BD5" w:rsidRDefault="00E45D40" w:rsidP="008F6AA1">
            <w:pPr>
              <w:pStyle w:val="Body"/>
              <w:ind w:left="0"/>
              <w:rPr>
                <w:sz w:val="22"/>
              </w:rPr>
            </w:pPr>
          </w:p>
        </w:tc>
        <w:tc>
          <w:tcPr>
            <w:tcW w:w="851" w:type="dxa"/>
          </w:tcPr>
          <w:p w:rsidR="00E45D40" w:rsidRPr="00482BD5" w:rsidRDefault="00E45D40" w:rsidP="008F6AA1">
            <w:pPr>
              <w:pStyle w:val="Body"/>
              <w:ind w:left="0"/>
              <w:rPr>
                <w:sz w:val="22"/>
              </w:rPr>
            </w:pPr>
          </w:p>
        </w:tc>
        <w:tc>
          <w:tcPr>
            <w:tcW w:w="1134" w:type="dxa"/>
          </w:tcPr>
          <w:p w:rsidR="00E45D40" w:rsidRPr="00482BD5" w:rsidRDefault="00E45D40" w:rsidP="008F6AA1">
            <w:pPr>
              <w:pStyle w:val="Body"/>
              <w:ind w:left="0"/>
              <w:rPr>
                <w:sz w:val="22"/>
              </w:rPr>
            </w:pPr>
          </w:p>
        </w:tc>
        <w:tc>
          <w:tcPr>
            <w:tcW w:w="708" w:type="dxa"/>
          </w:tcPr>
          <w:p w:rsidR="00E45D40" w:rsidRPr="00482BD5" w:rsidRDefault="00E45D40" w:rsidP="008F6AA1">
            <w:pPr>
              <w:pStyle w:val="Body"/>
              <w:ind w:left="0"/>
              <w:rPr>
                <w:sz w:val="22"/>
              </w:rPr>
            </w:pPr>
          </w:p>
        </w:tc>
        <w:tc>
          <w:tcPr>
            <w:tcW w:w="823" w:type="dxa"/>
          </w:tcPr>
          <w:p w:rsidR="00E45D40" w:rsidRPr="00482BD5" w:rsidRDefault="00E45D40" w:rsidP="008F6AA1">
            <w:pPr>
              <w:pStyle w:val="Body"/>
              <w:ind w:left="0"/>
              <w:rPr>
                <w:sz w:val="22"/>
              </w:rPr>
            </w:pPr>
          </w:p>
        </w:tc>
      </w:tr>
      <w:tr w:rsidR="00793EEF" w:rsidRPr="00482BD5" w:rsidTr="00A92FFE">
        <w:tc>
          <w:tcPr>
            <w:tcW w:w="3855" w:type="dxa"/>
          </w:tcPr>
          <w:p w:rsidR="00E45D40" w:rsidRPr="00793EEF" w:rsidRDefault="00E45D40" w:rsidP="00793EEF">
            <w:pPr>
              <w:pStyle w:val="Body"/>
              <w:ind w:left="0"/>
              <w:rPr>
                <w:sz w:val="22"/>
              </w:rPr>
            </w:pPr>
            <w:r w:rsidRPr="00482BD5">
              <w:rPr>
                <w:sz w:val="22"/>
              </w:rPr>
              <w:t xml:space="preserve">4. </w:t>
            </w:r>
            <w:r w:rsidR="00793EEF" w:rsidRPr="00793EEF">
              <w:rPr>
                <w:sz w:val="22"/>
              </w:rPr>
              <w:t xml:space="preserve">Applicable: The policy/ guideline/ strategic advice </w:t>
            </w:r>
            <w:proofErr w:type="gramStart"/>
            <w:r w:rsidR="00793EEF" w:rsidRPr="00793EEF">
              <w:rPr>
                <w:sz w:val="22"/>
              </w:rPr>
              <w:t>is</w:t>
            </w:r>
            <w:proofErr w:type="gramEnd"/>
            <w:r w:rsidR="00793EEF" w:rsidRPr="00793EEF">
              <w:rPr>
                <w:sz w:val="22"/>
              </w:rPr>
              <w:t xml:space="preserve"> </w:t>
            </w:r>
            <w:r w:rsidR="00793EEF">
              <w:rPr>
                <w:sz w:val="22"/>
              </w:rPr>
              <w:t xml:space="preserve">practical in its application. </w:t>
            </w:r>
          </w:p>
        </w:tc>
        <w:tc>
          <w:tcPr>
            <w:tcW w:w="1134" w:type="dxa"/>
          </w:tcPr>
          <w:p w:rsidR="00E45D40" w:rsidRPr="00482BD5" w:rsidRDefault="00E45D40" w:rsidP="008F6AA1">
            <w:pPr>
              <w:pStyle w:val="Body"/>
              <w:ind w:left="0"/>
              <w:rPr>
                <w:sz w:val="22"/>
              </w:rPr>
            </w:pPr>
          </w:p>
        </w:tc>
        <w:tc>
          <w:tcPr>
            <w:tcW w:w="851" w:type="dxa"/>
          </w:tcPr>
          <w:p w:rsidR="00E45D40" w:rsidRPr="00482BD5" w:rsidRDefault="00E45D40" w:rsidP="008F6AA1">
            <w:pPr>
              <w:pStyle w:val="Body"/>
              <w:ind w:left="0"/>
              <w:rPr>
                <w:sz w:val="22"/>
              </w:rPr>
            </w:pPr>
          </w:p>
        </w:tc>
        <w:tc>
          <w:tcPr>
            <w:tcW w:w="1134" w:type="dxa"/>
          </w:tcPr>
          <w:p w:rsidR="00E45D40" w:rsidRPr="00482BD5" w:rsidRDefault="00E45D40" w:rsidP="008F6AA1">
            <w:pPr>
              <w:pStyle w:val="Body"/>
              <w:ind w:left="0"/>
              <w:rPr>
                <w:sz w:val="22"/>
              </w:rPr>
            </w:pPr>
          </w:p>
        </w:tc>
        <w:tc>
          <w:tcPr>
            <w:tcW w:w="708" w:type="dxa"/>
          </w:tcPr>
          <w:p w:rsidR="00E45D40" w:rsidRPr="00482BD5" w:rsidRDefault="00E45D40" w:rsidP="008F6AA1">
            <w:pPr>
              <w:pStyle w:val="Body"/>
              <w:ind w:left="0"/>
              <w:rPr>
                <w:sz w:val="22"/>
              </w:rPr>
            </w:pPr>
          </w:p>
        </w:tc>
        <w:tc>
          <w:tcPr>
            <w:tcW w:w="823" w:type="dxa"/>
          </w:tcPr>
          <w:p w:rsidR="00E45D40" w:rsidRPr="00482BD5" w:rsidRDefault="00E45D40" w:rsidP="008F6AA1">
            <w:pPr>
              <w:pStyle w:val="Body"/>
              <w:ind w:left="0"/>
              <w:rPr>
                <w:sz w:val="22"/>
              </w:rPr>
            </w:pPr>
          </w:p>
        </w:tc>
      </w:tr>
      <w:tr w:rsidR="00793EEF" w:rsidRPr="00482BD5" w:rsidTr="00A92FFE">
        <w:tc>
          <w:tcPr>
            <w:tcW w:w="3855" w:type="dxa"/>
          </w:tcPr>
          <w:p w:rsidR="00E45D40" w:rsidRPr="00482BD5" w:rsidRDefault="00E45D40" w:rsidP="008F6AA1">
            <w:pPr>
              <w:pStyle w:val="Body"/>
              <w:ind w:left="0"/>
              <w:rPr>
                <w:sz w:val="22"/>
              </w:rPr>
            </w:pPr>
            <w:r w:rsidRPr="00482BD5">
              <w:rPr>
                <w:sz w:val="22"/>
              </w:rPr>
              <w:t xml:space="preserve">5. </w:t>
            </w:r>
            <w:r w:rsidR="00793EEF">
              <w:rPr>
                <w:sz w:val="22"/>
              </w:rPr>
              <w:t xml:space="preserve">Consistent: The advice provided is consistent with EPA policy framework (e.g. factors and objectives) </w:t>
            </w:r>
          </w:p>
        </w:tc>
        <w:tc>
          <w:tcPr>
            <w:tcW w:w="1134" w:type="dxa"/>
          </w:tcPr>
          <w:p w:rsidR="00E45D40" w:rsidRPr="00482BD5" w:rsidRDefault="00E45D40" w:rsidP="008F6AA1">
            <w:pPr>
              <w:pStyle w:val="Body"/>
              <w:ind w:left="0"/>
              <w:rPr>
                <w:sz w:val="22"/>
              </w:rPr>
            </w:pPr>
          </w:p>
        </w:tc>
        <w:tc>
          <w:tcPr>
            <w:tcW w:w="851" w:type="dxa"/>
          </w:tcPr>
          <w:p w:rsidR="00E45D40" w:rsidRPr="00482BD5" w:rsidRDefault="00E45D40" w:rsidP="008F6AA1">
            <w:pPr>
              <w:pStyle w:val="Body"/>
              <w:ind w:left="0"/>
              <w:rPr>
                <w:sz w:val="22"/>
              </w:rPr>
            </w:pPr>
          </w:p>
        </w:tc>
        <w:tc>
          <w:tcPr>
            <w:tcW w:w="1134" w:type="dxa"/>
          </w:tcPr>
          <w:p w:rsidR="00E45D40" w:rsidRPr="00482BD5" w:rsidRDefault="00E45D40" w:rsidP="008F6AA1">
            <w:pPr>
              <w:pStyle w:val="Body"/>
              <w:ind w:left="0"/>
              <w:rPr>
                <w:sz w:val="22"/>
              </w:rPr>
            </w:pPr>
          </w:p>
        </w:tc>
        <w:tc>
          <w:tcPr>
            <w:tcW w:w="708" w:type="dxa"/>
          </w:tcPr>
          <w:p w:rsidR="00E45D40" w:rsidRPr="00482BD5" w:rsidRDefault="00E45D40" w:rsidP="008F6AA1">
            <w:pPr>
              <w:pStyle w:val="Body"/>
              <w:ind w:left="0"/>
              <w:rPr>
                <w:sz w:val="22"/>
              </w:rPr>
            </w:pPr>
          </w:p>
        </w:tc>
        <w:tc>
          <w:tcPr>
            <w:tcW w:w="823" w:type="dxa"/>
          </w:tcPr>
          <w:p w:rsidR="00E45D40" w:rsidRPr="00482BD5" w:rsidRDefault="00E45D40" w:rsidP="008F6AA1">
            <w:pPr>
              <w:pStyle w:val="Body"/>
              <w:ind w:left="0"/>
              <w:rPr>
                <w:sz w:val="22"/>
              </w:rPr>
            </w:pPr>
          </w:p>
        </w:tc>
      </w:tr>
      <w:tr w:rsidR="00793EEF" w:rsidRPr="00482BD5" w:rsidTr="00A92FFE">
        <w:tc>
          <w:tcPr>
            <w:tcW w:w="3855" w:type="dxa"/>
          </w:tcPr>
          <w:p w:rsidR="00793EEF" w:rsidRPr="00482BD5" w:rsidRDefault="00793EEF" w:rsidP="008F6AA1">
            <w:pPr>
              <w:pStyle w:val="Body"/>
              <w:ind w:left="0"/>
              <w:rPr>
                <w:sz w:val="22"/>
              </w:rPr>
            </w:pPr>
            <w:r>
              <w:rPr>
                <w:sz w:val="22"/>
              </w:rPr>
              <w:t xml:space="preserve">6. Informed by stakeholder input: Where appropriate, stakeholder input has been taken into account </w:t>
            </w:r>
          </w:p>
        </w:tc>
        <w:tc>
          <w:tcPr>
            <w:tcW w:w="1134" w:type="dxa"/>
          </w:tcPr>
          <w:p w:rsidR="00793EEF" w:rsidRPr="00482BD5" w:rsidRDefault="00793EEF" w:rsidP="008F6AA1">
            <w:pPr>
              <w:pStyle w:val="Body"/>
              <w:ind w:left="0"/>
              <w:rPr>
                <w:sz w:val="22"/>
              </w:rPr>
            </w:pPr>
          </w:p>
        </w:tc>
        <w:tc>
          <w:tcPr>
            <w:tcW w:w="851" w:type="dxa"/>
          </w:tcPr>
          <w:p w:rsidR="00793EEF" w:rsidRPr="00482BD5" w:rsidRDefault="00793EEF" w:rsidP="008F6AA1">
            <w:pPr>
              <w:pStyle w:val="Body"/>
              <w:ind w:left="0"/>
              <w:rPr>
                <w:sz w:val="22"/>
              </w:rPr>
            </w:pPr>
          </w:p>
        </w:tc>
        <w:tc>
          <w:tcPr>
            <w:tcW w:w="1134" w:type="dxa"/>
          </w:tcPr>
          <w:p w:rsidR="00793EEF" w:rsidRPr="00482BD5" w:rsidRDefault="00793EEF" w:rsidP="008F6AA1">
            <w:pPr>
              <w:pStyle w:val="Body"/>
              <w:ind w:left="0"/>
              <w:rPr>
                <w:sz w:val="22"/>
              </w:rPr>
            </w:pPr>
          </w:p>
        </w:tc>
        <w:tc>
          <w:tcPr>
            <w:tcW w:w="708" w:type="dxa"/>
          </w:tcPr>
          <w:p w:rsidR="00793EEF" w:rsidRPr="00482BD5" w:rsidRDefault="00793EEF" w:rsidP="008F6AA1">
            <w:pPr>
              <w:pStyle w:val="Body"/>
              <w:ind w:left="0"/>
              <w:rPr>
                <w:sz w:val="22"/>
              </w:rPr>
            </w:pPr>
          </w:p>
        </w:tc>
        <w:tc>
          <w:tcPr>
            <w:tcW w:w="823" w:type="dxa"/>
          </w:tcPr>
          <w:p w:rsidR="00793EEF" w:rsidRPr="00482BD5" w:rsidRDefault="00793EEF" w:rsidP="008F6AA1">
            <w:pPr>
              <w:pStyle w:val="Body"/>
              <w:ind w:left="0"/>
              <w:rPr>
                <w:sz w:val="22"/>
              </w:rPr>
            </w:pPr>
          </w:p>
        </w:tc>
      </w:tr>
    </w:tbl>
    <w:p w:rsidR="00981BE9" w:rsidRDefault="00981BE9" w:rsidP="00981BE9">
      <w:pPr>
        <w:pStyle w:val="Bodyfigures"/>
      </w:pPr>
    </w:p>
    <w:p w:rsidR="00981BE9" w:rsidRDefault="00981BE9" w:rsidP="00981BE9">
      <w:pPr>
        <w:pStyle w:val="Bodyfigures"/>
      </w:pPr>
      <w:r>
        <w:t xml:space="preserve">Figure </w:t>
      </w:r>
      <w:r w:rsidR="0045004A">
        <w:t>8</w:t>
      </w:r>
      <w:r>
        <w:t>: Rating tool for environmental management services to the EPA</w:t>
      </w:r>
    </w:p>
    <w:p w:rsidR="00981BE9" w:rsidRDefault="00981BE9" w:rsidP="00981BE9">
      <w:pPr>
        <w:pStyle w:val="Bodyfigures"/>
      </w:pPr>
    </w:p>
    <w:p w:rsidR="00B44F99" w:rsidRDefault="00B44F99" w:rsidP="00480851">
      <w:pPr>
        <w:pStyle w:val="Body"/>
      </w:pPr>
      <w:r>
        <w:rPr>
          <w:noProof/>
          <w:lang w:eastAsia="en-AU"/>
        </w:rPr>
        <w:drawing>
          <wp:inline distT="0" distB="0" distL="0" distR="0" wp14:anchorId="1E2F4E1D" wp14:editId="17D46AA1">
            <wp:extent cx="5019675" cy="3042421"/>
            <wp:effectExtent l="0" t="0" r="0" b="5715"/>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M-ranking.jpg"/>
                    <pic:cNvPicPr/>
                  </pic:nvPicPr>
                  <pic:blipFill>
                    <a:blip r:embed="rId51">
                      <a:extLst>
                        <a:ext uri="{28A0092B-C50C-407E-A947-70E740481C1C}">
                          <a14:useLocalDpi xmlns:a14="http://schemas.microsoft.com/office/drawing/2010/main" val="0"/>
                        </a:ext>
                      </a:extLst>
                    </a:blip>
                    <a:stretch>
                      <a:fillRect/>
                    </a:stretch>
                  </pic:blipFill>
                  <pic:spPr>
                    <a:xfrm>
                      <a:off x="0" y="0"/>
                      <a:ext cx="5025822" cy="3046147"/>
                    </a:xfrm>
                    <a:prstGeom prst="rect">
                      <a:avLst/>
                    </a:prstGeom>
                  </pic:spPr>
                </pic:pic>
              </a:graphicData>
            </a:graphic>
          </wp:inline>
        </w:drawing>
      </w:r>
    </w:p>
    <w:p w:rsidR="00981BE9" w:rsidRDefault="00981BE9" w:rsidP="00CA127E">
      <w:pPr>
        <w:pStyle w:val="Bodyfigures"/>
      </w:pPr>
      <w:r>
        <w:t xml:space="preserve">Figure </w:t>
      </w:r>
      <w:r w:rsidR="0045004A">
        <w:t>9</w:t>
      </w:r>
      <w:r>
        <w:t xml:space="preserve">: </w:t>
      </w:r>
      <w:r w:rsidR="00CA127E">
        <w:rPr>
          <w:lang w:eastAsia="en-AU"/>
        </w:rPr>
        <w:t>The EPA's satisfaction with the OEPA's provision of environmental management services during the year</w:t>
      </w:r>
    </w:p>
    <w:p w:rsidR="00981BE9" w:rsidRPr="00477212" w:rsidRDefault="00981BE9" w:rsidP="00480851">
      <w:pPr>
        <w:pStyle w:val="Body"/>
      </w:pPr>
    </w:p>
    <w:p w:rsidR="00D85C96" w:rsidRDefault="00D85C96" w:rsidP="00D85C96">
      <w:pPr>
        <w:pStyle w:val="Heading1"/>
      </w:pPr>
      <w:bookmarkStart w:id="51" w:name="_Toc428279174"/>
      <w:r w:rsidRPr="00B10A58">
        <w:t>Policy and guidance</w:t>
      </w:r>
      <w:bookmarkEnd w:id="51"/>
      <w:r w:rsidRPr="00B10A58">
        <w:t xml:space="preserve"> </w:t>
      </w:r>
    </w:p>
    <w:p w:rsidR="00D85C96" w:rsidRPr="00D85C96" w:rsidRDefault="00D85C96" w:rsidP="00D85C96">
      <w:pPr>
        <w:pStyle w:val="Heading2"/>
        <w:rPr>
          <w:rStyle w:val="Style11ptBoldItalic"/>
          <w:b/>
          <w:bCs/>
          <w:i w:val="0"/>
          <w:iCs w:val="0"/>
          <w:sz w:val="32"/>
        </w:rPr>
      </w:pPr>
      <w:bookmarkStart w:id="52" w:name="_Toc428279175"/>
      <w:r w:rsidRPr="00D85C96">
        <w:rPr>
          <w:rStyle w:val="Style11ptBoldItalic"/>
          <w:b/>
          <w:bCs/>
          <w:i w:val="0"/>
          <w:iCs w:val="0"/>
          <w:sz w:val="32"/>
        </w:rPr>
        <w:t>Bilateral Agreement</w:t>
      </w:r>
      <w:bookmarkEnd w:id="52"/>
      <w:r w:rsidRPr="00D85C96">
        <w:rPr>
          <w:rStyle w:val="Style11ptBoldItalic"/>
          <w:b/>
          <w:bCs/>
          <w:i w:val="0"/>
          <w:iCs w:val="0"/>
          <w:sz w:val="32"/>
        </w:rPr>
        <w:t xml:space="preserve"> </w:t>
      </w:r>
    </w:p>
    <w:p w:rsidR="00D85C96" w:rsidRDefault="00D85C96" w:rsidP="00D85C96">
      <w:pPr>
        <w:pStyle w:val="Body"/>
      </w:pPr>
      <w:r>
        <w:t>O</w:t>
      </w:r>
      <w:r w:rsidRPr="00521434">
        <w:t xml:space="preserve">n 3 October 2014 </w:t>
      </w:r>
      <w:r>
        <w:t xml:space="preserve">the State of Western Australia and the Commonwealth Government signed </w:t>
      </w:r>
      <w:r w:rsidRPr="00521434">
        <w:t xml:space="preserve">a new </w:t>
      </w:r>
      <w:r>
        <w:t>Assessment Bilateral A</w:t>
      </w:r>
      <w:r w:rsidRPr="00521434">
        <w:t xml:space="preserve">greement </w:t>
      </w:r>
      <w:r>
        <w:t xml:space="preserve"> under the </w:t>
      </w:r>
      <w:r w:rsidRPr="002C3C3B">
        <w:rPr>
          <w:i/>
        </w:rPr>
        <w:t xml:space="preserve">Environment Protection and Biodiversity Conservation Act 1999 </w:t>
      </w:r>
      <w:r>
        <w:t xml:space="preserve">(EPBC Act). The new agreement </w:t>
      </w:r>
      <w:r w:rsidRPr="00521434">
        <w:t xml:space="preserve">came into effect on 1 January 2015. </w:t>
      </w:r>
      <w:r>
        <w:t xml:space="preserve">  </w:t>
      </w:r>
    </w:p>
    <w:p w:rsidR="00D85C96" w:rsidRPr="00521434" w:rsidRDefault="00D85C96" w:rsidP="00D85C96">
      <w:pPr>
        <w:pStyle w:val="Body"/>
      </w:pPr>
      <w:r>
        <w:t>A previous bilateral agreement had operated since 2002; however, the</w:t>
      </w:r>
      <w:r w:rsidRPr="00521434">
        <w:t xml:space="preserve"> new agreement </w:t>
      </w:r>
      <w:r>
        <w:t xml:space="preserve">has an expanded scope and </w:t>
      </w:r>
      <w:r w:rsidRPr="00521434">
        <w:t xml:space="preserve">now accredits the EPA’s Assessment on Proponent Information </w:t>
      </w:r>
      <w:r>
        <w:t>–</w:t>
      </w:r>
      <w:r w:rsidRPr="00521434">
        <w:t xml:space="preserve"> </w:t>
      </w:r>
      <w:r>
        <w:t>C</w:t>
      </w:r>
      <w:r w:rsidRPr="00521434">
        <w:t xml:space="preserve">ategory A (API </w:t>
      </w:r>
      <w:r>
        <w:t>–</w:t>
      </w:r>
      <w:r w:rsidRPr="00521434">
        <w:t xml:space="preserve"> Category A) level of assessment and the clearing of native vegetation permit process administered by the Department of Environment Regulation under Part V of the EP Act.</w:t>
      </w:r>
    </w:p>
    <w:p w:rsidR="00D85C96" w:rsidRDefault="00D85C96" w:rsidP="00D85C96">
      <w:pPr>
        <w:pStyle w:val="Body"/>
      </w:pPr>
      <w:r w:rsidRPr="00521434">
        <w:t>The process for conducting a P</w:t>
      </w:r>
      <w:r>
        <w:t xml:space="preserve">ublic </w:t>
      </w:r>
      <w:r w:rsidRPr="00521434">
        <w:t>E</w:t>
      </w:r>
      <w:r>
        <w:t xml:space="preserve">nvironmental </w:t>
      </w:r>
      <w:r w:rsidRPr="00521434">
        <w:t>R</w:t>
      </w:r>
      <w:r>
        <w:t>eview</w:t>
      </w:r>
      <w:r w:rsidRPr="00521434">
        <w:t xml:space="preserve"> under the new Bilateral Agreement has not changed. However, the agreement requires that proponents of proposals that are assessed at the level of API</w:t>
      </w:r>
      <w:r>
        <w:t>–</w:t>
      </w:r>
      <w:r w:rsidRPr="00521434">
        <w:t xml:space="preserve"> Category A release their draft assessment documentation, providing information on the likely significant impacts of their proposal on matters of national environmental significance, for public comment for at least 14 calendar days. The public participation process for API – Category A proposals is being facilitated by proponent invitations for public comment being hosted on the EPA’s consultation hub.</w:t>
      </w:r>
      <w:r w:rsidR="006A2E14">
        <w:t xml:space="preserve"> </w:t>
      </w:r>
      <w:r>
        <w:t xml:space="preserve">Other features of the API – Category A process remain the same, providing for a timely assessment process. </w:t>
      </w:r>
    </w:p>
    <w:p w:rsidR="00E94ED5" w:rsidRPr="00521434" w:rsidRDefault="00E94ED5" w:rsidP="00D85C96">
      <w:pPr>
        <w:pStyle w:val="Body"/>
      </w:pPr>
      <w:r w:rsidRPr="00966ED7">
        <w:lastRenderedPageBreak/>
        <w:t>Three proposals were completed under the 2002 bilateral agreem</w:t>
      </w:r>
      <w:r w:rsidR="00966ED7">
        <w:t>ent during the reporting period.</w:t>
      </w:r>
      <w:r>
        <w:t xml:space="preserve"> </w:t>
      </w:r>
    </w:p>
    <w:p w:rsidR="00D85C96" w:rsidRPr="00521434" w:rsidRDefault="00D85C96" w:rsidP="00D85C96">
      <w:pPr>
        <w:pStyle w:val="Body"/>
      </w:pPr>
      <w:r>
        <w:t xml:space="preserve">The EPA </w:t>
      </w:r>
      <w:r w:rsidRPr="003E566B">
        <w:t>received one referral under the new Bilateral Agreement.</w:t>
      </w:r>
      <w:r>
        <w:t xml:space="preserve"> However, on 26 June 2015 the Commonwealth Minister for the Environment’s delegate reconsidered the previous decision that the proposal was a ‘controlled action’ based on new information made </w:t>
      </w:r>
      <w:r w:rsidRPr="005E1212">
        <w:rPr>
          <w:rFonts w:cs="Arial"/>
        </w:rPr>
        <w:t xml:space="preserve">available </w:t>
      </w:r>
      <w:r>
        <w:rPr>
          <w:rFonts w:cs="Arial"/>
        </w:rPr>
        <w:t>during</w:t>
      </w:r>
      <w:r w:rsidRPr="005E1212">
        <w:rPr>
          <w:rFonts w:cs="Arial"/>
        </w:rPr>
        <w:t xml:space="preserve"> the </w:t>
      </w:r>
      <w:r>
        <w:rPr>
          <w:rFonts w:cs="Arial"/>
        </w:rPr>
        <w:t xml:space="preserve">EPA’s </w:t>
      </w:r>
      <w:r w:rsidRPr="005E1212">
        <w:rPr>
          <w:rFonts w:cs="Arial"/>
        </w:rPr>
        <w:t>assessment</w:t>
      </w:r>
      <w:r>
        <w:rPr>
          <w:rFonts w:cs="Arial"/>
        </w:rPr>
        <w:t>, and decided to revoke that decision. This means that</w:t>
      </w:r>
      <w:r w:rsidRPr="005E1212">
        <w:rPr>
          <w:rFonts w:cs="Arial"/>
        </w:rPr>
        <w:t xml:space="preserve"> the </w:t>
      </w:r>
      <w:r>
        <w:rPr>
          <w:rFonts w:cs="Arial"/>
        </w:rPr>
        <w:t>proposal</w:t>
      </w:r>
      <w:r w:rsidRPr="005E1212">
        <w:rPr>
          <w:rFonts w:cs="Arial"/>
        </w:rPr>
        <w:t xml:space="preserve"> is no longer a </w:t>
      </w:r>
      <w:r>
        <w:rPr>
          <w:rFonts w:cs="Arial"/>
        </w:rPr>
        <w:t>‘</w:t>
      </w:r>
      <w:r w:rsidRPr="005E1212">
        <w:rPr>
          <w:rFonts w:cs="Arial"/>
        </w:rPr>
        <w:t>controlled action</w:t>
      </w:r>
      <w:r>
        <w:rPr>
          <w:rFonts w:cs="Arial"/>
        </w:rPr>
        <w:t>’</w:t>
      </w:r>
      <w:r w:rsidRPr="005E1212">
        <w:rPr>
          <w:rFonts w:cs="Arial"/>
        </w:rPr>
        <w:t xml:space="preserve"> </w:t>
      </w:r>
      <w:r>
        <w:rPr>
          <w:rFonts w:cs="Arial"/>
        </w:rPr>
        <w:t xml:space="preserve">and does not require assessment and approval </w:t>
      </w:r>
      <w:r w:rsidRPr="005E1212">
        <w:rPr>
          <w:rFonts w:cs="Arial"/>
        </w:rPr>
        <w:t>under the EPBC Act.</w:t>
      </w:r>
      <w:r>
        <w:t xml:space="preserve"> </w:t>
      </w:r>
    </w:p>
    <w:p w:rsidR="00D85C96" w:rsidRPr="00D85C96" w:rsidRDefault="00D85C96" w:rsidP="00D85C96">
      <w:pPr>
        <w:pStyle w:val="Heading2"/>
        <w:rPr>
          <w:rStyle w:val="Style11ptBoldItalic"/>
          <w:b/>
          <w:bCs/>
          <w:i w:val="0"/>
          <w:iCs w:val="0"/>
          <w:sz w:val="32"/>
        </w:rPr>
      </w:pPr>
      <w:bookmarkStart w:id="53" w:name="_Toc428279176"/>
      <w:r w:rsidRPr="00D85C96">
        <w:rPr>
          <w:rStyle w:val="Style11ptBoldItalic"/>
          <w:b/>
          <w:bCs/>
          <w:i w:val="0"/>
          <w:iCs w:val="0"/>
          <w:sz w:val="32"/>
        </w:rPr>
        <w:t>Perth-Peel strategic assessment</w:t>
      </w:r>
      <w:bookmarkEnd w:id="53"/>
    </w:p>
    <w:p w:rsidR="00D85C96" w:rsidRPr="00565985" w:rsidRDefault="00D85C96" w:rsidP="00D85C96">
      <w:pPr>
        <w:pStyle w:val="Body"/>
        <w:rPr>
          <w:lang w:val="en-US"/>
        </w:rPr>
      </w:pPr>
      <w:r w:rsidRPr="00565985">
        <w:t>During 2014</w:t>
      </w:r>
      <w:r>
        <w:t>–</w:t>
      </w:r>
      <w:r w:rsidRPr="00565985">
        <w:t xml:space="preserve">15, the OEPA has continued to actively contribute to the Strategic Assessment of </w:t>
      </w:r>
      <w:r>
        <w:t xml:space="preserve">the </w:t>
      </w:r>
      <w:r w:rsidRPr="00565985">
        <w:t>Perth</w:t>
      </w:r>
      <w:r>
        <w:t xml:space="preserve"> and </w:t>
      </w:r>
      <w:r w:rsidRPr="00565985">
        <w:t>Peel region</w:t>
      </w:r>
      <w:r>
        <w:t>s</w:t>
      </w:r>
      <w:r w:rsidRPr="00565985">
        <w:t xml:space="preserve"> and associated implementation considerations</w:t>
      </w:r>
      <w:r>
        <w:t>,</w:t>
      </w:r>
      <w:r w:rsidRPr="00565985">
        <w:t xml:space="preserve"> being undertaken by </w:t>
      </w:r>
      <w:r w:rsidRPr="00565985">
        <w:rPr>
          <w:lang w:val="en-US"/>
        </w:rPr>
        <w:t xml:space="preserve">the Commonwealth Department of the Environment and the Government of Western Australia. The strategic assessment is being led by </w:t>
      </w:r>
      <w:r w:rsidRPr="00565985">
        <w:t>the Department of the Premier and Cabinet</w:t>
      </w:r>
      <w:r w:rsidRPr="00565985">
        <w:rPr>
          <w:lang w:val="en-US"/>
        </w:rPr>
        <w:t xml:space="preserve">. </w:t>
      </w:r>
    </w:p>
    <w:p w:rsidR="00D85C96" w:rsidRPr="00565985" w:rsidRDefault="00D85C96" w:rsidP="00D85C96">
      <w:pPr>
        <w:pStyle w:val="Body"/>
        <w:rPr>
          <w:lang w:val="en-US"/>
        </w:rPr>
      </w:pPr>
      <w:r w:rsidRPr="00565985">
        <w:rPr>
          <w:lang w:val="en-US"/>
        </w:rPr>
        <w:t>The assessment is being undertaken in anticipation of the growth of the Perth</w:t>
      </w:r>
      <w:r w:rsidR="005E162D">
        <w:rPr>
          <w:lang w:val="en-US"/>
        </w:rPr>
        <w:t xml:space="preserve"> and </w:t>
      </w:r>
      <w:r w:rsidRPr="00565985">
        <w:rPr>
          <w:lang w:val="en-US"/>
        </w:rPr>
        <w:t>Peel regio</w:t>
      </w:r>
      <w:r w:rsidR="006F4400">
        <w:rPr>
          <w:lang w:val="en-US"/>
        </w:rPr>
        <w:t>n</w:t>
      </w:r>
      <w:r w:rsidR="005E162D">
        <w:rPr>
          <w:lang w:val="en-US"/>
        </w:rPr>
        <w:t>s</w:t>
      </w:r>
      <w:r w:rsidRPr="00565985">
        <w:rPr>
          <w:lang w:val="en-US"/>
        </w:rPr>
        <w:t xml:space="preserve"> and the potential environmental impacts of the development required </w:t>
      </w:r>
      <w:proofErr w:type="gramStart"/>
      <w:r w:rsidRPr="00565985">
        <w:rPr>
          <w:lang w:val="en-US"/>
        </w:rPr>
        <w:t>to support</w:t>
      </w:r>
      <w:proofErr w:type="gramEnd"/>
      <w:r w:rsidRPr="00565985">
        <w:rPr>
          <w:lang w:val="en-US"/>
        </w:rPr>
        <w:t xml:space="preserve"> a city of 3.5 million people.</w:t>
      </w:r>
    </w:p>
    <w:p w:rsidR="00D85C96" w:rsidRPr="00565985" w:rsidRDefault="00D85C96" w:rsidP="00D85C96">
      <w:pPr>
        <w:pStyle w:val="Body"/>
        <w:rPr>
          <w:lang w:val="en-US"/>
        </w:rPr>
      </w:pPr>
      <w:r w:rsidRPr="00565985">
        <w:rPr>
          <w:lang w:val="en-US"/>
        </w:rPr>
        <w:t xml:space="preserve">The Commonwealth will assess the potential impacts on matters of national environmental significance, protected under the </w:t>
      </w:r>
      <w:r w:rsidRPr="00A9631E">
        <w:rPr>
          <w:iCs/>
          <w:lang w:val="en-US"/>
        </w:rPr>
        <w:t>EPBC Act</w:t>
      </w:r>
      <w:r w:rsidRPr="00A9631E">
        <w:rPr>
          <w:lang w:val="en-US"/>
        </w:rPr>
        <w:t>.</w:t>
      </w:r>
      <w:r w:rsidRPr="00565985">
        <w:rPr>
          <w:lang w:val="en-US"/>
        </w:rPr>
        <w:t xml:space="preserve"> </w:t>
      </w:r>
    </w:p>
    <w:p w:rsidR="00D85C96" w:rsidRPr="00565985" w:rsidRDefault="00D85C96" w:rsidP="00D85C96">
      <w:pPr>
        <w:pStyle w:val="Body"/>
      </w:pPr>
      <w:r w:rsidRPr="00565985">
        <w:t>In parallel, the EPA is developing strategic</w:t>
      </w:r>
      <w:r w:rsidRPr="00565985">
        <w:rPr>
          <w:lang w:val="en-US"/>
        </w:rPr>
        <w:t xml:space="preserve"> environmental advice on other State environmental values</w:t>
      </w:r>
      <w:r>
        <w:rPr>
          <w:lang w:val="en-US"/>
        </w:rPr>
        <w:t xml:space="preserve"> in the region</w:t>
      </w:r>
      <w:r w:rsidRPr="00565985">
        <w:rPr>
          <w:lang w:val="en-US"/>
        </w:rPr>
        <w:t>. The EPA’s interim strategic advice is expected to be published in early 2015</w:t>
      </w:r>
      <w:r>
        <w:rPr>
          <w:lang w:val="en-US"/>
        </w:rPr>
        <w:t>–</w:t>
      </w:r>
      <w:r w:rsidRPr="00565985">
        <w:rPr>
          <w:lang w:val="en-US"/>
        </w:rPr>
        <w:t>16,</w:t>
      </w:r>
      <w:r>
        <w:rPr>
          <w:lang w:val="en-US"/>
        </w:rPr>
        <w:t xml:space="preserve"> providing</w:t>
      </w:r>
      <w:r w:rsidRPr="00565985">
        <w:rPr>
          <w:lang w:val="en-US"/>
        </w:rPr>
        <w:t xml:space="preserve"> a preliminary response to the four </w:t>
      </w:r>
      <w:r>
        <w:rPr>
          <w:lang w:val="en-US"/>
        </w:rPr>
        <w:t xml:space="preserve">draft </w:t>
      </w:r>
      <w:r w:rsidRPr="00565985">
        <w:rPr>
          <w:lang w:val="en-US"/>
        </w:rPr>
        <w:t xml:space="preserve">Sub-regional Planning Frameworks </w:t>
      </w:r>
      <w:r>
        <w:rPr>
          <w:lang w:val="en-US"/>
        </w:rPr>
        <w:t>released for public comment</w:t>
      </w:r>
      <w:r w:rsidRPr="00565985">
        <w:rPr>
          <w:lang w:val="en-US"/>
        </w:rPr>
        <w:t xml:space="preserve"> by the Western Australian Planning Commission in May 2015.  </w:t>
      </w:r>
    </w:p>
    <w:p w:rsidR="00D85C96" w:rsidRPr="00565985" w:rsidRDefault="00D85C96" w:rsidP="00D85C96">
      <w:pPr>
        <w:pStyle w:val="Body"/>
        <w:rPr>
          <w:lang w:val="en-US"/>
        </w:rPr>
      </w:pPr>
      <w:r w:rsidRPr="00565985">
        <w:rPr>
          <w:lang w:val="en-US"/>
        </w:rPr>
        <w:t>The parallel consideration of State and Commonwealth environmental issues early in the planning process will allow for streamlined environmental and planning approvals</w:t>
      </w:r>
      <w:r>
        <w:rPr>
          <w:lang w:val="en-US"/>
        </w:rPr>
        <w:t xml:space="preserve"> and more strategic environmental outcomes</w:t>
      </w:r>
      <w:r w:rsidRPr="00565985">
        <w:rPr>
          <w:lang w:val="en-US"/>
        </w:rPr>
        <w:t>.</w:t>
      </w:r>
    </w:p>
    <w:p w:rsidR="00D85C96" w:rsidRPr="005E162D" w:rsidRDefault="00D85C96" w:rsidP="005E162D">
      <w:pPr>
        <w:pStyle w:val="Heading2"/>
        <w:rPr>
          <w:rStyle w:val="Style11ptBoldItalic"/>
          <w:b/>
          <w:bCs/>
          <w:i w:val="0"/>
          <w:iCs w:val="0"/>
          <w:sz w:val="32"/>
        </w:rPr>
      </w:pPr>
      <w:bookmarkStart w:id="54" w:name="_Toc428279177"/>
      <w:r w:rsidRPr="005E162D">
        <w:rPr>
          <w:rStyle w:val="Style11ptBoldItalic"/>
          <w:b/>
          <w:bCs/>
          <w:i w:val="0"/>
          <w:iCs w:val="0"/>
          <w:sz w:val="32"/>
        </w:rPr>
        <w:t xml:space="preserve">Regulatory </w:t>
      </w:r>
      <w:r w:rsidR="006133D4">
        <w:rPr>
          <w:rStyle w:val="Style11ptBoldItalic"/>
          <w:b/>
          <w:bCs/>
          <w:i w:val="0"/>
          <w:iCs w:val="0"/>
          <w:sz w:val="32"/>
        </w:rPr>
        <w:t>f</w:t>
      </w:r>
      <w:r w:rsidRPr="005E162D">
        <w:rPr>
          <w:rStyle w:val="Style11ptBoldItalic"/>
          <w:b/>
          <w:bCs/>
          <w:i w:val="0"/>
          <w:iCs w:val="0"/>
          <w:sz w:val="32"/>
        </w:rPr>
        <w:t xml:space="preserve">ramework for </w:t>
      </w:r>
      <w:r w:rsidR="006133D4">
        <w:rPr>
          <w:rStyle w:val="Style11ptBoldItalic"/>
          <w:b/>
          <w:bCs/>
          <w:i w:val="0"/>
          <w:iCs w:val="0"/>
          <w:sz w:val="32"/>
        </w:rPr>
        <w:t>s</w:t>
      </w:r>
      <w:r w:rsidRPr="005E162D">
        <w:rPr>
          <w:rStyle w:val="Style11ptBoldItalic"/>
          <w:b/>
          <w:bCs/>
          <w:i w:val="0"/>
          <w:iCs w:val="0"/>
          <w:sz w:val="32"/>
        </w:rPr>
        <w:t xml:space="preserve">hale and </w:t>
      </w:r>
      <w:r w:rsidR="006133D4">
        <w:rPr>
          <w:rStyle w:val="Style11ptBoldItalic"/>
          <w:b/>
          <w:bCs/>
          <w:i w:val="0"/>
          <w:iCs w:val="0"/>
          <w:sz w:val="32"/>
        </w:rPr>
        <w:t>t</w:t>
      </w:r>
      <w:r w:rsidRPr="005E162D">
        <w:rPr>
          <w:rStyle w:val="Style11ptBoldItalic"/>
          <w:b/>
          <w:bCs/>
          <w:i w:val="0"/>
          <w:iCs w:val="0"/>
          <w:sz w:val="32"/>
        </w:rPr>
        <w:t xml:space="preserve">ight </w:t>
      </w:r>
      <w:r w:rsidR="006133D4">
        <w:rPr>
          <w:rStyle w:val="Style11ptBoldItalic"/>
          <w:b/>
          <w:bCs/>
          <w:i w:val="0"/>
          <w:iCs w:val="0"/>
          <w:sz w:val="32"/>
        </w:rPr>
        <w:t>g</w:t>
      </w:r>
      <w:r w:rsidRPr="005E162D">
        <w:rPr>
          <w:rStyle w:val="Style11ptBoldItalic"/>
          <w:b/>
          <w:bCs/>
          <w:i w:val="0"/>
          <w:iCs w:val="0"/>
          <w:sz w:val="32"/>
        </w:rPr>
        <w:t>as</w:t>
      </w:r>
      <w:bookmarkEnd w:id="54"/>
      <w:r w:rsidRPr="005E162D">
        <w:rPr>
          <w:rStyle w:val="Style11ptBoldItalic"/>
          <w:b/>
          <w:bCs/>
          <w:i w:val="0"/>
          <w:iCs w:val="0"/>
          <w:sz w:val="32"/>
        </w:rPr>
        <w:t xml:space="preserve"> </w:t>
      </w:r>
    </w:p>
    <w:p w:rsidR="00D85C96" w:rsidRDefault="00D85C96" w:rsidP="00D85C96">
      <w:pPr>
        <w:pStyle w:val="Body"/>
      </w:pPr>
      <w:r>
        <w:t xml:space="preserve">In December 2014, the EPA published Environmental Protection Bulletin 22 – </w:t>
      </w:r>
      <w:r w:rsidRPr="002C3C3B">
        <w:rPr>
          <w:i/>
        </w:rPr>
        <w:t>Hydraulic fracturing for onshore natural gas from shale and tight rocks</w:t>
      </w:r>
      <w:r>
        <w:t xml:space="preserve">. The bulletin replaced EPB 15, and was developed to provide additional information to guide the potential referral of larger scale proposals involving hydraulic fracturing. It also updates the regulatory framework which has evolved significantly over the past few years. </w:t>
      </w:r>
    </w:p>
    <w:p w:rsidR="00D85C96" w:rsidRDefault="00D85C96" w:rsidP="00D85C96">
      <w:pPr>
        <w:pStyle w:val="Body"/>
      </w:pPr>
      <w:r>
        <w:lastRenderedPageBreak/>
        <w:t xml:space="preserve">Throughout 2014–15, the OEPA continued to work closely with the Department of Mines and Petroleum and other agencies on preparing the </w:t>
      </w:r>
      <w:r w:rsidRPr="00236D1F">
        <w:rPr>
          <w:i/>
        </w:rPr>
        <w:t>Guide to the Regulatory Framework for Shale and Tight Gas in Western Australian</w:t>
      </w:r>
      <w:r>
        <w:t>. It also provided ongoing input to the Interagency Working Group for Shale and Tight Gas, and the Interagency Science Needs Working Group.</w:t>
      </w:r>
    </w:p>
    <w:p w:rsidR="00D85C96" w:rsidRPr="002C3C3B" w:rsidRDefault="00D85C96" w:rsidP="00D85C96">
      <w:pPr>
        <w:pStyle w:val="Body"/>
      </w:pPr>
      <w:r>
        <w:t xml:space="preserve">During 2014–15 the EPA received one referral involving the use of hydraulic fracturing techniques –the West </w:t>
      </w:r>
      <w:proofErr w:type="spellStart"/>
      <w:r>
        <w:t>Eregulla</w:t>
      </w:r>
      <w:proofErr w:type="spellEnd"/>
      <w:r>
        <w:t xml:space="preserve"> 2 Exploration Well. The EPA determined that this proposal did not require formal impact assessment, but provided public advice on the proposal on 20 January 2015. There were no appeals against the EPA’s decision not to assess the proposal.   </w:t>
      </w:r>
    </w:p>
    <w:p w:rsidR="00D85C96" w:rsidRPr="005E162D" w:rsidRDefault="00D85C96" w:rsidP="005E162D">
      <w:pPr>
        <w:pStyle w:val="Heading2"/>
        <w:rPr>
          <w:rStyle w:val="Style11ptBoldItalic"/>
          <w:b/>
          <w:bCs/>
          <w:i w:val="0"/>
          <w:iCs w:val="0"/>
          <w:sz w:val="32"/>
        </w:rPr>
      </w:pPr>
      <w:bookmarkStart w:id="55" w:name="_Toc428279178"/>
      <w:r w:rsidRPr="005E162D">
        <w:rPr>
          <w:rStyle w:val="Style11ptBoldItalic"/>
          <w:b/>
          <w:bCs/>
          <w:i w:val="0"/>
          <w:iCs w:val="0"/>
          <w:sz w:val="32"/>
        </w:rPr>
        <w:t>Memoranda of Understanding</w:t>
      </w:r>
      <w:bookmarkEnd w:id="55"/>
    </w:p>
    <w:p w:rsidR="00D85C96" w:rsidRPr="00521434" w:rsidRDefault="00D85C96" w:rsidP="00D85C96">
      <w:pPr>
        <w:pStyle w:val="Body"/>
      </w:pPr>
      <w:r w:rsidRPr="00521434">
        <w:t>The OEPA has been progressing new or updated cooperative arrangem</w:t>
      </w:r>
      <w:r>
        <w:t xml:space="preserve">ents </w:t>
      </w:r>
      <w:r w:rsidRPr="00521434">
        <w:t>with other departments</w:t>
      </w:r>
      <w:r>
        <w:t>, in the form of Memoranda of Understanding (MOU</w:t>
      </w:r>
      <w:r w:rsidRPr="00521434">
        <w:t>)</w:t>
      </w:r>
      <w:r>
        <w:t xml:space="preserve">, </w:t>
      </w:r>
      <w:r w:rsidRPr="00521434">
        <w:t xml:space="preserve">to minimise duplication of environmental assessment and management processes. A MOU with the Department of Parks and Wildlife was </w:t>
      </w:r>
      <w:r>
        <w:t xml:space="preserve">finalised and </w:t>
      </w:r>
      <w:r w:rsidRPr="00521434">
        <w:t>published on 4 March 2015 and builds on previous arrangements</w:t>
      </w:r>
      <w:r>
        <w:t>;</w:t>
      </w:r>
      <w:r w:rsidRPr="00521434">
        <w:t xml:space="preserve"> standardising and simplifying interaction in relation to environmental impact assessment and the development of environmental policies. MOU</w:t>
      </w:r>
      <w:r>
        <w:t>s</w:t>
      </w:r>
      <w:r w:rsidRPr="00521434">
        <w:t xml:space="preserve"> with the </w:t>
      </w:r>
      <w:r>
        <w:t>d</w:t>
      </w:r>
      <w:r w:rsidRPr="00521434">
        <w:t>epartment</w:t>
      </w:r>
      <w:r>
        <w:t>s</w:t>
      </w:r>
      <w:r w:rsidRPr="00521434">
        <w:t xml:space="preserve"> of Water </w:t>
      </w:r>
      <w:r>
        <w:t xml:space="preserve">and Aboriginal Affairs </w:t>
      </w:r>
      <w:r w:rsidRPr="00521434">
        <w:t>will be finalised shortly</w:t>
      </w:r>
      <w:r>
        <w:t>,</w:t>
      </w:r>
      <w:r w:rsidRPr="00521434">
        <w:t xml:space="preserve"> and the OEPA is continuing to develop MOUs with the </w:t>
      </w:r>
      <w:r>
        <w:t>d</w:t>
      </w:r>
      <w:r w:rsidRPr="00521434">
        <w:t xml:space="preserve">epartments of Environment Regulation, </w:t>
      </w:r>
      <w:r>
        <w:t xml:space="preserve">and </w:t>
      </w:r>
      <w:r w:rsidRPr="00521434">
        <w:t>Mines and Petroleum.</w:t>
      </w:r>
    </w:p>
    <w:p w:rsidR="00D85C96" w:rsidRPr="005E162D" w:rsidRDefault="00D85C96" w:rsidP="005E162D">
      <w:pPr>
        <w:pStyle w:val="Heading2"/>
        <w:rPr>
          <w:rStyle w:val="Style11ptBoldItalic"/>
          <w:b/>
          <w:bCs/>
          <w:i w:val="0"/>
          <w:iCs w:val="0"/>
          <w:sz w:val="32"/>
        </w:rPr>
      </w:pPr>
      <w:bookmarkStart w:id="56" w:name="_Toc428279179"/>
      <w:r w:rsidRPr="005E162D">
        <w:rPr>
          <w:rStyle w:val="Style11ptBoldItalic"/>
          <w:b/>
          <w:bCs/>
          <w:i w:val="0"/>
          <w:iCs w:val="0"/>
          <w:sz w:val="32"/>
        </w:rPr>
        <w:t>Comprehensive Policy Review Project</w:t>
      </w:r>
      <w:bookmarkEnd w:id="56"/>
    </w:p>
    <w:p w:rsidR="00D85C96" w:rsidRDefault="00D85C96" w:rsidP="00D85C96">
      <w:pPr>
        <w:pStyle w:val="Body"/>
      </w:pPr>
      <w:r>
        <w:t>The</w:t>
      </w:r>
      <w:r w:rsidRPr="00CC2601">
        <w:t xml:space="preserve"> comprehensive review of the EPA policy suite</w:t>
      </w:r>
      <w:r>
        <w:t>,</w:t>
      </w:r>
      <w:r w:rsidRPr="00CC2601">
        <w:t xml:space="preserve"> initiated in 2012</w:t>
      </w:r>
      <w:r>
        <w:t>–</w:t>
      </w:r>
      <w:r w:rsidRPr="00CC2601">
        <w:t>13,</w:t>
      </w:r>
      <w:r>
        <w:t xml:space="preserve"> was completed during the year. The purpose of the review was to ensure that the EPA has an up-to-date policy suite which provides clear guidance to proponents and the community. Five new policies have been published in 2014–15, with three providing guidance or advice on environmental matters and two policies conveying requirements for a timely and efficient environmental impact assessment process. Four out-dated </w:t>
      </w:r>
      <w:r w:rsidRPr="00CC2601">
        <w:t>EPA p</w:t>
      </w:r>
      <w:r>
        <w:t>olicies have been withdrawn, and four</w:t>
      </w:r>
      <w:r w:rsidRPr="00CC2601">
        <w:t xml:space="preserve"> revised</w:t>
      </w:r>
      <w:r>
        <w:t xml:space="preserve">. </w:t>
      </w:r>
      <w:r w:rsidRPr="00632BB3" w:rsidDel="008372E9">
        <w:t xml:space="preserve">In just over </w:t>
      </w:r>
      <w:r>
        <w:t>two</w:t>
      </w:r>
      <w:r w:rsidRPr="00632BB3" w:rsidDel="008372E9">
        <w:t xml:space="preserve"> years there </w:t>
      </w:r>
      <w:r>
        <w:t xml:space="preserve">has been a 30% increase in new EPA policies with 49% of older policies withdrawn.  </w:t>
      </w:r>
    </w:p>
    <w:p w:rsidR="00D85C96" w:rsidRDefault="00D85C96" w:rsidP="00D85C96">
      <w:pPr>
        <w:pStyle w:val="Body"/>
      </w:pPr>
      <w:r w:rsidRPr="00902F6F">
        <w:t xml:space="preserve">Over many years the EPA has also published more than 50 pieces of strategic advice to the Minister for Environment under section 16(e) of the EP Act. </w:t>
      </w:r>
      <w:r>
        <w:t>In 2014–15</w:t>
      </w:r>
      <w:r w:rsidRPr="00902F6F">
        <w:t>, each piece of advice was reviewed and 21 have been retained as current EPA advice</w:t>
      </w:r>
      <w:r>
        <w:t>. The</w:t>
      </w:r>
      <w:r w:rsidRPr="00902F6F">
        <w:t xml:space="preserve"> remainder </w:t>
      </w:r>
      <w:r>
        <w:t xml:space="preserve">have </w:t>
      </w:r>
      <w:r w:rsidRPr="00902F6F">
        <w:t>be</w:t>
      </w:r>
      <w:r>
        <w:t>en</w:t>
      </w:r>
      <w:r w:rsidRPr="00902F6F">
        <w:t xml:space="preserve"> archived</w:t>
      </w:r>
      <w:r>
        <w:t xml:space="preserve"> and, although still available, should be used</w:t>
      </w:r>
      <w:r w:rsidRPr="00902F6F">
        <w:t xml:space="preserve"> for historical reference only.</w:t>
      </w:r>
    </w:p>
    <w:p w:rsidR="00D85C96" w:rsidRPr="00521434" w:rsidRDefault="00D85C96" w:rsidP="00D85C96">
      <w:pPr>
        <w:pStyle w:val="Body"/>
      </w:pPr>
      <w:r>
        <w:t xml:space="preserve">The EPA will maintain a continuous program to ensure that all policies are regularly reviewed and kept up to date. </w:t>
      </w:r>
    </w:p>
    <w:p w:rsidR="00D85C96" w:rsidRPr="005E162D" w:rsidRDefault="00D85C96" w:rsidP="005E162D">
      <w:pPr>
        <w:pStyle w:val="Heading2"/>
        <w:rPr>
          <w:rStyle w:val="Style11ptBoldItalic"/>
          <w:b/>
          <w:bCs/>
          <w:i w:val="0"/>
          <w:iCs w:val="0"/>
          <w:sz w:val="32"/>
        </w:rPr>
      </w:pPr>
      <w:bookmarkStart w:id="57" w:name="_Toc428279180"/>
      <w:r w:rsidRPr="005E162D">
        <w:rPr>
          <w:rStyle w:val="Style11ptBoldItalic"/>
          <w:b/>
          <w:bCs/>
          <w:i w:val="0"/>
          <w:iCs w:val="0"/>
          <w:sz w:val="32"/>
        </w:rPr>
        <w:lastRenderedPageBreak/>
        <w:t>New and revised policy and guidance</w:t>
      </w:r>
      <w:bookmarkEnd w:id="57"/>
    </w:p>
    <w:p w:rsidR="00D85C96" w:rsidRPr="00521434" w:rsidRDefault="00D85C96" w:rsidP="00D85C96">
      <w:pPr>
        <w:pStyle w:val="Body"/>
      </w:pPr>
      <w:r w:rsidRPr="00521434">
        <w:t xml:space="preserve">The EPA continues to produce new policies </w:t>
      </w:r>
      <w:r>
        <w:t xml:space="preserve">and guidance </w:t>
      </w:r>
      <w:r w:rsidRPr="00521434">
        <w:t>which provide clear and consistent advice to proponents and the public on:</w:t>
      </w:r>
    </w:p>
    <w:p w:rsidR="00D85C96" w:rsidRPr="007E47E2" w:rsidRDefault="00D85C96" w:rsidP="00067EE9">
      <w:pPr>
        <w:pStyle w:val="ListParagraph"/>
      </w:pPr>
      <w:r w:rsidRPr="007E47E2">
        <w:t xml:space="preserve">the EIA process; </w:t>
      </w:r>
    </w:p>
    <w:p w:rsidR="00D85C96" w:rsidRPr="007E47E2" w:rsidRDefault="00D85C96" w:rsidP="00067EE9">
      <w:pPr>
        <w:pStyle w:val="ListParagraph"/>
      </w:pPr>
      <w:r w:rsidRPr="007E47E2">
        <w:t xml:space="preserve">addressing EPA factors and objectives; and </w:t>
      </w:r>
    </w:p>
    <w:p w:rsidR="00D85C96" w:rsidRPr="007E47E2" w:rsidRDefault="00D85C96" w:rsidP="00067EE9">
      <w:pPr>
        <w:pStyle w:val="ListParagraph"/>
      </w:pPr>
      <w:proofErr w:type="gramStart"/>
      <w:r w:rsidRPr="007E47E2">
        <w:t>articulating</w:t>
      </w:r>
      <w:proofErr w:type="gramEnd"/>
      <w:r w:rsidRPr="007E47E2">
        <w:t xml:space="preserve"> the EPA’s position on important environmental matters.</w:t>
      </w:r>
    </w:p>
    <w:p w:rsidR="00D85C96" w:rsidRPr="00E83975" w:rsidRDefault="00D85C96" w:rsidP="005E162D">
      <w:pPr>
        <w:pStyle w:val="Heading3"/>
      </w:pPr>
      <w:bookmarkStart w:id="58" w:name="_Toc428279181"/>
      <w:r w:rsidRPr="00E83975">
        <w:t>Environmental Assessment Guidelines</w:t>
      </w:r>
      <w:bookmarkEnd w:id="58"/>
    </w:p>
    <w:p w:rsidR="00D85C96" w:rsidRPr="00521434" w:rsidRDefault="00D85C96" w:rsidP="00D85C96">
      <w:pPr>
        <w:pStyle w:val="Body"/>
      </w:pPr>
      <w:r w:rsidRPr="00521434">
        <w:t>In 2014-15, four new Environmental Assessment Guidelines (EAGs) were released. EAGs are issued by the EPA to provide advice to proponents and the public generally on the procedures and minimum environmental requirements that the EPA expects to be met during the environmental impact assessment process.</w:t>
      </w:r>
    </w:p>
    <w:p w:rsidR="00D85C96" w:rsidRPr="00521434" w:rsidRDefault="00D85C96" w:rsidP="00D85C96">
      <w:pPr>
        <w:pStyle w:val="Body"/>
      </w:pPr>
      <w:r w:rsidRPr="005E162D">
        <w:rPr>
          <w:b/>
          <w:i/>
        </w:rPr>
        <w:t>Consideration of environmental impacts from noise</w:t>
      </w:r>
      <w:r w:rsidRPr="00521434">
        <w:rPr>
          <w:i/>
        </w:rPr>
        <w:t xml:space="preserve"> </w:t>
      </w:r>
      <w:r w:rsidRPr="00521434">
        <w:t>(EAG13) was released</w:t>
      </w:r>
      <w:r>
        <w:t xml:space="preserve"> in</w:t>
      </w:r>
      <w:r w:rsidRPr="00521434">
        <w:t xml:space="preserve"> September 2014 and was developed to </w:t>
      </w:r>
      <w:r>
        <w:t>help</w:t>
      </w:r>
      <w:r w:rsidRPr="00521434">
        <w:t xml:space="preserve"> proponents understand how the EPA considers the impacts from noise emissions throughout the environmental impact assessment process. In March 2015</w:t>
      </w:r>
      <w:r>
        <w:t xml:space="preserve"> the </w:t>
      </w:r>
      <w:r w:rsidRPr="00521434">
        <w:rPr>
          <w:i/>
        </w:rPr>
        <w:t>Environmental Assessment Guideline for Protecting the Quality of Western Australia’s Marine Environment</w:t>
      </w:r>
      <w:r w:rsidRPr="00521434">
        <w:t xml:space="preserve"> (EAG 15) was released to set out the EPA’s expectations for the management of marine environmental quality in WA and includes the lessons learn</w:t>
      </w:r>
      <w:r>
        <w:t>ed</w:t>
      </w:r>
      <w:r w:rsidRPr="00521434">
        <w:t xml:space="preserve"> from over ten years of implementation.</w:t>
      </w:r>
    </w:p>
    <w:p w:rsidR="00D85C96" w:rsidRDefault="00D85C96" w:rsidP="0009178C">
      <w:pPr>
        <w:ind w:left="1134"/>
      </w:pPr>
      <w:r w:rsidRPr="005E162D">
        <w:rPr>
          <w:b/>
          <w:i/>
        </w:rPr>
        <w:t xml:space="preserve">Preparation of an API – Category </w:t>
      </w:r>
      <w:proofErr w:type="gramStart"/>
      <w:r w:rsidRPr="005E162D">
        <w:rPr>
          <w:b/>
          <w:i/>
        </w:rPr>
        <w:t>A</w:t>
      </w:r>
      <w:proofErr w:type="gramEnd"/>
      <w:r w:rsidRPr="005E162D">
        <w:rPr>
          <w:b/>
          <w:i/>
        </w:rPr>
        <w:t xml:space="preserve"> Environmental Review Document</w:t>
      </w:r>
      <w:r w:rsidRPr="005E162D">
        <w:rPr>
          <w:b/>
        </w:rPr>
        <w:t xml:space="preserve"> </w:t>
      </w:r>
      <w:r w:rsidRPr="00521434">
        <w:t>(EAG 14) addresses the preparation of an environmental review document for an Assessment on Proponent Information (Category A) level of assessment. The purpose of the guidance is to convey, primarily to proponents and consultants, the EPA’s expectations regarding the content and form of the environmental review document and the process that will be followed.</w:t>
      </w:r>
      <w:r>
        <w:t xml:space="preserve"> This guidance has been particularly well-received by proponents and has contributed to greatly reduced timelines for API – Category </w:t>
      </w:r>
      <w:proofErr w:type="gramStart"/>
      <w:r>
        <w:t>A</w:t>
      </w:r>
      <w:proofErr w:type="gramEnd"/>
      <w:r>
        <w:t xml:space="preserve"> assessments since it was released in January 2015. The case study of the </w:t>
      </w:r>
      <w:proofErr w:type="spellStart"/>
      <w:r w:rsidRPr="000B1A2B">
        <w:rPr>
          <w:bCs/>
          <w:iCs/>
        </w:rPr>
        <w:t>Balla</w:t>
      </w:r>
      <w:proofErr w:type="spellEnd"/>
      <w:r w:rsidRPr="000B1A2B">
        <w:rPr>
          <w:bCs/>
          <w:iCs/>
        </w:rPr>
        <w:t xml:space="preserve"> </w:t>
      </w:r>
      <w:proofErr w:type="spellStart"/>
      <w:r w:rsidRPr="000B1A2B">
        <w:rPr>
          <w:bCs/>
          <w:iCs/>
        </w:rPr>
        <w:t>Balla</w:t>
      </w:r>
      <w:proofErr w:type="spellEnd"/>
      <w:r w:rsidRPr="000B1A2B">
        <w:rPr>
          <w:bCs/>
          <w:iCs/>
        </w:rPr>
        <w:t xml:space="preserve"> Infrastructure – Rail and Conveyor Project</w:t>
      </w:r>
      <w:r>
        <w:rPr>
          <w:bCs/>
          <w:iCs/>
        </w:rPr>
        <w:t xml:space="preserve"> </w:t>
      </w:r>
      <w:r w:rsidR="0009178C">
        <w:rPr>
          <w:bCs/>
          <w:iCs/>
        </w:rPr>
        <w:t>in</w:t>
      </w:r>
      <w:r>
        <w:t xml:space="preserve"> this report outlines the effectiveness of following EAG 14.</w:t>
      </w:r>
    </w:p>
    <w:p w:rsidR="00D85C96" w:rsidRPr="00521434" w:rsidRDefault="00D85C96" w:rsidP="00D85C96">
      <w:pPr>
        <w:pStyle w:val="Body"/>
      </w:pPr>
      <w:r w:rsidRPr="00521434">
        <w:t>The EPA’s referral form has also been revised with an accompanying EAG (</w:t>
      </w:r>
      <w:r w:rsidRPr="00565985">
        <w:rPr>
          <w:i/>
        </w:rPr>
        <w:t xml:space="preserve">Referral of a proposal under s38 of the </w:t>
      </w:r>
      <w:r w:rsidRPr="009671AF">
        <w:t>Environmental Protection Act 1986</w:t>
      </w:r>
      <w:r w:rsidRPr="00565985">
        <w:rPr>
          <w:i/>
        </w:rPr>
        <w:t xml:space="preserve"> </w:t>
      </w:r>
      <w:r>
        <w:t xml:space="preserve">- EAG </w:t>
      </w:r>
      <w:r w:rsidRPr="00521434">
        <w:t xml:space="preserve">16) developed to assist </w:t>
      </w:r>
      <w:r>
        <w:t>proponents</w:t>
      </w:r>
      <w:r w:rsidRPr="00521434">
        <w:t xml:space="preserve"> on the process and information requirements of referring a proposal</w:t>
      </w:r>
      <w:r>
        <w:t>.</w:t>
      </w:r>
      <w:r w:rsidRPr="00521434">
        <w:t xml:space="preserve"> </w:t>
      </w:r>
    </w:p>
    <w:p w:rsidR="00D85C96" w:rsidRPr="00521434" w:rsidRDefault="00D85C96" w:rsidP="00D85C96">
      <w:pPr>
        <w:pStyle w:val="Body"/>
      </w:pPr>
      <w:r w:rsidRPr="00521434">
        <w:t xml:space="preserve">An updated version of the </w:t>
      </w:r>
      <w:r w:rsidRPr="00521434">
        <w:rPr>
          <w:i/>
        </w:rPr>
        <w:t>Guidelines for Preparing Mine Closure Plans</w:t>
      </w:r>
      <w:r w:rsidRPr="00521434">
        <w:t>, prepared jointly by the Department of Mines and Petroleum (DMP) and the EPA</w:t>
      </w:r>
      <w:r>
        <w:t>,</w:t>
      </w:r>
      <w:r w:rsidRPr="00521434">
        <w:t xml:space="preserve"> was released </w:t>
      </w:r>
      <w:r>
        <w:t xml:space="preserve">in </w:t>
      </w:r>
      <w:r w:rsidRPr="00521434">
        <w:t xml:space="preserve">May 2015. </w:t>
      </w:r>
      <w:r w:rsidRPr="00521434">
        <w:rPr>
          <w:i/>
        </w:rPr>
        <w:t xml:space="preserve">Environmental principles, factors and </w:t>
      </w:r>
      <w:r w:rsidRPr="00521434">
        <w:rPr>
          <w:i/>
        </w:rPr>
        <w:lastRenderedPageBreak/>
        <w:t xml:space="preserve">objectives </w:t>
      </w:r>
      <w:r w:rsidRPr="00521434">
        <w:t xml:space="preserve">(EAG 8) and </w:t>
      </w:r>
      <w:r w:rsidRPr="00521434">
        <w:rPr>
          <w:i/>
        </w:rPr>
        <w:t>Application of a significance framework in the environmental impact assessment process</w:t>
      </w:r>
      <w:r w:rsidRPr="00521434">
        <w:t xml:space="preserve"> (EAG 9) were also revised with the new versions being published </w:t>
      </w:r>
      <w:r>
        <w:t xml:space="preserve">in </w:t>
      </w:r>
      <w:r w:rsidRPr="00521434">
        <w:t xml:space="preserve">January 2015. </w:t>
      </w:r>
    </w:p>
    <w:p w:rsidR="00D85C96" w:rsidRPr="000B1A2B" w:rsidRDefault="00D85C96" w:rsidP="005E162D">
      <w:pPr>
        <w:pStyle w:val="Heading3"/>
      </w:pPr>
      <w:bookmarkStart w:id="59" w:name="_Toc428279182"/>
      <w:r w:rsidRPr="000B1A2B">
        <w:t>WA Environmental Offsets Guidelines</w:t>
      </w:r>
      <w:bookmarkEnd w:id="59"/>
      <w:r w:rsidRPr="000B1A2B">
        <w:t xml:space="preserve"> </w:t>
      </w:r>
    </w:p>
    <w:p w:rsidR="00D85C96" w:rsidRDefault="00D85C96" w:rsidP="00D85C96">
      <w:pPr>
        <w:pStyle w:val="Body"/>
      </w:pPr>
      <w:r>
        <w:t xml:space="preserve">In August 2014, the Minister for Environment released the </w:t>
      </w:r>
      <w:r w:rsidRPr="00556E6C">
        <w:t>WA Environmental Offsets Guidelines</w:t>
      </w:r>
      <w:r>
        <w:t xml:space="preserve">. The Guidelines are the culmination of several years’ work with industry to develop clear direction for the application of environmental offsets through all </w:t>
      </w:r>
      <w:r w:rsidRPr="00556E6C">
        <w:t xml:space="preserve">environmental approval processes </w:t>
      </w:r>
      <w:r>
        <w:t>in WA. The Guidelines complement</w:t>
      </w:r>
      <w:r w:rsidRPr="00556E6C">
        <w:t xml:space="preserve"> the WA Environmental Offsets Policy (2011)</w:t>
      </w:r>
      <w:r>
        <w:t xml:space="preserve">. </w:t>
      </w:r>
    </w:p>
    <w:p w:rsidR="00D85C96" w:rsidRDefault="00D85C96" w:rsidP="00D85C96">
      <w:pPr>
        <w:pStyle w:val="Body"/>
      </w:pPr>
      <w:r>
        <w:t>The EPA</w:t>
      </w:r>
      <w:r w:rsidRPr="00556E6C">
        <w:t xml:space="preserve"> formally adopt</w:t>
      </w:r>
      <w:r>
        <w:t>ed</w:t>
      </w:r>
      <w:r w:rsidRPr="00556E6C">
        <w:t xml:space="preserve"> the </w:t>
      </w:r>
      <w:r>
        <w:t>WA Environmental Offsets Guidelines, withdre</w:t>
      </w:r>
      <w:r w:rsidRPr="00556E6C">
        <w:t xml:space="preserve">w </w:t>
      </w:r>
      <w:r>
        <w:t>two offset policies,</w:t>
      </w:r>
      <w:r w:rsidRPr="00556E6C">
        <w:t xml:space="preserve"> and revise</w:t>
      </w:r>
      <w:r>
        <w:t>d</w:t>
      </w:r>
      <w:r w:rsidRPr="00556E6C">
        <w:t xml:space="preserve"> Environmental Protection Bulletin 1</w:t>
      </w:r>
      <w:r>
        <w:t xml:space="preserve"> to clarify</w:t>
      </w:r>
      <w:r w:rsidRPr="00556E6C">
        <w:t xml:space="preserve"> how the </w:t>
      </w:r>
      <w:r>
        <w:t>EPA</w:t>
      </w:r>
      <w:r w:rsidRPr="00556E6C">
        <w:t xml:space="preserve"> consider</w:t>
      </w:r>
      <w:r>
        <w:t>s</w:t>
      </w:r>
      <w:r w:rsidRPr="00556E6C">
        <w:t xml:space="preserve"> offsets through</w:t>
      </w:r>
      <w:r>
        <w:t xml:space="preserve"> </w:t>
      </w:r>
      <w:r w:rsidRPr="00556E6C">
        <w:t>the envir</w:t>
      </w:r>
      <w:r>
        <w:t>onmental impact assessment</w:t>
      </w:r>
      <w:r w:rsidRPr="00556E6C">
        <w:t xml:space="preserve"> process</w:t>
      </w:r>
      <w:r>
        <w:t xml:space="preserve"> under Part IV of the EP Act</w:t>
      </w:r>
      <w:r w:rsidRPr="00556E6C">
        <w:t>.</w:t>
      </w:r>
    </w:p>
    <w:p w:rsidR="00D85C96" w:rsidRPr="00A92370" w:rsidRDefault="00D85C96" w:rsidP="005E162D">
      <w:pPr>
        <w:pStyle w:val="Heading3"/>
      </w:pPr>
      <w:bookmarkStart w:id="60" w:name="_Toc428279183"/>
      <w:r w:rsidRPr="00A92370">
        <w:t xml:space="preserve">Strategic </w:t>
      </w:r>
      <w:r>
        <w:t>a</w:t>
      </w:r>
      <w:r w:rsidRPr="00A92370">
        <w:t>dvice</w:t>
      </w:r>
      <w:bookmarkEnd w:id="60"/>
    </w:p>
    <w:p w:rsidR="00D85C96" w:rsidRPr="00B10A58" w:rsidRDefault="00D85C96" w:rsidP="00D85C96">
      <w:pPr>
        <w:pStyle w:val="Body"/>
      </w:pPr>
      <w:r>
        <w:t xml:space="preserve">The EPA published strategic advice on the </w:t>
      </w:r>
      <w:r w:rsidRPr="00F153BE">
        <w:rPr>
          <w:i/>
        </w:rPr>
        <w:t>Cumulative environmental impacts of development in the Pilbara region</w:t>
      </w:r>
      <w:r>
        <w:rPr>
          <w:i/>
        </w:rPr>
        <w:t xml:space="preserve"> </w:t>
      </w:r>
      <w:r w:rsidRPr="00565985">
        <w:t>in August 2014</w:t>
      </w:r>
      <w:r>
        <w:t xml:space="preserve">. </w:t>
      </w:r>
      <w:r w:rsidRPr="00124B53">
        <w:t xml:space="preserve">This advice identifies the key environmental values </w:t>
      </w:r>
      <w:r>
        <w:t xml:space="preserve">and threats </w:t>
      </w:r>
      <w:r w:rsidRPr="00124B53">
        <w:t xml:space="preserve">of the </w:t>
      </w:r>
      <w:r>
        <w:t xml:space="preserve">Pilbara </w:t>
      </w:r>
      <w:r w:rsidRPr="00124B53">
        <w:t xml:space="preserve">region, </w:t>
      </w:r>
      <w:r>
        <w:t xml:space="preserve">documents some of the cumulative impacts that have occurred through land use and development, </w:t>
      </w:r>
      <w:r w:rsidRPr="00124B53">
        <w:t xml:space="preserve">and </w:t>
      </w:r>
      <w:r>
        <w:t xml:space="preserve">recommends </w:t>
      </w:r>
      <w:r w:rsidRPr="00124B53">
        <w:t>opportunities to protect the values</w:t>
      </w:r>
      <w:r>
        <w:t>,</w:t>
      </w:r>
      <w:r w:rsidRPr="00124B53">
        <w:t xml:space="preserve"> </w:t>
      </w:r>
      <w:r>
        <w:t>recognising the ongoing economic importance of the region.</w:t>
      </w:r>
    </w:p>
    <w:p w:rsidR="00D85C96" w:rsidRPr="00A95B06" w:rsidRDefault="00D85C96" w:rsidP="005E162D">
      <w:pPr>
        <w:pStyle w:val="Heading2"/>
      </w:pPr>
      <w:bookmarkStart w:id="61" w:name="_Toc428279184"/>
      <w:r w:rsidRPr="00A95B06">
        <w:t>WAMSI Dredging Science Node</w:t>
      </w:r>
      <w:bookmarkEnd w:id="61"/>
    </w:p>
    <w:p w:rsidR="00D85C96" w:rsidRDefault="00D85C96" w:rsidP="00D85C96">
      <w:pPr>
        <w:pStyle w:val="Body"/>
      </w:pPr>
      <w:r>
        <w:t xml:space="preserve">Practically all major dredging proposals considered by the EPA have an element of uncertainty about the likely extent, severity and duration of impacts on marine ecosystems. In response, the EPA has recommended environmental offsets be applied to address some of the critical information gaps. The EPA has also encouraged a strategic approach to the use of these offset funds leading to the </w:t>
      </w:r>
      <w:r w:rsidRPr="00F14A82">
        <w:t>establishment of a Dredging Science Node</w:t>
      </w:r>
      <w:r>
        <w:t xml:space="preserve"> (DSN)</w:t>
      </w:r>
      <w:r w:rsidRPr="00F14A82">
        <w:t xml:space="preserve"> </w:t>
      </w:r>
      <w:r>
        <w:t xml:space="preserve">in March 2013 </w:t>
      </w:r>
      <w:r w:rsidRPr="00F14A82">
        <w:t>within the Western Australian Marine Science Institution (WAMSI)</w:t>
      </w:r>
      <w:r>
        <w:t xml:space="preserve">. </w:t>
      </w:r>
    </w:p>
    <w:p w:rsidR="00D85C96" w:rsidRPr="00184EF9" w:rsidRDefault="00D85C96" w:rsidP="00D85C96">
      <w:pPr>
        <w:pStyle w:val="Body"/>
      </w:pPr>
      <w:r>
        <w:t xml:space="preserve">The combined offset funds from three major dredging projects amounted to $9.5 million and this attracted a further $9.5 million through co-investment from WAMSI research providers. The objective of the $19 million program is to “enhance the capacity within both Government and the private sector to predict and manage the </w:t>
      </w:r>
      <w:r w:rsidR="007E47E2">
        <w:t>impacts of dredging”</w:t>
      </w:r>
      <w:r w:rsidRPr="00322100">
        <w:t>.</w:t>
      </w:r>
    </w:p>
    <w:p w:rsidR="00D85C96" w:rsidRDefault="00D85C96" w:rsidP="0009178C">
      <w:pPr>
        <w:pStyle w:val="Body"/>
        <w:spacing w:after="240"/>
      </w:pPr>
      <w:r w:rsidRPr="00C65439">
        <w:t xml:space="preserve">The </w:t>
      </w:r>
      <w:r>
        <w:t>Dredging Science Node</w:t>
      </w:r>
      <w:r w:rsidRPr="00C65439">
        <w:t xml:space="preserve"> </w:t>
      </w:r>
      <w:r>
        <w:t>has been</w:t>
      </w:r>
      <w:r w:rsidRPr="00C65439">
        <w:t xml:space="preserve"> designed to address key areas of uncertainty and deliver outcomes to increase the confidence, timeliness and efficiency of the assessment, approval and regulatory processes associated with dredging projects. </w:t>
      </w:r>
      <w:r>
        <w:t xml:space="preserve">In addition to the scientific publications that will come from the research program, specific guidelines and protocols for the </w:t>
      </w:r>
      <w:r>
        <w:lastRenderedPageBreak/>
        <w:t xml:space="preserve">prediction, monitoring and management of environmental impacts associated with dredging programs will be developed and packaged into a ‘compendium </w:t>
      </w:r>
      <w:r w:rsidR="00A92FFE">
        <w:rPr>
          <w:rFonts w:cs="Arial"/>
          <w:noProof/>
          <w:szCs w:val="24"/>
          <w:lang w:eastAsia="en-AU"/>
        </w:rPr>
        <w:drawing>
          <wp:anchor distT="0" distB="0" distL="114300" distR="114300" simplePos="0" relativeHeight="251682816" behindDoc="0" locked="0" layoutInCell="1" allowOverlap="1" wp14:anchorId="4B0B6FE4" wp14:editId="10D049A9">
            <wp:simplePos x="0" y="0"/>
            <wp:positionH relativeFrom="column">
              <wp:posOffset>748665</wp:posOffset>
            </wp:positionH>
            <wp:positionV relativeFrom="paragraph">
              <wp:posOffset>792480</wp:posOffset>
            </wp:positionV>
            <wp:extent cx="5243830" cy="1325880"/>
            <wp:effectExtent l="0" t="0" r="0" b="7620"/>
            <wp:wrapTopAndBottom/>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AMSI.jp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5243830" cy="1325880"/>
                    </a:xfrm>
                    <a:prstGeom prst="rect">
                      <a:avLst/>
                    </a:prstGeom>
                  </pic:spPr>
                </pic:pic>
              </a:graphicData>
            </a:graphic>
            <wp14:sizeRelH relativeFrom="page">
              <wp14:pctWidth>0</wp14:pctWidth>
            </wp14:sizeRelH>
            <wp14:sizeRelV relativeFrom="page">
              <wp14:pctHeight>0</wp14:pctHeight>
            </wp14:sizeRelV>
          </wp:anchor>
        </w:drawing>
      </w:r>
      <w:r>
        <w:t xml:space="preserve">of best practice’ that will be freely available. </w:t>
      </w:r>
    </w:p>
    <w:p w:rsidR="00D85C96" w:rsidRDefault="002D0C18" w:rsidP="0009178C">
      <w:pPr>
        <w:pStyle w:val="Body"/>
      </w:pPr>
      <w:r>
        <w:br/>
      </w:r>
      <w:r w:rsidR="00D85C96">
        <w:t>The research is being undertaken by a range of State and Commonwealth government agencies and 10 research institutions with the involvement of over 50 scientists. To manage the program, o</w:t>
      </w:r>
      <w:r w:rsidR="00D85C96" w:rsidRPr="00C16095">
        <w:t xml:space="preserve">fficers from the OEPA’s Marine Ecosystems Branch </w:t>
      </w:r>
      <w:r w:rsidR="00D85C96">
        <w:t xml:space="preserve">undertake the roles of </w:t>
      </w:r>
      <w:r w:rsidR="00D85C96" w:rsidRPr="00C16095">
        <w:t>Node Leader Policy and the Node Science Coordinator</w:t>
      </w:r>
      <w:r w:rsidR="00D85C96">
        <w:t xml:space="preserve"> while an officer from the Australian Institute of Marine Science occupies the role of Node Leader Science. From 1 July 2015 WAMSI has agreed to fully fund the Science Coordinator role. </w:t>
      </w:r>
    </w:p>
    <w:p w:rsidR="00D85C96" w:rsidRDefault="00D85C96" w:rsidP="00D85C96">
      <w:pPr>
        <w:pStyle w:val="Body"/>
        <w:spacing w:after="120"/>
      </w:pPr>
      <w:r>
        <w:t xml:space="preserve">There are eight research themes in the program relating to dredging pressures and impacts on corals, seagrass, filter feeders and reproductive processes of corals, fin fish and other common marine biota. The program will be delivered in four stages: </w:t>
      </w:r>
    </w:p>
    <w:p w:rsidR="00D85C96" w:rsidRPr="00A15316" w:rsidRDefault="00D85C96" w:rsidP="00067EE9">
      <w:pPr>
        <w:pStyle w:val="ListParagraph"/>
      </w:pPr>
      <w:r w:rsidRPr="00A15316">
        <w:t>literature and data reviews;</w:t>
      </w:r>
    </w:p>
    <w:p w:rsidR="00D85C96" w:rsidRPr="00A15316" w:rsidRDefault="00D85C96" w:rsidP="00067EE9">
      <w:pPr>
        <w:pStyle w:val="ListParagraph"/>
      </w:pPr>
      <w:r w:rsidRPr="00A15316">
        <w:t>field work and laboratory studies;</w:t>
      </w:r>
    </w:p>
    <w:p w:rsidR="00D85C96" w:rsidRPr="00A15316" w:rsidRDefault="00D85C96" w:rsidP="00067EE9">
      <w:pPr>
        <w:pStyle w:val="ListParagraph"/>
      </w:pPr>
      <w:r w:rsidRPr="00A15316">
        <w:t xml:space="preserve">synthesis of findings and other knowledge; and </w:t>
      </w:r>
    </w:p>
    <w:p w:rsidR="00D85C96" w:rsidRDefault="00D85C96" w:rsidP="006F4400">
      <w:pPr>
        <w:pStyle w:val="Lastbullet"/>
      </w:pPr>
      <w:proofErr w:type="gramStart"/>
      <w:r w:rsidRPr="00A15316">
        <w:t>transfer</w:t>
      </w:r>
      <w:proofErr w:type="gramEnd"/>
      <w:r w:rsidRPr="00A15316">
        <w:t xml:space="preserve"> and take-up of the new knowledge and understandings. </w:t>
      </w:r>
    </w:p>
    <w:p w:rsidR="00D85C96" w:rsidRDefault="00D85C96" w:rsidP="00D85C96">
      <w:pPr>
        <w:pStyle w:val="Body"/>
      </w:pPr>
      <w:r>
        <w:t xml:space="preserve">Stage 1 was completed for all themes in 2014–15 and involved reviews and analysis of the scientific literature and the extensive environmental monitoring datasets provided by Chevron Australia, Woodside Energy and Rio Tinto Iron Ore. Analysis of these datasets has helped improve understanding of dredging-related pressure gradients and associated measured biological responses and has provided valuable input for the design of field and laboratory experiments. Research teams are now </w:t>
      </w:r>
      <w:r w:rsidRPr="00160EF5">
        <w:t>focussing on the field/laborato</w:t>
      </w:r>
      <w:r>
        <w:t xml:space="preserve">ry studies to develop and test </w:t>
      </w:r>
      <w:proofErr w:type="spellStart"/>
      <w:r>
        <w:t>pressure</w:t>
      </w:r>
      <w:proofErr w:type="gramStart"/>
      <w:r>
        <w:t>:response</w:t>
      </w:r>
      <w:proofErr w:type="spellEnd"/>
      <w:proofErr w:type="gramEnd"/>
      <w:r>
        <w:t xml:space="preserve"> relationships </w:t>
      </w:r>
      <w:r w:rsidRPr="00160EF5">
        <w:t xml:space="preserve">and </w:t>
      </w:r>
      <w:r>
        <w:t xml:space="preserve">this work </w:t>
      </w:r>
      <w:r w:rsidRPr="00160EF5">
        <w:t xml:space="preserve">will </w:t>
      </w:r>
      <w:r>
        <w:t>continue</w:t>
      </w:r>
      <w:r w:rsidRPr="00160EF5">
        <w:t xml:space="preserve"> over the next 12 months</w:t>
      </w:r>
      <w:r>
        <w:t xml:space="preserve">. </w:t>
      </w:r>
    </w:p>
    <w:p w:rsidR="00D85C96" w:rsidRDefault="00D85C96" w:rsidP="00D85C96">
      <w:pPr>
        <w:pStyle w:val="Body"/>
      </w:pPr>
      <w:r>
        <w:t xml:space="preserve">The status and initial findings of each project in the Dredging Science Node were presented at a three day Research Conference organised by WAMSI and held from 30 March to 1 April 2015 in Perth. The WAMSI Dredging Science Node was strongly </w:t>
      </w:r>
      <w:r w:rsidRPr="002920B1">
        <w:t xml:space="preserve">supported by the Premier and Science Minister Colin Barnett who </w:t>
      </w:r>
      <w:r>
        <w:t xml:space="preserve">presented at the conference, where he </w:t>
      </w:r>
      <w:r w:rsidRPr="002920B1">
        <w:t xml:space="preserve">said </w:t>
      </w:r>
    </w:p>
    <w:p w:rsidR="00D85C96" w:rsidRPr="00152310" w:rsidRDefault="00D85C96" w:rsidP="00D85C96">
      <w:pPr>
        <w:shd w:val="clear" w:color="auto" w:fill="FFFFFF"/>
        <w:ind w:left="2160"/>
        <w:rPr>
          <w:rFonts w:ascii="inherit" w:hAnsi="inherit" w:cs="Arial"/>
          <w:i/>
          <w:szCs w:val="24"/>
          <w:lang w:val="en"/>
        </w:rPr>
      </w:pPr>
      <w:r w:rsidRPr="00152310">
        <w:rPr>
          <w:rFonts w:cs="Arial"/>
          <w:i/>
          <w:szCs w:val="24"/>
          <w:lang w:val="en"/>
        </w:rPr>
        <w:lastRenderedPageBreak/>
        <w:t xml:space="preserve">There are millions of cubic </w:t>
      </w:r>
      <w:proofErr w:type="spellStart"/>
      <w:r w:rsidRPr="00152310">
        <w:rPr>
          <w:rFonts w:cs="Arial"/>
          <w:i/>
          <w:szCs w:val="24"/>
          <w:lang w:val="en"/>
        </w:rPr>
        <w:t>metres</w:t>
      </w:r>
      <w:proofErr w:type="spellEnd"/>
      <w:r w:rsidRPr="00152310">
        <w:rPr>
          <w:rFonts w:cs="Arial"/>
          <w:i/>
          <w:szCs w:val="24"/>
          <w:lang w:val="en"/>
        </w:rPr>
        <w:t xml:space="preserve"> of dredging needed to support our economy. But because we don't know the full impact of dredging, we have to take quite a precautionary approach when setting conditions on companies to have confiden</w:t>
      </w:r>
      <w:r>
        <w:rPr>
          <w:rFonts w:cs="Arial"/>
          <w:i/>
          <w:szCs w:val="24"/>
          <w:lang w:val="en"/>
        </w:rPr>
        <w:t>ce the environment is protected</w:t>
      </w:r>
      <w:r w:rsidRPr="00152310">
        <w:rPr>
          <w:rFonts w:cs="Arial"/>
          <w:i/>
          <w:szCs w:val="24"/>
          <w:lang w:val="en"/>
        </w:rPr>
        <w:t>.</w:t>
      </w:r>
    </w:p>
    <w:p w:rsidR="00D85C96" w:rsidRDefault="00D85C96" w:rsidP="00D85C96">
      <w:pPr>
        <w:ind w:left="2160"/>
      </w:pPr>
      <w:r w:rsidRPr="00152310">
        <w:rPr>
          <w:rFonts w:cs="Arial"/>
          <w:i/>
          <w:szCs w:val="24"/>
          <w:lang w:val="en"/>
        </w:rPr>
        <w:t>This leads to perhaps unnecessarily complex monitoring and management programs. The research to be shown at the WAMSI Conference will help reduce uncertainty and better protect our marine environment, as well as reduce any unnecessary management burdens on industry</w:t>
      </w:r>
      <w:r>
        <w:rPr>
          <w:rFonts w:cs="Arial"/>
          <w:i/>
          <w:szCs w:val="24"/>
          <w:lang w:val="en"/>
        </w:rPr>
        <w:t>.</w:t>
      </w:r>
    </w:p>
    <w:p w:rsidR="00EE1722" w:rsidRDefault="00EE1722" w:rsidP="00EE1722">
      <w:pPr>
        <w:pStyle w:val="Body"/>
        <w:spacing w:after="0"/>
      </w:pPr>
    </w:p>
    <w:p w:rsidR="002D0C18" w:rsidRDefault="002D0C18" w:rsidP="002D0C18">
      <w:pPr>
        <w:pStyle w:val="Heading1"/>
      </w:pPr>
      <w:bookmarkStart w:id="62" w:name="_Toc425253661"/>
      <w:bookmarkStart w:id="63" w:name="_Toc428279185"/>
      <w:r>
        <w:t>Service 3: Compliance monitoring</w:t>
      </w:r>
      <w:r w:rsidRPr="00E76C17">
        <w:t xml:space="preserve"> services to the </w:t>
      </w:r>
      <w:r>
        <w:t>Minister</w:t>
      </w:r>
      <w:bookmarkEnd w:id="62"/>
      <w:bookmarkEnd w:id="63"/>
    </w:p>
    <w:p w:rsidR="002D0C18" w:rsidRPr="002D0C18" w:rsidRDefault="002D0C18" w:rsidP="002D0C18">
      <w:pPr>
        <w:pStyle w:val="Servicedescription"/>
        <w:ind w:left="1134"/>
      </w:pPr>
      <w:r>
        <w:t>Audit the compliance with conditions set under Ministerial approvals and undertake enforcement action as appropriate</w:t>
      </w:r>
      <w:r w:rsidRPr="003D56AD">
        <w:t>.</w:t>
      </w:r>
    </w:p>
    <w:p w:rsidR="002D668A" w:rsidRDefault="002D668A" w:rsidP="002D668A">
      <w:pPr>
        <w:pStyle w:val="Heading2"/>
      </w:pPr>
      <w:bookmarkStart w:id="64" w:name="_Toc428279186"/>
      <w:r>
        <w:t>Key effectiveness indicator</w:t>
      </w:r>
      <w:bookmarkEnd w:id="64"/>
    </w:p>
    <w:tbl>
      <w:tblPr>
        <w:tblW w:w="7939" w:type="dxa"/>
        <w:tblInd w:w="1526" w:type="dxa"/>
        <w:tblLayout w:type="fixed"/>
        <w:tblCellMar>
          <w:top w:w="57" w:type="dxa"/>
          <w:bottom w:w="57" w:type="dxa"/>
        </w:tblCellMar>
        <w:tblLook w:val="04A0" w:firstRow="1" w:lastRow="0" w:firstColumn="1" w:lastColumn="0" w:noHBand="0" w:noVBand="1"/>
      </w:tblPr>
      <w:tblGrid>
        <w:gridCol w:w="4111"/>
        <w:gridCol w:w="1276"/>
        <w:gridCol w:w="1276"/>
        <w:gridCol w:w="1276"/>
      </w:tblGrid>
      <w:tr w:rsidR="00EE1722" w:rsidRPr="00A24413" w:rsidTr="006D0E0A">
        <w:trPr>
          <w:trHeight w:val="680"/>
        </w:trPr>
        <w:tc>
          <w:tcPr>
            <w:tcW w:w="4111" w:type="dxa"/>
            <w:tcBorders>
              <w:bottom w:val="single" w:sz="4" w:space="0" w:color="E0DCCB" w:themeColor="accent4" w:themeTint="66"/>
            </w:tcBorders>
            <w:noWrap/>
            <w:vAlign w:val="bottom"/>
            <w:hideMark/>
          </w:tcPr>
          <w:p w:rsidR="00EE1722" w:rsidRPr="00A24413" w:rsidRDefault="00EE1722" w:rsidP="006D0E0A">
            <w:pPr>
              <w:rPr>
                <w:rFonts w:eastAsia="Calibri" w:cs="Times New Roman"/>
                <w:color w:val="auto"/>
                <w:sz w:val="22"/>
              </w:rPr>
            </w:pPr>
          </w:p>
        </w:tc>
        <w:tc>
          <w:tcPr>
            <w:tcW w:w="1276" w:type="dxa"/>
            <w:tcBorders>
              <w:top w:val="nil"/>
              <w:left w:val="nil"/>
              <w:bottom w:val="single" w:sz="4" w:space="0" w:color="E0DCCB" w:themeColor="accent4" w:themeTint="66"/>
              <w:right w:val="single" w:sz="8" w:space="0" w:color="FFFFFF"/>
            </w:tcBorders>
            <w:shd w:val="clear" w:color="auto" w:fill="E0DCCB"/>
            <w:vAlign w:val="center"/>
            <w:hideMark/>
          </w:tcPr>
          <w:p w:rsidR="00EE1722" w:rsidRPr="00A24413" w:rsidRDefault="00EE1722" w:rsidP="006D0E0A">
            <w:pPr>
              <w:spacing w:after="0" w:line="240" w:lineRule="auto"/>
              <w:jc w:val="center"/>
              <w:rPr>
                <w:rFonts w:ascii="Calibri" w:eastAsia="Times New Roman" w:hAnsi="Calibri" w:cs="Arial"/>
                <w:b/>
                <w:bCs/>
                <w:color w:val="4D4D4F"/>
                <w:sz w:val="22"/>
                <w:lang w:eastAsia="en-AU"/>
              </w:rPr>
            </w:pPr>
            <w:r w:rsidRPr="00A24413">
              <w:rPr>
                <w:rFonts w:ascii="Calibri" w:eastAsia="Times New Roman" w:hAnsi="Calibri" w:cs="Arial"/>
                <w:b/>
                <w:bCs/>
                <w:color w:val="4D4D4F"/>
                <w:sz w:val="22"/>
                <w:lang w:eastAsia="en-AU"/>
              </w:rPr>
              <w:t>2013-14</w:t>
            </w:r>
            <w:r w:rsidRPr="00A24413">
              <w:rPr>
                <w:rFonts w:ascii="Calibri" w:eastAsia="Times New Roman" w:hAnsi="Calibri" w:cs="Arial"/>
                <w:b/>
                <w:bCs/>
                <w:color w:val="4D4D4F"/>
                <w:sz w:val="22"/>
                <w:lang w:eastAsia="en-AU"/>
              </w:rPr>
              <w:br/>
              <w:t>Actual</w:t>
            </w:r>
          </w:p>
        </w:tc>
        <w:tc>
          <w:tcPr>
            <w:tcW w:w="1276" w:type="dxa"/>
            <w:tcBorders>
              <w:top w:val="nil"/>
              <w:left w:val="nil"/>
              <w:bottom w:val="single" w:sz="4" w:space="0" w:color="E0DCCB" w:themeColor="accent4" w:themeTint="66"/>
              <w:right w:val="single" w:sz="8" w:space="0" w:color="FFFFFF"/>
            </w:tcBorders>
            <w:shd w:val="clear" w:color="auto" w:fill="E0DCCB"/>
            <w:vAlign w:val="center"/>
            <w:hideMark/>
          </w:tcPr>
          <w:p w:rsidR="00EE1722" w:rsidRPr="00A24413" w:rsidRDefault="00EE1722" w:rsidP="006D0E0A">
            <w:pPr>
              <w:spacing w:after="0" w:line="240" w:lineRule="auto"/>
              <w:jc w:val="center"/>
              <w:rPr>
                <w:rFonts w:ascii="Calibri" w:eastAsia="Times New Roman" w:hAnsi="Calibri" w:cs="Arial"/>
                <w:b/>
                <w:bCs/>
                <w:color w:val="4D4D4F"/>
                <w:sz w:val="22"/>
                <w:lang w:eastAsia="en-AU"/>
              </w:rPr>
            </w:pPr>
            <w:r w:rsidRPr="00A24413">
              <w:rPr>
                <w:rFonts w:ascii="Calibri" w:eastAsia="Times New Roman" w:hAnsi="Calibri" w:cs="Arial"/>
                <w:b/>
                <w:bCs/>
                <w:color w:val="4D4D4F"/>
                <w:sz w:val="22"/>
                <w:lang w:eastAsia="en-AU"/>
              </w:rPr>
              <w:t>2014-15</w:t>
            </w:r>
            <w:r w:rsidRPr="00A24413">
              <w:rPr>
                <w:rFonts w:ascii="Calibri" w:eastAsia="Times New Roman" w:hAnsi="Calibri" w:cs="Arial"/>
                <w:b/>
                <w:bCs/>
                <w:color w:val="4D4D4F"/>
                <w:sz w:val="22"/>
                <w:lang w:eastAsia="en-AU"/>
              </w:rPr>
              <w:br/>
              <w:t>Target</w:t>
            </w:r>
          </w:p>
        </w:tc>
        <w:tc>
          <w:tcPr>
            <w:tcW w:w="1276" w:type="dxa"/>
            <w:tcBorders>
              <w:top w:val="nil"/>
              <w:left w:val="nil"/>
              <w:right w:val="single" w:sz="8" w:space="0" w:color="FFFFFF"/>
            </w:tcBorders>
            <w:shd w:val="clear" w:color="auto" w:fill="E0DCCB"/>
            <w:vAlign w:val="center"/>
            <w:hideMark/>
          </w:tcPr>
          <w:p w:rsidR="00EE1722" w:rsidRPr="00A24413" w:rsidRDefault="00EE1722" w:rsidP="006D0E0A">
            <w:pPr>
              <w:spacing w:after="0" w:line="240" w:lineRule="auto"/>
              <w:jc w:val="center"/>
              <w:rPr>
                <w:rFonts w:ascii="Calibri" w:eastAsia="Times New Roman" w:hAnsi="Calibri" w:cs="Arial"/>
                <w:b/>
                <w:bCs/>
                <w:color w:val="4D4D4F"/>
                <w:sz w:val="22"/>
                <w:lang w:eastAsia="en-AU"/>
              </w:rPr>
            </w:pPr>
            <w:r w:rsidRPr="00A24413">
              <w:rPr>
                <w:rFonts w:ascii="Calibri" w:eastAsia="Times New Roman" w:hAnsi="Calibri" w:cs="Arial"/>
                <w:b/>
                <w:bCs/>
                <w:color w:val="4D4D4F"/>
                <w:sz w:val="22"/>
                <w:lang w:eastAsia="en-AU"/>
              </w:rPr>
              <w:t>2014-15</w:t>
            </w:r>
            <w:r w:rsidRPr="00A24413">
              <w:rPr>
                <w:rFonts w:ascii="Calibri" w:eastAsia="Times New Roman" w:hAnsi="Calibri" w:cs="Arial"/>
                <w:b/>
                <w:bCs/>
                <w:color w:val="4D4D4F"/>
                <w:sz w:val="22"/>
                <w:lang w:eastAsia="en-AU"/>
              </w:rPr>
              <w:br/>
              <w:t>Actual</w:t>
            </w:r>
          </w:p>
        </w:tc>
      </w:tr>
      <w:tr w:rsidR="00EE1722" w:rsidRPr="00A24413" w:rsidTr="00EE1722">
        <w:trPr>
          <w:trHeight w:val="862"/>
        </w:trPr>
        <w:tc>
          <w:tcPr>
            <w:tcW w:w="4111"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shd w:val="clear" w:color="auto" w:fill="auto"/>
            <w:vAlign w:val="center"/>
            <w:hideMark/>
          </w:tcPr>
          <w:p w:rsidR="00EE1722" w:rsidRDefault="00EE1722" w:rsidP="00EE1722">
            <w:pPr>
              <w:spacing w:after="0" w:line="240" w:lineRule="auto"/>
              <w:rPr>
                <w:rFonts w:ascii="Arial" w:eastAsia="Times New Roman" w:hAnsi="Arial" w:cs="Arial"/>
                <w:color w:val="4D4D4F"/>
                <w:sz w:val="22"/>
                <w:lang w:eastAsia="en-AU"/>
              </w:rPr>
            </w:pPr>
            <w:r>
              <w:rPr>
                <w:rFonts w:ascii="Arial" w:eastAsia="Times New Roman" w:hAnsi="Arial" w:cs="Arial"/>
                <w:color w:val="4D4D4F"/>
                <w:sz w:val="22"/>
                <w:lang w:eastAsia="en-AU"/>
              </w:rPr>
              <w:t xml:space="preserve">Percentage of all projects that have been audited that are compliant with the Ministerial conditions </w:t>
            </w:r>
          </w:p>
        </w:tc>
        <w:tc>
          <w:tcPr>
            <w:tcW w:w="1276"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hideMark/>
          </w:tcPr>
          <w:p w:rsidR="00EE1722" w:rsidRDefault="00EE1722" w:rsidP="00EE1722">
            <w:pPr>
              <w:spacing w:after="0" w:line="240" w:lineRule="auto"/>
              <w:jc w:val="center"/>
              <w:rPr>
                <w:rFonts w:ascii="Arial" w:eastAsia="Times New Roman" w:hAnsi="Arial" w:cs="Arial"/>
                <w:color w:val="4D4D4F"/>
                <w:sz w:val="22"/>
                <w:lang w:eastAsia="en-AU"/>
              </w:rPr>
            </w:pPr>
            <w:r>
              <w:rPr>
                <w:rFonts w:ascii="Arial" w:eastAsia="Times New Roman" w:hAnsi="Arial" w:cstheme="minorHAnsi"/>
                <w:color w:val="4D4D4F"/>
                <w:sz w:val="22"/>
                <w:lang w:eastAsia="en-AU"/>
              </w:rPr>
              <w:t>87%</w:t>
            </w:r>
          </w:p>
        </w:tc>
        <w:tc>
          <w:tcPr>
            <w:tcW w:w="1276"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hideMark/>
          </w:tcPr>
          <w:p w:rsidR="00EE1722" w:rsidRDefault="00EE1722" w:rsidP="00EE1722">
            <w:pPr>
              <w:spacing w:after="0"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80%</w:t>
            </w:r>
          </w:p>
        </w:tc>
        <w:tc>
          <w:tcPr>
            <w:tcW w:w="1276" w:type="dxa"/>
            <w:tcBorders>
              <w:top w:val="nil"/>
              <w:left w:val="single" w:sz="4" w:space="0" w:color="E0DCCB" w:themeColor="accent4" w:themeTint="66"/>
              <w:bottom w:val="nil"/>
              <w:right w:val="single" w:sz="8" w:space="0" w:color="E0DCCB"/>
            </w:tcBorders>
            <w:shd w:val="clear" w:color="auto" w:fill="E0DCCB"/>
            <w:noWrap/>
            <w:vAlign w:val="center"/>
            <w:hideMark/>
          </w:tcPr>
          <w:p w:rsidR="00EE1722" w:rsidRDefault="00EE1722" w:rsidP="00EE1722">
            <w:pPr>
              <w:spacing w:after="0"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97% </w:t>
            </w:r>
          </w:p>
        </w:tc>
      </w:tr>
      <w:tr w:rsidR="00EE1722" w:rsidRPr="00A24413" w:rsidTr="006D0E0A">
        <w:trPr>
          <w:trHeight w:val="862"/>
        </w:trPr>
        <w:tc>
          <w:tcPr>
            <w:tcW w:w="4111"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shd w:val="clear" w:color="auto" w:fill="auto"/>
            <w:vAlign w:val="center"/>
          </w:tcPr>
          <w:p w:rsidR="00EE1722" w:rsidRDefault="00EE1722" w:rsidP="00EE1722">
            <w:pPr>
              <w:spacing w:after="0" w:line="240" w:lineRule="auto"/>
              <w:rPr>
                <w:rFonts w:ascii="Arial" w:eastAsia="Times New Roman" w:hAnsi="Arial" w:cs="Arial"/>
                <w:color w:val="4D4D4F"/>
                <w:sz w:val="22"/>
                <w:lang w:eastAsia="en-AU"/>
              </w:rPr>
            </w:pPr>
            <w:r>
              <w:rPr>
                <w:rFonts w:ascii="Arial" w:eastAsia="Times New Roman" w:hAnsi="Arial" w:cs="Arial"/>
                <w:color w:val="4D4D4F"/>
                <w:sz w:val="22"/>
                <w:lang w:eastAsia="en-AU"/>
              </w:rPr>
              <w:t xml:space="preserve">Percentage of non-compliances where remedial action has been taken by the proponent within the time specified in the Notice of Non-Compliance </w:t>
            </w:r>
          </w:p>
        </w:tc>
        <w:tc>
          <w:tcPr>
            <w:tcW w:w="1276"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tcPr>
          <w:p w:rsidR="00EE1722" w:rsidRDefault="00EE1722" w:rsidP="00EE1722">
            <w:pPr>
              <w:spacing w:after="0" w:line="240" w:lineRule="auto"/>
              <w:jc w:val="center"/>
              <w:rPr>
                <w:rFonts w:ascii="Arial" w:eastAsia="Times New Roman" w:hAnsi="Arial" w:cs="Arial"/>
                <w:color w:val="4D4D4F"/>
                <w:sz w:val="22"/>
                <w:lang w:eastAsia="en-AU"/>
              </w:rPr>
            </w:pPr>
            <w:r>
              <w:rPr>
                <w:rFonts w:ascii="Arial" w:eastAsia="Times New Roman" w:hAnsi="Arial" w:cstheme="minorHAnsi"/>
                <w:color w:val="4D4D4F"/>
                <w:sz w:val="22"/>
                <w:lang w:eastAsia="en-AU"/>
              </w:rPr>
              <w:t>n/a</w:t>
            </w:r>
          </w:p>
        </w:tc>
        <w:tc>
          <w:tcPr>
            <w:tcW w:w="1276"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noWrap/>
            <w:vAlign w:val="center"/>
          </w:tcPr>
          <w:p w:rsidR="00EE1722" w:rsidRDefault="00EE1722" w:rsidP="00EE1722">
            <w:pPr>
              <w:spacing w:after="0"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80%</w:t>
            </w:r>
          </w:p>
        </w:tc>
        <w:tc>
          <w:tcPr>
            <w:tcW w:w="1276" w:type="dxa"/>
            <w:tcBorders>
              <w:top w:val="nil"/>
              <w:left w:val="single" w:sz="4" w:space="0" w:color="E0DCCB" w:themeColor="accent4" w:themeTint="66"/>
              <w:bottom w:val="single" w:sz="4" w:space="0" w:color="FFFFFF" w:themeColor="background1"/>
              <w:right w:val="single" w:sz="8" w:space="0" w:color="E0DCCB"/>
            </w:tcBorders>
            <w:shd w:val="clear" w:color="auto" w:fill="E0DCCB"/>
            <w:noWrap/>
            <w:vAlign w:val="center"/>
          </w:tcPr>
          <w:p w:rsidR="00EE1722" w:rsidRDefault="00EE1722" w:rsidP="00EE1722">
            <w:pPr>
              <w:spacing w:after="0"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100% </w:t>
            </w:r>
          </w:p>
        </w:tc>
      </w:tr>
    </w:tbl>
    <w:p w:rsidR="00EE1722" w:rsidRPr="00EE1722" w:rsidRDefault="00EE1722" w:rsidP="00EE1722"/>
    <w:p w:rsidR="00B03DA0" w:rsidRDefault="00B03DA0" w:rsidP="00B03DA0">
      <w:pPr>
        <w:pStyle w:val="Body"/>
      </w:pPr>
      <w:r>
        <w:t>The OEPA develops its annual compliance program</w:t>
      </w:r>
      <w:r w:rsidRPr="002821C2">
        <w:t xml:space="preserve"> to audit </w:t>
      </w:r>
      <w:r>
        <w:t xml:space="preserve">compliance with the conditions of Ministerial Statements, which are issued by the Minister for Environment when a proposal is approved for implementation. If a proponent does not ensure that any implementation of the proposal is in accordance with the implementation conditions, the proponent commits an offence. </w:t>
      </w:r>
    </w:p>
    <w:p w:rsidR="00B03DA0" w:rsidRDefault="00B03DA0" w:rsidP="00B03DA0">
      <w:pPr>
        <w:pStyle w:val="Body"/>
      </w:pPr>
      <w:r w:rsidRPr="002821C2">
        <w:t xml:space="preserve">The </w:t>
      </w:r>
      <w:r>
        <w:t xml:space="preserve">compliance </w:t>
      </w:r>
      <w:r w:rsidRPr="002821C2">
        <w:t xml:space="preserve">program consists of proactive audits, industry </w:t>
      </w:r>
      <w:r>
        <w:t xml:space="preserve">sector </w:t>
      </w:r>
      <w:r w:rsidRPr="002821C2">
        <w:t>reviews</w:t>
      </w:r>
      <w:r>
        <w:t xml:space="preserve">, and </w:t>
      </w:r>
      <w:r w:rsidRPr="002821C2">
        <w:t xml:space="preserve">reactive and </w:t>
      </w:r>
      <w:r>
        <w:t xml:space="preserve">random </w:t>
      </w:r>
      <w:r w:rsidRPr="002821C2">
        <w:t>audits as required. Each year a series of targeted audits are included</w:t>
      </w:r>
      <w:r>
        <w:t xml:space="preserve"> which may include specific industry sectors</w:t>
      </w:r>
      <w:r w:rsidRPr="002821C2">
        <w:t xml:space="preserve"> and</w:t>
      </w:r>
      <w:r>
        <w:t>/or</w:t>
      </w:r>
      <w:r w:rsidRPr="002821C2">
        <w:t xml:space="preserve"> </w:t>
      </w:r>
      <w:r>
        <w:t xml:space="preserve">targeted implementation </w:t>
      </w:r>
      <w:r w:rsidRPr="002821C2">
        <w:t xml:space="preserve">conditions. This enables resources to be </w:t>
      </w:r>
      <w:r>
        <w:t>effectively</w:t>
      </w:r>
      <w:r w:rsidRPr="002821C2">
        <w:t xml:space="preserve"> managed to achieve the best environmental outcome.</w:t>
      </w:r>
    </w:p>
    <w:p w:rsidR="00B03DA0" w:rsidRPr="002821C2" w:rsidRDefault="00B03DA0" w:rsidP="00B03DA0">
      <w:pPr>
        <w:pStyle w:val="Body"/>
      </w:pPr>
      <w:r>
        <w:t>T</w:t>
      </w:r>
      <w:r w:rsidRPr="002821C2">
        <w:t xml:space="preserve">he results from the compliance audits identify areas to improve </w:t>
      </w:r>
      <w:r>
        <w:t>proponent’s compliance, and help in improving future compliance programs and the environmental impact assessment</w:t>
      </w:r>
      <w:r w:rsidRPr="002821C2">
        <w:t xml:space="preserve"> process.</w:t>
      </w:r>
    </w:p>
    <w:p w:rsidR="00B03DA0" w:rsidRPr="002821C2" w:rsidRDefault="00B03DA0" w:rsidP="00B03DA0">
      <w:pPr>
        <w:pStyle w:val="Heading1"/>
      </w:pPr>
      <w:bookmarkStart w:id="65" w:name="_Toc428279187"/>
      <w:r w:rsidRPr="002821C2">
        <w:lastRenderedPageBreak/>
        <w:t>Compliance and audit activity</w:t>
      </w:r>
      <w:bookmarkEnd w:id="65"/>
    </w:p>
    <w:p w:rsidR="00B03DA0" w:rsidRPr="002821C2" w:rsidRDefault="00B03DA0" w:rsidP="00B03DA0">
      <w:pPr>
        <w:pStyle w:val="Body"/>
      </w:pPr>
      <w:r w:rsidRPr="002821C2">
        <w:t>In 20</w:t>
      </w:r>
      <w:r>
        <w:t xml:space="preserve">14–15, sixty audits were conducted, including </w:t>
      </w:r>
      <w:r w:rsidRPr="002821C2">
        <w:t xml:space="preserve">industry sector audits focusing on </w:t>
      </w:r>
      <w:r>
        <w:t xml:space="preserve">mining proposals within Banded Iron Formation (BIF) ranges. </w:t>
      </w:r>
      <w:r w:rsidRPr="002821C2">
        <w:t>Of the</w:t>
      </w:r>
      <w:r>
        <w:t xml:space="preserve"> audits completed during the year</w:t>
      </w:r>
      <w:r w:rsidRPr="002821C2">
        <w:t xml:space="preserve">, </w:t>
      </w:r>
      <w:r>
        <w:t>97</w:t>
      </w:r>
      <w:r w:rsidRPr="00E61347">
        <w:t>%</w:t>
      </w:r>
      <w:r w:rsidRPr="002821C2">
        <w:t xml:space="preserve"> were found to be compliant with all conditions (201</w:t>
      </w:r>
      <w:r>
        <w:t>3</w:t>
      </w:r>
      <w:r w:rsidRPr="002821C2">
        <w:t>–1</w:t>
      </w:r>
      <w:r>
        <w:t>4</w:t>
      </w:r>
      <w:r w:rsidRPr="002821C2">
        <w:t xml:space="preserve">: </w:t>
      </w:r>
      <w:r>
        <w:t>87</w:t>
      </w:r>
      <w:r w:rsidRPr="002821C2">
        <w:t>%).</w:t>
      </w:r>
    </w:p>
    <w:p w:rsidR="00B03DA0" w:rsidRPr="002821C2" w:rsidRDefault="00B03DA0" w:rsidP="00B03DA0">
      <w:pPr>
        <w:pStyle w:val="Body"/>
      </w:pPr>
      <w:r>
        <w:t>Six</w:t>
      </w:r>
      <w:r w:rsidRPr="002821C2">
        <w:t xml:space="preserve"> per cent of</w:t>
      </w:r>
      <w:r>
        <w:t xml:space="preserve"> </w:t>
      </w:r>
      <w:r w:rsidRPr="002821C2">
        <w:t xml:space="preserve">proposals with Ministerial </w:t>
      </w:r>
      <w:r>
        <w:t>S</w:t>
      </w:r>
      <w:r w:rsidRPr="002821C2">
        <w:t>tatements publish</w:t>
      </w:r>
      <w:r>
        <w:t>ed before 1 July 2014</w:t>
      </w:r>
      <w:r w:rsidRPr="002821C2">
        <w:t xml:space="preserve"> </w:t>
      </w:r>
      <w:r>
        <w:t>were</w:t>
      </w:r>
      <w:r w:rsidRPr="002821C2">
        <w:t xml:space="preserve"> audited during 201</w:t>
      </w:r>
      <w:r>
        <w:t>4</w:t>
      </w:r>
      <w:r w:rsidRPr="002821C2">
        <w:t>–1</w:t>
      </w:r>
      <w:r>
        <w:t>5</w:t>
      </w:r>
      <w:r w:rsidRPr="002821C2">
        <w:t xml:space="preserve"> (201</w:t>
      </w:r>
      <w:r>
        <w:t>3</w:t>
      </w:r>
      <w:r w:rsidRPr="002821C2">
        <w:t>–1</w:t>
      </w:r>
      <w:r>
        <w:t>4</w:t>
      </w:r>
      <w:r w:rsidRPr="002821C2">
        <w:t>: 6%).</w:t>
      </w:r>
    </w:p>
    <w:p w:rsidR="00B03DA0" w:rsidRPr="002821C2" w:rsidRDefault="00B03DA0" w:rsidP="00B03DA0">
      <w:pPr>
        <w:pStyle w:val="Body"/>
      </w:pPr>
      <w:r w:rsidRPr="002821C2">
        <w:t xml:space="preserve">All proposals identified as high priority were audited during </w:t>
      </w:r>
      <w:r>
        <w:t>2014–15</w:t>
      </w:r>
      <w:r w:rsidRPr="002821C2">
        <w:t xml:space="preserve"> (201</w:t>
      </w:r>
      <w:r>
        <w:t>3</w:t>
      </w:r>
      <w:r w:rsidRPr="002821C2">
        <w:t>–1</w:t>
      </w:r>
      <w:r>
        <w:t>4</w:t>
      </w:r>
      <w:r w:rsidRPr="002821C2">
        <w:t>: 100%)</w:t>
      </w:r>
      <w:r>
        <w:t>. A</w:t>
      </w:r>
      <w:r w:rsidRPr="006407C9">
        <w:t xml:space="preserve">ll were found to be compliant with </w:t>
      </w:r>
      <w:r>
        <w:t>the implementation</w:t>
      </w:r>
      <w:r w:rsidRPr="006407C9">
        <w:t xml:space="preserve"> conditions</w:t>
      </w:r>
      <w:r w:rsidRPr="002821C2">
        <w:t xml:space="preserve"> </w:t>
      </w:r>
      <w:r>
        <w:t xml:space="preserve">of their Ministerial Statements </w:t>
      </w:r>
      <w:r w:rsidRPr="002821C2">
        <w:t>(201</w:t>
      </w:r>
      <w:r>
        <w:t>3</w:t>
      </w:r>
      <w:r w:rsidRPr="002821C2">
        <w:t>–1</w:t>
      </w:r>
      <w:r>
        <w:t>4</w:t>
      </w:r>
      <w:r w:rsidRPr="002821C2">
        <w:t>: 100%).</w:t>
      </w:r>
    </w:p>
    <w:p w:rsidR="00B03DA0" w:rsidRPr="002821C2" w:rsidRDefault="00B03DA0" w:rsidP="00B03DA0">
      <w:pPr>
        <w:pStyle w:val="Body"/>
      </w:pPr>
      <w:r w:rsidRPr="006407C9">
        <w:t>Compliance officers conducted a range of audits on pro</w:t>
      </w:r>
      <w:r>
        <w:t>posals</w:t>
      </w:r>
      <w:r w:rsidRPr="006407C9">
        <w:t xml:space="preserve"> in the </w:t>
      </w:r>
      <w:r>
        <w:t xml:space="preserve">Kimberley, </w:t>
      </w:r>
      <w:r w:rsidRPr="006407C9">
        <w:t>Pilbara</w:t>
      </w:r>
      <w:r>
        <w:t>,</w:t>
      </w:r>
      <w:r w:rsidRPr="006407C9">
        <w:t xml:space="preserve"> </w:t>
      </w:r>
      <w:proofErr w:type="spellStart"/>
      <w:r>
        <w:t>Mid West</w:t>
      </w:r>
      <w:proofErr w:type="spellEnd"/>
      <w:r>
        <w:t>,</w:t>
      </w:r>
      <w:r w:rsidRPr="006407C9">
        <w:t xml:space="preserve"> Goldfields, </w:t>
      </w:r>
      <w:r>
        <w:t xml:space="preserve">Great Southern, </w:t>
      </w:r>
      <w:r w:rsidRPr="006407C9">
        <w:t>South</w:t>
      </w:r>
      <w:r>
        <w:t xml:space="preserve"> West</w:t>
      </w:r>
      <w:r w:rsidRPr="006407C9">
        <w:t xml:space="preserve"> and the Perth metropolitan area throughout 201</w:t>
      </w:r>
      <w:r>
        <w:t>4</w:t>
      </w:r>
      <w:r w:rsidRPr="006407C9">
        <w:t>–1</w:t>
      </w:r>
      <w:r>
        <w:t>5</w:t>
      </w:r>
      <w:r w:rsidRPr="006407C9">
        <w:t xml:space="preserve">. </w:t>
      </w:r>
      <w:r>
        <w:t>Proposals</w:t>
      </w:r>
      <w:r w:rsidRPr="006407C9">
        <w:t xml:space="preserve"> audited include</w:t>
      </w:r>
      <w:r>
        <w:t>d</w:t>
      </w:r>
      <w:r w:rsidRPr="006407C9">
        <w:t xml:space="preserve"> port and rail infrastructure</w:t>
      </w:r>
      <w:r>
        <w:t>,</w:t>
      </w:r>
      <w:r w:rsidRPr="006407C9">
        <w:t xml:space="preserve"> </w:t>
      </w:r>
      <w:r>
        <w:t xml:space="preserve">oil and gas facilities, chemical manufacturing facilities, </w:t>
      </w:r>
      <w:r w:rsidRPr="006407C9">
        <w:t>power generation</w:t>
      </w:r>
      <w:r>
        <w:t xml:space="preserve"> facilities,</w:t>
      </w:r>
      <w:r w:rsidRPr="006407C9">
        <w:t xml:space="preserve"> </w:t>
      </w:r>
      <w:r>
        <w:t>a regional aerodrome and mines including mineral sands</w:t>
      </w:r>
      <w:r w:rsidRPr="006407C9">
        <w:t xml:space="preserve">, lead carbonate, </w:t>
      </w:r>
      <w:proofErr w:type="gramStart"/>
      <w:r w:rsidRPr="006407C9">
        <w:t>nickel</w:t>
      </w:r>
      <w:proofErr w:type="gramEnd"/>
      <w:r>
        <w:t>,</w:t>
      </w:r>
      <w:r w:rsidRPr="006407C9">
        <w:t xml:space="preserve"> gold and iron ore.</w:t>
      </w:r>
    </w:p>
    <w:p w:rsidR="00B03DA0" w:rsidRDefault="00B03DA0" w:rsidP="00B03DA0">
      <w:pPr>
        <w:pStyle w:val="Body"/>
      </w:pPr>
      <w:r>
        <w:t>No significant non</w:t>
      </w:r>
      <w:r w:rsidR="00A54B67">
        <w:t>-</w:t>
      </w:r>
      <w:r>
        <w:t>compliance issues were identified through the audit program.</w:t>
      </w:r>
    </w:p>
    <w:p w:rsidR="00B03DA0" w:rsidRPr="002821C2" w:rsidRDefault="00B03DA0" w:rsidP="00B03DA0">
      <w:pPr>
        <w:pStyle w:val="Body"/>
      </w:pPr>
      <w:r>
        <w:t>When non-compliance with an implementation condition or proponent commitment of a Ministerial Statement is identified</w:t>
      </w:r>
      <w:r w:rsidRPr="002821C2">
        <w:t xml:space="preserve"> the proponent </w:t>
      </w:r>
      <w:r>
        <w:t>is</w:t>
      </w:r>
      <w:r w:rsidRPr="002821C2">
        <w:t xml:space="preserve"> </w:t>
      </w:r>
      <w:r>
        <w:t>issued with a Notice of Non-C</w:t>
      </w:r>
      <w:r w:rsidRPr="002821C2">
        <w:t>ompliance</w:t>
      </w:r>
      <w:r>
        <w:t>,</w:t>
      </w:r>
      <w:r w:rsidRPr="002821C2">
        <w:t xml:space="preserve"> </w:t>
      </w:r>
      <w:r>
        <w:t xml:space="preserve">detailing </w:t>
      </w:r>
      <w:r w:rsidRPr="002821C2">
        <w:t>actions required to rectify the issue and regain compliance.</w:t>
      </w:r>
    </w:p>
    <w:p w:rsidR="00B03DA0" w:rsidRPr="002821C2" w:rsidRDefault="00B03DA0" w:rsidP="00B03DA0">
      <w:pPr>
        <w:pStyle w:val="Body"/>
      </w:pPr>
      <w:r w:rsidRPr="002821C2">
        <w:t xml:space="preserve">The Minister for Environment is informed </w:t>
      </w:r>
      <w:proofErr w:type="gramStart"/>
      <w:r w:rsidRPr="002821C2">
        <w:t>of each non-compliance</w:t>
      </w:r>
      <w:proofErr w:type="gramEnd"/>
      <w:r w:rsidRPr="002821C2">
        <w:t>, which enables a range of actions to be undertaken if required.</w:t>
      </w:r>
    </w:p>
    <w:p w:rsidR="00B03DA0" w:rsidRDefault="00B03DA0" w:rsidP="00B03DA0">
      <w:pPr>
        <w:pStyle w:val="Body"/>
      </w:pPr>
      <w:r w:rsidRPr="002821C2">
        <w:t xml:space="preserve">The effectiveness of the compliance monitoring program in </w:t>
      </w:r>
      <w:r>
        <w:t>ensuring</w:t>
      </w:r>
      <w:r w:rsidRPr="002821C2">
        <w:t xml:space="preserve"> proponents comply with Ministerial conditions is demonstrated by examining the “percentage of non-compliances where remedial action has been taken by the proponent within the time specified in the Notice of Non-Compliance”. </w:t>
      </w:r>
    </w:p>
    <w:p w:rsidR="00B03DA0" w:rsidRDefault="00B03DA0" w:rsidP="00B03DA0">
      <w:pPr>
        <w:pStyle w:val="Body"/>
      </w:pPr>
      <w:r w:rsidRPr="002821C2">
        <w:t xml:space="preserve">During the year, </w:t>
      </w:r>
      <w:r>
        <w:t>100</w:t>
      </w:r>
      <w:r w:rsidRPr="00E61347">
        <w:t>%</w:t>
      </w:r>
      <w:r>
        <w:t xml:space="preserve"> </w:t>
      </w:r>
      <w:r w:rsidRPr="002821C2">
        <w:t>of all actions to resolve non-compliance were completed by the required date (201</w:t>
      </w:r>
      <w:r>
        <w:t>3–</w:t>
      </w:r>
      <w:r w:rsidRPr="002821C2">
        <w:t>1</w:t>
      </w:r>
      <w:r>
        <w:t>4</w:t>
      </w:r>
      <w:r w:rsidRPr="002821C2">
        <w:t xml:space="preserve">: </w:t>
      </w:r>
      <w:r>
        <w:t>92%</w:t>
      </w:r>
      <w:r w:rsidRPr="002821C2">
        <w:t>).</w:t>
      </w:r>
      <w:r>
        <w:t xml:space="preserve"> </w:t>
      </w:r>
    </w:p>
    <w:p w:rsidR="00B03DA0" w:rsidRPr="002821C2" w:rsidRDefault="00B03DA0" w:rsidP="00B03DA0">
      <w:pPr>
        <w:pStyle w:val="Heading2"/>
      </w:pPr>
      <w:bookmarkStart w:id="66" w:name="_Toc428279188"/>
      <w:r w:rsidRPr="002821C2">
        <w:t>Significant proposals audited</w:t>
      </w:r>
      <w:bookmarkEnd w:id="66"/>
    </w:p>
    <w:p w:rsidR="00B03DA0" w:rsidRPr="002821C2" w:rsidRDefault="00B03DA0" w:rsidP="00B03DA0">
      <w:pPr>
        <w:pStyle w:val="Body"/>
      </w:pPr>
      <w:r w:rsidRPr="002821C2">
        <w:t xml:space="preserve">The OEPA applies a priority rating to all proposals based on </w:t>
      </w:r>
      <w:r>
        <w:t>a number of factors including the condition of the receiving environment, potential environmental impact, and level of stakeholder interest</w:t>
      </w:r>
      <w:r w:rsidRPr="002821C2">
        <w:t xml:space="preserve">. The Gorgon Gas Development </w:t>
      </w:r>
      <w:r>
        <w:t xml:space="preserve">and its associated </w:t>
      </w:r>
      <w:proofErr w:type="spellStart"/>
      <w:r>
        <w:t>Jansz</w:t>
      </w:r>
      <w:proofErr w:type="spellEnd"/>
      <w:r>
        <w:t xml:space="preserve"> Feed Gas Pipeline at </w:t>
      </w:r>
      <w:r w:rsidRPr="002821C2">
        <w:t>Barrow Island</w:t>
      </w:r>
      <w:r>
        <w:t xml:space="preserve"> Nature Reserve, the Wheatstone LNG Development near Onslow and the </w:t>
      </w:r>
      <w:r>
        <w:lastRenderedPageBreak/>
        <w:t>Magellan Lead Carbonate Project in</w:t>
      </w:r>
      <w:r w:rsidRPr="004532E5">
        <w:t xml:space="preserve"> Wiluna</w:t>
      </w:r>
      <w:r w:rsidRPr="002821C2">
        <w:t xml:space="preserve"> </w:t>
      </w:r>
      <w:r>
        <w:t>are some of the proposals</w:t>
      </w:r>
      <w:r w:rsidRPr="002821C2">
        <w:t xml:space="preserve"> identified </w:t>
      </w:r>
      <w:r>
        <w:t>by the OEPA as significant</w:t>
      </w:r>
      <w:r w:rsidRPr="002821C2">
        <w:t>.</w:t>
      </w:r>
    </w:p>
    <w:p w:rsidR="00B03DA0" w:rsidRPr="00F01123" w:rsidRDefault="00B03DA0" w:rsidP="00B03DA0">
      <w:pPr>
        <w:pStyle w:val="Heading3"/>
      </w:pPr>
      <w:bookmarkStart w:id="67" w:name="_Toc428279189"/>
      <w:r w:rsidRPr="00F01123">
        <w:t xml:space="preserve">Gorgon Gas Development and Associated </w:t>
      </w:r>
      <w:proofErr w:type="spellStart"/>
      <w:r w:rsidRPr="00F01123">
        <w:t>Jansz</w:t>
      </w:r>
      <w:proofErr w:type="spellEnd"/>
      <w:r w:rsidRPr="00F01123">
        <w:t xml:space="preserve"> Feed Pipeline</w:t>
      </w:r>
      <w:bookmarkEnd w:id="67"/>
    </w:p>
    <w:p w:rsidR="00B03DA0" w:rsidRDefault="00B03DA0" w:rsidP="00B03DA0">
      <w:pPr>
        <w:pStyle w:val="Body"/>
      </w:pPr>
      <w:r w:rsidRPr="00595F08">
        <w:t xml:space="preserve">The </w:t>
      </w:r>
      <w:r>
        <w:t xml:space="preserve">2014–15 </w:t>
      </w:r>
      <w:r w:rsidRPr="00595F08">
        <w:t xml:space="preserve">audit of the Gorgon </w:t>
      </w:r>
      <w:r>
        <w:t>Gas Development</w:t>
      </w:r>
      <w:r w:rsidRPr="00595F08">
        <w:t xml:space="preserve"> focused on compliance with the </w:t>
      </w:r>
      <w:r>
        <w:t xml:space="preserve">Coastal Stability Management Plan </w:t>
      </w:r>
      <w:r w:rsidRPr="00595F08">
        <w:t xml:space="preserve">and </w:t>
      </w:r>
      <w:r>
        <w:t xml:space="preserve">the Long-term Marine Turtle </w:t>
      </w:r>
      <w:r w:rsidRPr="00595F08">
        <w:t xml:space="preserve">Management </w:t>
      </w:r>
      <w:r>
        <w:t>Plan and included a s</w:t>
      </w:r>
      <w:r w:rsidRPr="00595F08">
        <w:t>ite visit to</w:t>
      </w:r>
      <w:r>
        <w:t xml:space="preserve"> the facilities</w:t>
      </w:r>
      <w:r w:rsidRPr="00595F08">
        <w:t xml:space="preserve"> </w:t>
      </w:r>
      <w:r>
        <w:t xml:space="preserve">on </w:t>
      </w:r>
      <w:r w:rsidRPr="00595F08">
        <w:t>Barrow Island</w:t>
      </w:r>
      <w:r>
        <w:t>.</w:t>
      </w:r>
      <w:r w:rsidRPr="00595F08">
        <w:t xml:space="preserve"> </w:t>
      </w:r>
    </w:p>
    <w:p w:rsidR="00B03DA0" w:rsidRDefault="00B03DA0" w:rsidP="00B03DA0">
      <w:pPr>
        <w:pStyle w:val="Body"/>
      </w:pPr>
      <w:r>
        <w:t xml:space="preserve">The audit </w:t>
      </w:r>
      <w:r w:rsidRPr="00595F08">
        <w:t xml:space="preserve">confirmed </w:t>
      </w:r>
      <w:r>
        <w:t xml:space="preserve">the proposal is being </w:t>
      </w:r>
      <w:r w:rsidRPr="00595F08">
        <w:t>implemented in accordance with the conditions of Mi</w:t>
      </w:r>
      <w:r>
        <w:t>nisterial Statement 800.</w:t>
      </w:r>
    </w:p>
    <w:p w:rsidR="00B03DA0" w:rsidRPr="00B03DA0" w:rsidRDefault="00B03DA0" w:rsidP="00B03DA0">
      <w:pPr>
        <w:pStyle w:val="Heading3"/>
      </w:pPr>
      <w:bookmarkStart w:id="68" w:name="_Toc428279190"/>
      <w:r w:rsidRPr="00B03DA0">
        <w:t>Wheatstone LNG Development</w:t>
      </w:r>
      <w:bookmarkEnd w:id="68"/>
    </w:p>
    <w:p w:rsidR="00B03DA0" w:rsidRDefault="00B03DA0" w:rsidP="00B03DA0">
      <w:pPr>
        <w:pStyle w:val="Body"/>
      </w:pPr>
      <w:r w:rsidRPr="00595F08">
        <w:t xml:space="preserve">The </w:t>
      </w:r>
      <w:r>
        <w:t xml:space="preserve">2014–15 </w:t>
      </w:r>
      <w:r w:rsidRPr="00595F08">
        <w:t xml:space="preserve">audit of the </w:t>
      </w:r>
      <w:r>
        <w:t xml:space="preserve">Wheatstone LNG Development </w:t>
      </w:r>
      <w:r w:rsidRPr="00595F08">
        <w:t xml:space="preserve">focused on </w:t>
      </w:r>
      <w:r>
        <w:t>implementation of</w:t>
      </w:r>
      <w:r w:rsidRPr="00595F08">
        <w:t xml:space="preserve"> the </w:t>
      </w:r>
      <w:r>
        <w:t xml:space="preserve">Mangrove, Algal Mat and Tidal Creek Protection Management Plan </w:t>
      </w:r>
      <w:r w:rsidRPr="00595F08">
        <w:t xml:space="preserve">and confirmed </w:t>
      </w:r>
      <w:r>
        <w:t xml:space="preserve">the proposal is being </w:t>
      </w:r>
      <w:r w:rsidRPr="00595F08">
        <w:t>implemented in accordance with the conditions of Mi</w:t>
      </w:r>
      <w:r>
        <w:t>nisterial Statement 873.</w:t>
      </w:r>
    </w:p>
    <w:p w:rsidR="00B03DA0" w:rsidRPr="001E6749" w:rsidRDefault="00B03DA0" w:rsidP="00B03DA0">
      <w:pPr>
        <w:pStyle w:val="Heading3"/>
      </w:pPr>
      <w:bookmarkStart w:id="69" w:name="_Toc428279191"/>
      <w:r w:rsidRPr="001E6749">
        <w:t>Magellan Lead Carbonate Project</w:t>
      </w:r>
      <w:bookmarkEnd w:id="69"/>
    </w:p>
    <w:p w:rsidR="00B03DA0" w:rsidRDefault="00B03DA0" w:rsidP="00B03DA0">
      <w:pPr>
        <w:pStyle w:val="Body"/>
        <w:rPr>
          <w:strike/>
        </w:rPr>
      </w:pPr>
      <w:r>
        <w:t xml:space="preserve">The Magellan Lead Carbonate Project was audited during 2014–15. The audit focused on </w:t>
      </w:r>
      <w:r w:rsidRPr="00C52A93">
        <w:t xml:space="preserve">the </w:t>
      </w:r>
      <w:r>
        <w:t xml:space="preserve">lead sampling program at the mine and along the transport route. </w:t>
      </w:r>
    </w:p>
    <w:p w:rsidR="004D033D" w:rsidRDefault="00B03DA0" w:rsidP="00B423AC">
      <w:pPr>
        <w:pStyle w:val="Body"/>
      </w:pPr>
      <w:r w:rsidRPr="00C52A93">
        <w:t xml:space="preserve">The audit confirmed that </w:t>
      </w:r>
      <w:r>
        <w:t>the proposal</w:t>
      </w:r>
      <w:r w:rsidRPr="00C52A93">
        <w:t xml:space="preserve"> is </w:t>
      </w:r>
      <w:r>
        <w:t>implementing the lead sampling program in compliance with the condition</w:t>
      </w:r>
      <w:r w:rsidR="00B423AC">
        <w:t>s of Ministerial Statement 905.</w:t>
      </w:r>
    </w:p>
    <w:p w:rsidR="00B423AC" w:rsidRPr="00E76C17" w:rsidRDefault="00B423AC" w:rsidP="00B423AC">
      <w:pPr>
        <w:pStyle w:val="Heading1"/>
      </w:pPr>
      <w:bookmarkStart w:id="70" w:name="_Toc425253667"/>
      <w:bookmarkStart w:id="71" w:name="_Toc428279192"/>
      <w:r>
        <w:t>Improving our business</w:t>
      </w:r>
      <w:bookmarkEnd w:id="70"/>
      <w:bookmarkEnd w:id="71"/>
    </w:p>
    <w:p w:rsidR="00F70449" w:rsidRDefault="00F70449" w:rsidP="00004A0E">
      <w:pPr>
        <w:pStyle w:val="Heading2"/>
      </w:pPr>
      <w:bookmarkStart w:id="72" w:name="_Toc428279193"/>
      <w:r>
        <w:t>Environmental impact assessment – Reform</w:t>
      </w:r>
      <w:bookmarkEnd w:id="72"/>
    </w:p>
    <w:p w:rsidR="00004A0E" w:rsidRPr="00004A0E" w:rsidRDefault="00004A0E" w:rsidP="00F70449">
      <w:pPr>
        <w:pStyle w:val="Heading3"/>
      </w:pPr>
      <w:bookmarkStart w:id="73" w:name="_Toc428279194"/>
      <w:r w:rsidRPr="00004A0E">
        <w:t>Close out letter from the General Manager – feedback from proponents</w:t>
      </w:r>
      <w:bookmarkEnd w:id="73"/>
    </w:p>
    <w:p w:rsidR="00004A0E" w:rsidRPr="004F3FC4" w:rsidRDefault="00004A0E" w:rsidP="00004A0E">
      <w:pPr>
        <w:pStyle w:val="Body"/>
      </w:pPr>
      <w:r>
        <w:t xml:space="preserve">As </w:t>
      </w:r>
      <w:r w:rsidRPr="004F3FC4">
        <w:t>a part of the OEPA’s commitment to continuous improvement</w:t>
      </w:r>
      <w:r>
        <w:t>,</w:t>
      </w:r>
      <w:r w:rsidRPr="004F3FC4">
        <w:t xml:space="preserve"> </w:t>
      </w:r>
      <w:r>
        <w:t>we</w:t>
      </w:r>
      <w:r w:rsidRPr="004F3FC4">
        <w:t xml:space="preserve"> </w:t>
      </w:r>
      <w:r>
        <w:t>invite</w:t>
      </w:r>
      <w:r w:rsidRPr="004F3FC4">
        <w:t xml:space="preserve"> proponents to provide feedback on the assessment process and </w:t>
      </w:r>
      <w:r>
        <w:t xml:space="preserve">their communications with the </w:t>
      </w:r>
      <w:r w:rsidRPr="004F3FC4">
        <w:t>OEPA</w:t>
      </w:r>
      <w:r>
        <w:t xml:space="preserve">, after transmittal of the EPA’s assessment report and recommendations to the Minister. Specifically, </w:t>
      </w:r>
      <w:r w:rsidRPr="004F3FC4">
        <w:t xml:space="preserve">feedback </w:t>
      </w:r>
      <w:r>
        <w:t xml:space="preserve">is sought </w:t>
      </w:r>
      <w:r w:rsidRPr="004F3FC4">
        <w:t>relating to: the OEPA’s risk</w:t>
      </w:r>
      <w:r>
        <w:t>-</w:t>
      </w:r>
      <w:r w:rsidRPr="004F3FC4">
        <w:t>based approach to assessment and the use of key environmental factors; timeliness of assessments; suitability of policy and guidance material; and</w:t>
      </w:r>
      <w:r>
        <w:t xml:space="preserve"> the proponent’s</w:t>
      </w:r>
      <w:r w:rsidRPr="004F3FC4">
        <w:t xml:space="preserve"> </w:t>
      </w:r>
      <w:r>
        <w:t>interaction with</w:t>
      </w:r>
      <w:r w:rsidRPr="004F3FC4">
        <w:t xml:space="preserve"> OEPA</w:t>
      </w:r>
      <w:r>
        <w:t xml:space="preserve"> officers</w:t>
      </w:r>
      <w:r w:rsidRPr="004F3FC4">
        <w:t>.</w:t>
      </w:r>
    </w:p>
    <w:p w:rsidR="00004A0E" w:rsidRDefault="00004A0E" w:rsidP="00004A0E">
      <w:pPr>
        <w:pStyle w:val="Body"/>
      </w:pPr>
      <w:r w:rsidRPr="004F3FC4">
        <w:t>Th</w:t>
      </w:r>
      <w:r>
        <w:t xml:space="preserve">e </w:t>
      </w:r>
      <w:r w:rsidRPr="004F3FC4">
        <w:t xml:space="preserve">feedback </w:t>
      </w:r>
      <w:r>
        <w:t>received has</w:t>
      </w:r>
      <w:r w:rsidRPr="004F3FC4">
        <w:t xml:space="preserve"> </w:t>
      </w:r>
      <w:r>
        <w:t>helped</w:t>
      </w:r>
      <w:r w:rsidRPr="004F3FC4">
        <w:t xml:space="preserve"> the OEPA identify what policy and process improvements are working and where </w:t>
      </w:r>
      <w:r>
        <w:t xml:space="preserve">further </w:t>
      </w:r>
      <w:r w:rsidRPr="004F3FC4">
        <w:t xml:space="preserve">attention </w:t>
      </w:r>
      <w:r>
        <w:t>may be required</w:t>
      </w:r>
      <w:r w:rsidRPr="004F3FC4">
        <w:t xml:space="preserve">. </w:t>
      </w:r>
      <w:r>
        <w:t xml:space="preserve">Proponents have highlighted the </w:t>
      </w:r>
      <w:r w:rsidRPr="004F3FC4">
        <w:t xml:space="preserve">importance of </w:t>
      </w:r>
      <w:r>
        <w:t xml:space="preserve">ongoing </w:t>
      </w:r>
      <w:r w:rsidRPr="004F3FC4">
        <w:t>communication relating to assessment timelines</w:t>
      </w:r>
      <w:r>
        <w:t xml:space="preserve"> and condition setting. The OEPA recognises the importance of these aspects and is committed to continued efficiency measures, while maintaining </w:t>
      </w:r>
      <w:r w:rsidRPr="004F3FC4">
        <w:t xml:space="preserve">environmental objectives. </w:t>
      </w:r>
    </w:p>
    <w:p w:rsidR="00004A0E" w:rsidRDefault="00004A0E" w:rsidP="00004A0E">
      <w:pPr>
        <w:pStyle w:val="Body"/>
      </w:pPr>
      <w:r>
        <w:lastRenderedPageBreak/>
        <w:t xml:space="preserve">Proponents </w:t>
      </w:r>
      <w:r w:rsidRPr="0061754D">
        <w:t xml:space="preserve">also acknowledged </w:t>
      </w:r>
      <w:r>
        <w:t>the willingness and availability of officers to provide guidance and the c</w:t>
      </w:r>
      <w:r w:rsidRPr="0061754D">
        <w:t xml:space="preserve">onsistency of officers as important aspects of effective </w:t>
      </w:r>
      <w:r>
        <w:t>environmental impact assessment</w:t>
      </w:r>
      <w:r w:rsidRPr="0061754D">
        <w:t xml:space="preserve"> </w:t>
      </w:r>
      <w:r>
        <w:t>undertaken</w:t>
      </w:r>
      <w:r w:rsidRPr="0061754D">
        <w:t xml:space="preserve"> by the OEPA.</w:t>
      </w:r>
    </w:p>
    <w:p w:rsidR="00004A0E" w:rsidRDefault="00004A0E" w:rsidP="00004A0E">
      <w:pPr>
        <w:pStyle w:val="Body"/>
      </w:pPr>
      <w:r>
        <w:t>The</w:t>
      </w:r>
      <w:r w:rsidRPr="004F3FC4">
        <w:t xml:space="preserve"> feedback process was i</w:t>
      </w:r>
      <w:r>
        <w:t>nitiat</w:t>
      </w:r>
      <w:r w:rsidRPr="004F3FC4">
        <w:t>ed in November 2014</w:t>
      </w:r>
      <w:r>
        <w:t xml:space="preserve"> and has had a response rate of 55% (</w:t>
      </w:r>
      <w:r w:rsidRPr="0036383B">
        <w:t>five</w:t>
      </w:r>
      <w:r>
        <w:t xml:space="preserve"> responses from nine letters sent)</w:t>
      </w:r>
      <w:r w:rsidRPr="004F3FC4">
        <w:t xml:space="preserve">. </w:t>
      </w:r>
      <w:r>
        <w:t>Overall, t</w:t>
      </w:r>
      <w:r w:rsidRPr="004F3FC4">
        <w:t xml:space="preserve">he feedback to date has been positive and </w:t>
      </w:r>
      <w:r>
        <w:t xml:space="preserve">supports </w:t>
      </w:r>
      <w:r w:rsidRPr="004F3FC4">
        <w:t>the OEPA’s risk</w:t>
      </w:r>
      <w:r>
        <w:t>-</w:t>
      </w:r>
      <w:r w:rsidRPr="004F3FC4">
        <w:t>based approach to assessment and the provision of timely and professional advice to proponents</w:t>
      </w:r>
      <w:r>
        <w:t xml:space="preserve">. </w:t>
      </w:r>
    </w:p>
    <w:p w:rsidR="00F70449" w:rsidRDefault="00F70449" w:rsidP="00F70449">
      <w:pPr>
        <w:pStyle w:val="Heading3"/>
      </w:pPr>
      <w:bookmarkStart w:id="74" w:name="_Toc428279195"/>
      <w:r>
        <w:t>Environmental assessment guidance for referrals</w:t>
      </w:r>
      <w:bookmarkEnd w:id="74"/>
    </w:p>
    <w:p w:rsidR="00F70449" w:rsidRDefault="001112B6" w:rsidP="001112B6">
      <w:pPr>
        <w:pStyle w:val="Body"/>
      </w:pPr>
      <w:r>
        <w:t>During the year, t</w:t>
      </w:r>
      <w:r w:rsidR="00F70449">
        <w:t>he OEPA updated the referral forms for</w:t>
      </w:r>
      <w:r>
        <w:t xml:space="preserve"> both development proposals (referred</w:t>
      </w:r>
      <w:r w:rsidR="00F70449">
        <w:t xml:space="preserve"> under s38 of the EP Act, </w:t>
      </w:r>
      <w:r>
        <w:t>and schemes and s</w:t>
      </w:r>
      <w:r w:rsidR="00F70449">
        <w:t xml:space="preserve">cheme </w:t>
      </w:r>
      <w:r>
        <w:t>a</w:t>
      </w:r>
      <w:r w:rsidR="00F70449">
        <w:t>mendment</w:t>
      </w:r>
      <w:r w:rsidR="00294448">
        <w:t>s (referred</w:t>
      </w:r>
      <w:r w:rsidR="00F70449">
        <w:t xml:space="preserve"> under s48A of the EP Act</w:t>
      </w:r>
      <w:r w:rsidR="00294448">
        <w:t>)</w:t>
      </w:r>
      <w:r w:rsidR="00F70449">
        <w:t>. The</w:t>
      </w:r>
      <w:r w:rsidR="00294448">
        <w:t xml:space="preserve"> new</w:t>
      </w:r>
      <w:r w:rsidR="00F70449">
        <w:t xml:space="preserve"> forms were released in January 2015 and are </w:t>
      </w:r>
      <w:r w:rsidR="00294448">
        <w:t>to be used</w:t>
      </w:r>
      <w:r w:rsidR="00F70449">
        <w:t xml:space="preserve"> by proponents, responsible authorities, decision</w:t>
      </w:r>
      <w:r w:rsidR="00294448">
        <w:t>-</w:t>
      </w:r>
      <w:r w:rsidR="00F70449">
        <w:t>making authorities (DMA) and</w:t>
      </w:r>
      <w:r w:rsidR="00F70449" w:rsidRPr="001A61D0">
        <w:t xml:space="preserve"> </w:t>
      </w:r>
      <w:r w:rsidR="00F70449">
        <w:t>third parties</w:t>
      </w:r>
      <w:r w:rsidR="00294448">
        <w:t xml:space="preserve"> when referring proposals, schemes or scheme amendments to the EPA</w:t>
      </w:r>
      <w:r w:rsidR="00F70449">
        <w:t xml:space="preserve">. </w:t>
      </w:r>
    </w:p>
    <w:p w:rsidR="00F70449" w:rsidRDefault="00F70449" w:rsidP="001112B6">
      <w:pPr>
        <w:pStyle w:val="Body"/>
      </w:pPr>
      <w:r>
        <w:t xml:space="preserve">The referral form update project was initiated to ensure the forms reflected the contemporary suite of the EPA’s policy and guidance and to ensure that targeted and sufficient information was provided to the EPA to assist in the determination on whether or not assessment is required and the appropriate level of assessment. </w:t>
      </w:r>
    </w:p>
    <w:p w:rsidR="00F70449" w:rsidRDefault="00181DEB" w:rsidP="001112B6">
      <w:pPr>
        <w:pStyle w:val="Body"/>
      </w:pPr>
      <w:r>
        <w:t>Before finalising and publishing the new forms, t</w:t>
      </w:r>
      <w:r w:rsidR="00F70449">
        <w:t>he OEPA co</w:t>
      </w:r>
      <w:r w:rsidR="00F465F8">
        <w:t>nsulted and trialled versions</w:t>
      </w:r>
      <w:r w:rsidR="00F70449">
        <w:t xml:space="preserve"> with industry, DMAs and key stakeholders. This consultative approach received positive feedback and </w:t>
      </w:r>
      <w:r>
        <w:t>ensured the new forms meet</w:t>
      </w:r>
      <w:r w:rsidR="00F70449">
        <w:t xml:space="preserve"> the requirements of the EPA and key users. </w:t>
      </w:r>
    </w:p>
    <w:p w:rsidR="00F70449" w:rsidRDefault="00F70449" w:rsidP="001112B6">
      <w:pPr>
        <w:pStyle w:val="Body"/>
      </w:pPr>
      <w:r>
        <w:t>Since the</w:t>
      </w:r>
      <w:r w:rsidR="00181DEB">
        <w:t>ir</w:t>
      </w:r>
      <w:r>
        <w:t xml:space="preserve"> release </w:t>
      </w:r>
      <w:r w:rsidR="00181DEB">
        <w:t>in January,</w:t>
      </w:r>
      <w:r>
        <w:t xml:space="preserve"> the OEPA has noticed a marked improvement in the provision of succinct and relevant information on proposals, schemes and scheme amendments. </w:t>
      </w:r>
    </w:p>
    <w:p w:rsidR="00F70449" w:rsidRDefault="00D84DAE" w:rsidP="001112B6">
      <w:pPr>
        <w:pStyle w:val="Body"/>
      </w:pPr>
      <w:r>
        <w:t xml:space="preserve">Online lodgement of referral documentation has been identified as a targeted improvement for the OEPA’s information management team, and </w:t>
      </w:r>
      <w:r w:rsidR="00E75976">
        <w:t>the update of the referral forms has been a key first step in this process, which will continue during 2015–16.</w:t>
      </w:r>
    </w:p>
    <w:p w:rsidR="00A60013" w:rsidRDefault="00A60013" w:rsidP="00A60013">
      <w:pPr>
        <w:pStyle w:val="Heading2"/>
      </w:pPr>
      <w:bookmarkStart w:id="75" w:name="_Toc428279196"/>
      <w:r w:rsidRPr="003A4534">
        <w:t>Public consultation</w:t>
      </w:r>
      <w:bookmarkEnd w:id="75"/>
      <w:r w:rsidRPr="003A4534">
        <w:t xml:space="preserve"> </w:t>
      </w:r>
    </w:p>
    <w:p w:rsidR="00A60013" w:rsidRPr="00A872AC" w:rsidRDefault="00A60013" w:rsidP="00A60013">
      <w:pPr>
        <w:pStyle w:val="Body"/>
      </w:pPr>
      <w:r w:rsidRPr="00A872AC">
        <w:t>The public are encouraged to</w:t>
      </w:r>
      <w:r>
        <w:t>:</w:t>
      </w:r>
    </w:p>
    <w:p w:rsidR="00A60013" w:rsidRPr="00A872AC" w:rsidRDefault="00A60013" w:rsidP="00067EE9">
      <w:pPr>
        <w:pStyle w:val="ListParagraph"/>
      </w:pPr>
      <w:r w:rsidRPr="00A872AC">
        <w:t>participate in consultation by offering advice, identifying omitted relevant data/information, providing local knowledge and proposing alternatives;</w:t>
      </w:r>
    </w:p>
    <w:p w:rsidR="00A60013" w:rsidRPr="00A872AC" w:rsidRDefault="00A60013" w:rsidP="00067EE9">
      <w:pPr>
        <w:pStyle w:val="ListParagraph"/>
      </w:pPr>
      <w:r w:rsidRPr="00A872AC">
        <w:lastRenderedPageBreak/>
        <w:t>participate in strategic policy and planning as appropriate, since engagement at these earlier stages may influence the development and evaluation of future proposals;</w:t>
      </w:r>
    </w:p>
    <w:p w:rsidR="00A60013" w:rsidRPr="00A872AC" w:rsidRDefault="00A60013" w:rsidP="00067EE9">
      <w:pPr>
        <w:pStyle w:val="ListParagraph"/>
      </w:pPr>
      <w:r w:rsidRPr="00A872AC">
        <w:t>be informed of the administration and outcomes of EIA; and</w:t>
      </w:r>
    </w:p>
    <w:p w:rsidR="00A60013" w:rsidRPr="00413F2B" w:rsidRDefault="00A60013" w:rsidP="006F4400">
      <w:pPr>
        <w:pStyle w:val="Lastbullet"/>
      </w:pPr>
      <w:proofErr w:type="gramStart"/>
      <w:r w:rsidRPr="00A872AC">
        <w:t>take</w:t>
      </w:r>
      <w:proofErr w:type="gramEnd"/>
      <w:r w:rsidRPr="00A872AC">
        <w:t xml:space="preserve"> a responsible approach to opportunities for engagement in the EIA process, including being informed of objective information about the environmental issues.</w:t>
      </w:r>
    </w:p>
    <w:p w:rsidR="00A60013" w:rsidRPr="00A60013" w:rsidRDefault="00A60013" w:rsidP="008C2514">
      <w:pPr>
        <w:pStyle w:val="Body"/>
        <w:spacing w:after="240"/>
        <w:jc w:val="right"/>
        <w:rPr>
          <w:sz w:val="22"/>
        </w:rPr>
      </w:pPr>
      <w:r w:rsidRPr="00A60013">
        <w:rPr>
          <w:rStyle w:val="Emphasis"/>
          <w:sz w:val="22"/>
        </w:rPr>
        <w:t xml:space="preserve">Environmental Impact Assessment (Part IV Divisions 1 and 2) </w:t>
      </w:r>
      <w:r>
        <w:rPr>
          <w:rStyle w:val="Emphasis"/>
          <w:sz w:val="22"/>
        </w:rPr>
        <w:br/>
      </w:r>
      <w:r w:rsidRPr="00A60013">
        <w:rPr>
          <w:rStyle w:val="Emphasis"/>
          <w:sz w:val="22"/>
        </w:rPr>
        <w:t>Administrative Procedures 2012</w:t>
      </w:r>
    </w:p>
    <w:p w:rsidR="00A60013" w:rsidRPr="003A4534" w:rsidRDefault="00A60013" w:rsidP="00A60013">
      <w:pPr>
        <w:pStyle w:val="Body"/>
      </w:pPr>
      <w:r>
        <w:t>To facilitate public participation, a</w:t>
      </w:r>
      <w:r w:rsidRPr="003A4534">
        <w:t>ll opportunities to comment and make formal submissions on matters before the EPA can be found on the OEPA’s “consultation hub”</w:t>
      </w:r>
      <w:r w:rsidR="00A23A9E">
        <w:t xml:space="preserve"> at https://consultation.epa.wa.gov.au</w:t>
      </w:r>
      <w:r>
        <w:t>. The OEPA also prefers responses be made through the hub</w:t>
      </w:r>
      <w:r w:rsidRPr="003A4534">
        <w:t xml:space="preserve">. </w:t>
      </w:r>
      <w:r>
        <w:t>It</w:t>
      </w:r>
      <w:r w:rsidRPr="003A4534">
        <w:t xml:space="preserve"> provides a comprehensive platform for online consultation that enables the EPA to:</w:t>
      </w:r>
    </w:p>
    <w:p w:rsidR="00A60013" w:rsidRPr="003A4534" w:rsidRDefault="00A60013" w:rsidP="00067EE9">
      <w:pPr>
        <w:pStyle w:val="ListParagraph"/>
      </w:pPr>
      <w:r w:rsidRPr="003A4534">
        <w:t>manage all its consultation activity;</w:t>
      </w:r>
    </w:p>
    <w:p w:rsidR="00A60013" w:rsidRPr="003A4534" w:rsidRDefault="00A60013" w:rsidP="00067EE9">
      <w:pPr>
        <w:pStyle w:val="ListParagraph"/>
      </w:pPr>
      <w:r w:rsidRPr="003A4534">
        <w:t>create consultations and surveys;</w:t>
      </w:r>
    </w:p>
    <w:p w:rsidR="00A60013" w:rsidRPr="003A4534" w:rsidRDefault="00A60013" w:rsidP="00067EE9">
      <w:pPr>
        <w:pStyle w:val="ListParagraph"/>
      </w:pPr>
      <w:r w:rsidRPr="003A4534">
        <w:t>publicise and promote EIA consultations;</w:t>
      </w:r>
    </w:p>
    <w:p w:rsidR="00A60013" w:rsidRPr="003A4534" w:rsidRDefault="00A60013" w:rsidP="00067EE9">
      <w:pPr>
        <w:pStyle w:val="ListParagraph"/>
      </w:pPr>
      <w:r w:rsidRPr="003A4534">
        <w:t>analyse and report on responses; and</w:t>
      </w:r>
    </w:p>
    <w:p w:rsidR="00A60013" w:rsidRPr="003A4534" w:rsidRDefault="00A60013" w:rsidP="006F4400">
      <w:pPr>
        <w:pStyle w:val="Lastbullet"/>
      </w:pPr>
      <w:proofErr w:type="gramStart"/>
      <w:r w:rsidRPr="003A4534">
        <w:t>feed</w:t>
      </w:r>
      <w:proofErr w:type="gramEnd"/>
      <w:r w:rsidRPr="003A4534">
        <w:t xml:space="preserve"> back to the public.</w:t>
      </w:r>
    </w:p>
    <w:p w:rsidR="00A60013" w:rsidRPr="003A4534" w:rsidRDefault="00A60013" w:rsidP="00A60013">
      <w:pPr>
        <w:pStyle w:val="Body"/>
      </w:pPr>
      <w:r w:rsidRPr="003A4534">
        <w:t>Interested stakeholders can subscribe to be notified when new items are published by signing up to an email mailing list.</w:t>
      </w:r>
    </w:p>
    <w:p w:rsidR="00A60013" w:rsidRPr="00A23A9E" w:rsidRDefault="00A60013" w:rsidP="00A23A9E">
      <w:pPr>
        <w:pStyle w:val="Body"/>
      </w:pPr>
      <w:r>
        <w:t xml:space="preserve">During 2014-15, public comment was invited on 73 items, and a total of </w:t>
      </w:r>
      <w:r w:rsidRPr="00023F2A">
        <w:t>4,36</w:t>
      </w:r>
      <w:r>
        <w:t>1 responses were received.</w:t>
      </w:r>
    </w:p>
    <w:tbl>
      <w:tblPr>
        <w:tblStyle w:val="TableGrid"/>
        <w:tblW w:w="0" w:type="auto"/>
        <w:tblInd w:w="12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5245"/>
        <w:gridCol w:w="1417"/>
        <w:gridCol w:w="1701"/>
      </w:tblGrid>
      <w:tr w:rsidR="00A23A9E" w:rsidRPr="00D536EF" w:rsidTr="00A23A9E">
        <w:tc>
          <w:tcPr>
            <w:tcW w:w="5245" w:type="dxa"/>
            <w:shd w:val="clear" w:color="auto" w:fill="D0CBB1" w:themeFill="accent4" w:themeFillTint="99"/>
          </w:tcPr>
          <w:p w:rsidR="00A60013" w:rsidRPr="00D536EF" w:rsidRDefault="00A60013" w:rsidP="008C2514">
            <w:pPr>
              <w:spacing w:line="276" w:lineRule="auto"/>
              <w:rPr>
                <w:rFonts w:ascii="Arial" w:hAnsi="Arial" w:cs="Arial"/>
                <w:b/>
              </w:rPr>
            </w:pPr>
            <w:r w:rsidRPr="00D536EF">
              <w:rPr>
                <w:rFonts w:ascii="Arial" w:hAnsi="Arial" w:cs="Arial"/>
                <w:b/>
              </w:rPr>
              <w:t>Type of consultation</w:t>
            </w:r>
          </w:p>
        </w:tc>
        <w:tc>
          <w:tcPr>
            <w:tcW w:w="1417" w:type="dxa"/>
            <w:shd w:val="clear" w:color="auto" w:fill="D0CBB1" w:themeFill="accent4" w:themeFillTint="99"/>
          </w:tcPr>
          <w:p w:rsidR="00A60013" w:rsidRPr="00D536EF" w:rsidRDefault="00A60013" w:rsidP="008C2514">
            <w:pPr>
              <w:spacing w:line="276" w:lineRule="auto"/>
              <w:jc w:val="center"/>
              <w:rPr>
                <w:rFonts w:ascii="Arial" w:hAnsi="Arial" w:cs="Arial"/>
                <w:b/>
              </w:rPr>
            </w:pPr>
            <w:r>
              <w:rPr>
                <w:rFonts w:ascii="Arial" w:hAnsi="Arial" w:cs="Arial"/>
                <w:b/>
              </w:rPr>
              <w:t>Number</w:t>
            </w:r>
          </w:p>
        </w:tc>
        <w:tc>
          <w:tcPr>
            <w:tcW w:w="1701" w:type="dxa"/>
            <w:shd w:val="clear" w:color="auto" w:fill="D0CBB1" w:themeFill="accent4" w:themeFillTint="99"/>
          </w:tcPr>
          <w:p w:rsidR="00A60013" w:rsidRPr="00D536EF" w:rsidRDefault="00A60013" w:rsidP="008C2514">
            <w:pPr>
              <w:spacing w:line="276" w:lineRule="auto"/>
              <w:jc w:val="center"/>
              <w:rPr>
                <w:rFonts w:ascii="Arial" w:hAnsi="Arial" w:cs="Arial"/>
                <w:b/>
              </w:rPr>
            </w:pPr>
            <w:r w:rsidRPr="00D536EF">
              <w:rPr>
                <w:rFonts w:ascii="Arial" w:hAnsi="Arial" w:cs="Arial"/>
                <w:b/>
              </w:rPr>
              <w:t>Responses</w:t>
            </w:r>
          </w:p>
        </w:tc>
      </w:tr>
      <w:tr w:rsidR="00A60013" w:rsidTr="00A23A9E">
        <w:tc>
          <w:tcPr>
            <w:tcW w:w="5245" w:type="dxa"/>
          </w:tcPr>
          <w:p w:rsidR="00A60013" w:rsidRDefault="00A60013" w:rsidP="008C2514">
            <w:pPr>
              <w:spacing w:line="276" w:lineRule="auto"/>
              <w:rPr>
                <w:rFonts w:ascii="Arial" w:hAnsi="Arial" w:cs="Arial"/>
              </w:rPr>
            </w:pPr>
            <w:r>
              <w:rPr>
                <w:rFonts w:ascii="Arial" w:hAnsi="Arial" w:cs="Arial"/>
              </w:rPr>
              <w:t>Seven-day comment on new referrals</w:t>
            </w:r>
          </w:p>
        </w:tc>
        <w:tc>
          <w:tcPr>
            <w:tcW w:w="1417" w:type="dxa"/>
          </w:tcPr>
          <w:p w:rsidR="00A60013" w:rsidRPr="00023F2A" w:rsidRDefault="00A60013" w:rsidP="008C2514">
            <w:pPr>
              <w:spacing w:line="276" w:lineRule="auto"/>
              <w:jc w:val="center"/>
              <w:rPr>
                <w:rFonts w:ascii="Arial" w:hAnsi="Arial" w:cs="Arial"/>
              </w:rPr>
            </w:pPr>
            <w:r w:rsidRPr="00023F2A">
              <w:rPr>
                <w:rFonts w:ascii="Arial" w:hAnsi="Arial" w:cs="Arial"/>
              </w:rPr>
              <w:t>62</w:t>
            </w:r>
          </w:p>
        </w:tc>
        <w:tc>
          <w:tcPr>
            <w:tcW w:w="1701" w:type="dxa"/>
          </w:tcPr>
          <w:p w:rsidR="00A60013" w:rsidRPr="00023F2A" w:rsidRDefault="00A60013" w:rsidP="008C2514">
            <w:pPr>
              <w:spacing w:line="276" w:lineRule="auto"/>
              <w:jc w:val="center"/>
              <w:rPr>
                <w:rFonts w:ascii="Arial" w:hAnsi="Arial" w:cs="Arial"/>
              </w:rPr>
            </w:pPr>
            <w:r w:rsidRPr="00023F2A">
              <w:rPr>
                <w:rFonts w:ascii="Arial" w:hAnsi="Arial" w:cs="Arial"/>
              </w:rPr>
              <w:t>445</w:t>
            </w:r>
          </w:p>
        </w:tc>
      </w:tr>
      <w:tr w:rsidR="00A23A9E" w:rsidTr="00A23A9E">
        <w:tc>
          <w:tcPr>
            <w:tcW w:w="5245" w:type="dxa"/>
            <w:shd w:val="clear" w:color="auto" w:fill="E0DCCB" w:themeFill="accent4" w:themeFillTint="66"/>
          </w:tcPr>
          <w:p w:rsidR="00A60013" w:rsidRDefault="00A60013" w:rsidP="008C2514">
            <w:pPr>
              <w:spacing w:line="276" w:lineRule="auto"/>
              <w:rPr>
                <w:rFonts w:ascii="Arial" w:hAnsi="Arial" w:cs="Arial"/>
              </w:rPr>
            </w:pPr>
            <w:r>
              <w:rPr>
                <w:rFonts w:ascii="Arial" w:hAnsi="Arial" w:cs="Arial"/>
              </w:rPr>
              <w:t>Environmental Scoping Documents</w:t>
            </w:r>
          </w:p>
        </w:tc>
        <w:tc>
          <w:tcPr>
            <w:tcW w:w="1417" w:type="dxa"/>
            <w:shd w:val="clear" w:color="auto" w:fill="E0DCCB" w:themeFill="accent4" w:themeFillTint="66"/>
          </w:tcPr>
          <w:p w:rsidR="00A60013" w:rsidRPr="000C75FD" w:rsidRDefault="00A60013" w:rsidP="008C2514">
            <w:pPr>
              <w:spacing w:line="276" w:lineRule="auto"/>
              <w:jc w:val="center"/>
              <w:rPr>
                <w:rFonts w:ascii="Arial" w:hAnsi="Arial" w:cs="Arial"/>
              </w:rPr>
            </w:pPr>
            <w:r w:rsidRPr="000C75FD">
              <w:rPr>
                <w:rFonts w:ascii="Arial" w:hAnsi="Arial" w:cs="Arial"/>
              </w:rPr>
              <w:t>2</w:t>
            </w:r>
          </w:p>
        </w:tc>
        <w:tc>
          <w:tcPr>
            <w:tcW w:w="1701" w:type="dxa"/>
            <w:shd w:val="clear" w:color="auto" w:fill="E0DCCB" w:themeFill="accent4" w:themeFillTint="66"/>
          </w:tcPr>
          <w:p w:rsidR="00A60013" w:rsidRPr="000C75FD" w:rsidRDefault="00A60013" w:rsidP="008C2514">
            <w:pPr>
              <w:spacing w:line="276" w:lineRule="auto"/>
              <w:jc w:val="center"/>
              <w:rPr>
                <w:rFonts w:ascii="Arial" w:hAnsi="Arial" w:cs="Arial"/>
              </w:rPr>
            </w:pPr>
            <w:r w:rsidRPr="000C75FD">
              <w:rPr>
                <w:rFonts w:ascii="Arial" w:hAnsi="Arial" w:cs="Arial"/>
              </w:rPr>
              <w:t>56</w:t>
            </w:r>
          </w:p>
        </w:tc>
      </w:tr>
      <w:tr w:rsidR="00A60013" w:rsidTr="00A23A9E">
        <w:tc>
          <w:tcPr>
            <w:tcW w:w="5245" w:type="dxa"/>
          </w:tcPr>
          <w:p w:rsidR="00A60013" w:rsidRDefault="00A60013" w:rsidP="008C2514">
            <w:pPr>
              <w:spacing w:line="276" w:lineRule="auto"/>
              <w:rPr>
                <w:rFonts w:ascii="Arial" w:hAnsi="Arial" w:cs="Arial"/>
              </w:rPr>
            </w:pPr>
            <w:r>
              <w:rPr>
                <w:rFonts w:ascii="Arial" w:hAnsi="Arial" w:cs="Arial"/>
              </w:rPr>
              <w:t>Public Environmental Reviews</w:t>
            </w:r>
          </w:p>
        </w:tc>
        <w:tc>
          <w:tcPr>
            <w:tcW w:w="1417" w:type="dxa"/>
          </w:tcPr>
          <w:p w:rsidR="00A60013" w:rsidRPr="000C75FD" w:rsidRDefault="00A60013" w:rsidP="008C2514">
            <w:pPr>
              <w:spacing w:line="276" w:lineRule="auto"/>
              <w:jc w:val="center"/>
              <w:rPr>
                <w:rFonts w:ascii="Arial" w:hAnsi="Arial" w:cs="Arial"/>
              </w:rPr>
            </w:pPr>
            <w:r w:rsidRPr="000C75FD">
              <w:rPr>
                <w:rFonts w:ascii="Arial" w:hAnsi="Arial" w:cs="Arial"/>
              </w:rPr>
              <w:t>7</w:t>
            </w:r>
          </w:p>
        </w:tc>
        <w:tc>
          <w:tcPr>
            <w:tcW w:w="1701" w:type="dxa"/>
          </w:tcPr>
          <w:p w:rsidR="00A60013" w:rsidRPr="000C75FD" w:rsidRDefault="00A60013" w:rsidP="008C2514">
            <w:pPr>
              <w:spacing w:line="276" w:lineRule="auto"/>
              <w:jc w:val="center"/>
              <w:rPr>
                <w:rFonts w:ascii="Arial" w:hAnsi="Arial" w:cs="Arial"/>
              </w:rPr>
            </w:pPr>
            <w:r w:rsidRPr="000C75FD">
              <w:rPr>
                <w:rFonts w:ascii="Arial" w:hAnsi="Arial" w:cs="Arial"/>
              </w:rPr>
              <w:t>3,840</w:t>
            </w:r>
          </w:p>
        </w:tc>
      </w:tr>
      <w:tr w:rsidR="00A23A9E" w:rsidTr="00A23A9E">
        <w:tc>
          <w:tcPr>
            <w:tcW w:w="5245" w:type="dxa"/>
            <w:shd w:val="clear" w:color="auto" w:fill="E0DCCB" w:themeFill="accent4" w:themeFillTint="66"/>
          </w:tcPr>
          <w:p w:rsidR="00A60013" w:rsidRDefault="00A60013" w:rsidP="008C2514">
            <w:pPr>
              <w:spacing w:line="276" w:lineRule="auto"/>
              <w:rPr>
                <w:rFonts w:ascii="Arial" w:hAnsi="Arial" w:cs="Arial"/>
              </w:rPr>
            </w:pPr>
            <w:r>
              <w:rPr>
                <w:rFonts w:ascii="Arial" w:hAnsi="Arial" w:cs="Arial"/>
              </w:rPr>
              <w:t>Consultation on MNES under the State/Commonwealth Bilateral agreement</w:t>
            </w:r>
          </w:p>
        </w:tc>
        <w:tc>
          <w:tcPr>
            <w:tcW w:w="1417" w:type="dxa"/>
            <w:shd w:val="clear" w:color="auto" w:fill="E0DCCB" w:themeFill="accent4" w:themeFillTint="66"/>
          </w:tcPr>
          <w:p w:rsidR="00A60013" w:rsidRPr="005F5E52" w:rsidRDefault="00A60013" w:rsidP="008C2514">
            <w:pPr>
              <w:spacing w:line="276" w:lineRule="auto"/>
              <w:jc w:val="center"/>
              <w:rPr>
                <w:rFonts w:ascii="Arial" w:hAnsi="Arial" w:cs="Arial"/>
                <w:highlight w:val="yellow"/>
              </w:rPr>
            </w:pPr>
            <w:r w:rsidRPr="00907F58">
              <w:rPr>
                <w:rFonts w:ascii="Arial" w:hAnsi="Arial" w:cs="Arial"/>
              </w:rPr>
              <w:t>1</w:t>
            </w:r>
          </w:p>
        </w:tc>
        <w:tc>
          <w:tcPr>
            <w:tcW w:w="1701" w:type="dxa"/>
            <w:shd w:val="clear" w:color="auto" w:fill="E0DCCB" w:themeFill="accent4" w:themeFillTint="66"/>
          </w:tcPr>
          <w:p w:rsidR="00A60013" w:rsidRDefault="00A60013" w:rsidP="008C2514">
            <w:pPr>
              <w:spacing w:line="276" w:lineRule="auto"/>
              <w:jc w:val="center"/>
              <w:rPr>
                <w:rFonts w:ascii="Arial" w:hAnsi="Arial" w:cs="Arial"/>
              </w:rPr>
            </w:pPr>
            <w:r>
              <w:rPr>
                <w:rFonts w:ascii="Arial" w:hAnsi="Arial" w:cs="Arial"/>
              </w:rPr>
              <w:t>11</w:t>
            </w:r>
          </w:p>
        </w:tc>
      </w:tr>
      <w:tr w:rsidR="00A60013" w:rsidTr="00A23A9E">
        <w:tc>
          <w:tcPr>
            <w:tcW w:w="5245" w:type="dxa"/>
          </w:tcPr>
          <w:p w:rsidR="00A60013" w:rsidRDefault="00A60013" w:rsidP="008C2514">
            <w:pPr>
              <w:spacing w:line="276" w:lineRule="auto"/>
              <w:rPr>
                <w:rFonts w:ascii="Arial" w:hAnsi="Arial" w:cs="Arial"/>
              </w:rPr>
            </w:pPr>
            <w:r>
              <w:rPr>
                <w:rFonts w:ascii="Arial" w:hAnsi="Arial" w:cs="Arial"/>
              </w:rPr>
              <w:t>Comment on policies and guidance under development</w:t>
            </w:r>
          </w:p>
        </w:tc>
        <w:tc>
          <w:tcPr>
            <w:tcW w:w="1417" w:type="dxa"/>
          </w:tcPr>
          <w:p w:rsidR="00A60013" w:rsidRPr="000C75FD" w:rsidRDefault="00A60013" w:rsidP="008C2514">
            <w:pPr>
              <w:spacing w:line="276" w:lineRule="auto"/>
              <w:jc w:val="center"/>
              <w:rPr>
                <w:rFonts w:ascii="Arial" w:hAnsi="Arial" w:cs="Arial"/>
              </w:rPr>
            </w:pPr>
            <w:r w:rsidRPr="000C75FD">
              <w:rPr>
                <w:rFonts w:ascii="Arial" w:hAnsi="Arial" w:cs="Arial"/>
              </w:rPr>
              <w:t>1</w:t>
            </w:r>
          </w:p>
        </w:tc>
        <w:tc>
          <w:tcPr>
            <w:tcW w:w="1701" w:type="dxa"/>
          </w:tcPr>
          <w:p w:rsidR="00A60013" w:rsidRPr="000C75FD" w:rsidRDefault="00A60013" w:rsidP="008C2514">
            <w:pPr>
              <w:spacing w:line="276" w:lineRule="auto"/>
              <w:jc w:val="center"/>
              <w:rPr>
                <w:rFonts w:ascii="Arial" w:hAnsi="Arial" w:cs="Arial"/>
              </w:rPr>
            </w:pPr>
            <w:r w:rsidRPr="000C75FD">
              <w:rPr>
                <w:rFonts w:ascii="Arial" w:hAnsi="Arial" w:cs="Arial"/>
              </w:rPr>
              <w:t>5</w:t>
            </w:r>
          </w:p>
        </w:tc>
      </w:tr>
      <w:tr w:rsidR="00A23A9E" w:rsidTr="00A23A9E">
        <w:tc>
          <w:tcPr>
            <w:tcW w:w="5245" w:type="dxa"/>
            <w:shd w:val="clear" w:color="auto" w:fill="D0CBB1" w:themeFill="accent4" w:themeFillTint="99"/>
          </w:tcPr>
          <w:p w:rsidR="00A60013" w:rsidRDefault="00A60013" w:rsidP="008C2514">
            <w:pPr>
              <w:spacing w:line="276" w:lineRule="auto"/>
              <w:rPr>
                <w:rFonts w:ascii="Arial" w:hAnsi="Arial" w:cs="Arial"/>
              </w:rPr>
            </w:pPr>
          </w:p>
        </w:tc>
        <w:tc>
          <w:tcPr>
            <w:tcW w:w="1417" w:type="dxa"/>
            <w:shd w:val="clear" w:color="auto" w:fill="D0CBB1" w:themeFill="accent4" w:themeFillTint="99"/>
          </w:tcPr>
          <w:p w:rsidR="00A60013" w:rsidRPr="00A872AC" w:rsidRDefault="00A60013" w:rsidP="008C2514">
            <w:pPr>
              <w:spacing w:line="276" w:lineRule="auto"/>
              <w:jc w:val="center"/>
              <w:rPr>
                <w:rFonts w:ascii="Arial" w:hAnsi="Arial" w:cs="Arial"/>
                <w:b/>
                <w:highlight w:val="yellow"/>
              </w:rPr>
            </w:pPr>
            <w:r w:rsidRPr="000C75FD">
              <w:rPr>
                <w:rFonts w:ascii="Arial" w:hAnsi="Arial" w:cs="Arial"/>
                <w:b/>
              </w:rPr>
              <w:t>73</w:t>
            </w:r>
          </w:p>
        </w:tc>
        <w:tc>
          <w:tcPr>
            <w:tcW w:w="1701" w:type="dxa"/>
            <w:shd w:val="clear" w:color="auto" w:fill="D0CBB1" w:themeFill="accent4" w:themeFillTint="99"/>
          </w:tcPr>
          <w:p w:rsidR="00A60013" w:rsidRPr="002E3356" w:rsidRDefault="00A60013" w:rsidP="008C2514">
            <w:pPr>
              <w:spacing w:line="276" w:lineRule="auto"/>
              <w:jc w:val="center"/>
              <w:rPr>
                <w:rFonts w:ascii="Arial" w:hAnsi="Arial" w:cs="Arial"/>
                <w:b/>
              </w:rPr>
            </w:pPr>
            <w:r w:rsidRPr="002E3356">
              <w:rPr>
                <w:rFonts w:ascii="Arial" w:hAnsi="Arial" w:cs="Arial"/>
                <w:b/>
              </w:rPr>
              <w:t>4,361</w:t>
            </w:r>
          </w:p>
        </w:tc>
      </w:tr>
    </w:tbl>
    <w:p w:rsidR="00A60013" w:rsidRDefault="00A60013" w:rsidP="00A23A9E">
      <w:pPr>
        <w:pStyle w:val="Body"/>
        <w:spacing w:before="240"/>
      </w:pPr>
      <w:r w:rsidRPr="003A4534">
        <w:t>The EPA also uses Twitter to inform the general public and stakeholders of information relating to EIA and policy development, including notification of new publications; opportunities for public comment/submissions; media releases and other announcements.</w:t>
      </w:r>
    </w:p>
    <w:p w:rsidR="00004A0E" w:rsidRPr="00F70449" w:rsidRDefault="00004A0E" w:rsidP="00F70449">
      <w:pPr>
        <w:pStyle w:val="Heading2"/>
      </w:pPr>
      <w:bookmarkStart w:id="76" w:name="_Toc428279197"/>
      <w:r w:rsidRPr="00F70449">
        <w:lastRenderedPageBreak/>
        <w:t>Information management</w:t>
      </w:r>
      <w:bookmarkEnd w:id="76"/>
    </w:p>
    <w:p w:rsidR="00D84DAE" w:rsidRDefault="00004A0E" w:rsidP="00004A0E">
      <w:pPr>
        <w:pStyle w:val="Body"/>
      </w:pPr>
      <w:r>
        <w:t>The department’s information systems were examined in 2014–15 to identify where improvements could be made, specifically in regards to the electronic capture of information. The review identified</w:t>
      </w:r>
      <w:r w:rsidR="00CD2EE4">
        <w:t xml:space="preserve"> improvements in</w:t>
      </w:r>
      <w:r w:rsidRPr="00FC0B18">
        <w:t xml:space="preserve"> </w:t>
      </w:r>
      <w:r>
        <w:t xml:space="preserve">the capture and management of spatial data as a </w:t>
      </w:r>
      <w:r w:rsidR="00CD2EE4">
        <w:t>priority</w:t>
      </w:r>
      <w:r>
        <w:t xml:space="preserve">, as well as </w:t>
      </w:r>
      <w:r w:rsidR="00CD2EE4">
        <w:t>the development</w:t>
      </w:r>
      <w:r>
        <w:t xml:space="preserve"> of new functionality to enable </w:t>
      </w:r>
      <w:r w:rsidR="00CD2EE4">
        <w:t>online s</w:t>
      </w:r>
      <w:r>
        <w:t>ubmi</w:t>
      </w:r>
      <w:r w:rsidR="00CD2EE4">
        <w:t>ssion of</w:t>
      </w:r>
      <w:r>
        <w:t xml:space="preserve"> </w:t>
      </w:r>
      <w:r w:rsidR="00CD2EE4">
        <w:t>referrals</w:t>
      </w:r>
      <w:r>
        <w:t xml:space="preserve">. </w:t>
      </w:r>
    </w:p>
    <w:p w:rsidR="00004A0E" w:rsidRPr="00FC0B18" w:rsidRDefault="00004A0E" w:rsidP="00004A0E">
      <w:pPr>
        <w:pStyle w:val="Body"/>
      </w:pPr>
      <w:r>
        <w:t>Another area identified for improvement is OEPA’s records management system</w:t>
      </w:r>
      <w:r w:rsidR="00CD2EE4">
        <w:t xml:space="preserve">, which was </w:t>
      </w:r>
      <w:r w:rsidR="000E753B">
        <w:t xml:space="preserve">introduced in </w:t>
      </w:r>
      <w:r>
        <w:t>March 2013</w:t>
      </w:r>
      <w:r w:rsidR="000E753B">
        <w:t>. The upgrade of this system is planned for 2015–16 and is expected to result in s</w:t>
      </w:r>
      <w:r w:rsidR="00AD3851">
        <w:t>ignificant business benefits</w:t>
      </w:r>
      <w:r>
        <w:t>.</w:t>
      </w:r>
      <w:r w:rsidRPr="00FC0B18">
        <w:t xml:space="preserve"> </w:t>
      </w:r>
    </w:p>
    <w:p w:rsidR="00004A0E" w:rsidRPr="00E90528" w:rsidRDefault="00004A0E" w:rsidP="00F70449">
      <w:pPr>
        <w:pStyle w:val="Heading3"/>
      </w:pPr>
      <w:bookmarkStart w:id="77" w:name="_Toc428279198"/>
      <w:r w:rsidRPr="00E90528">
        <w:t>Case Management System</w:t>
      </w:r>
      <w:bookmarkEnd w:id="77"/>
    </w:p>
    <w:p w:rsidR="00004A0E" w:rsidRDefault="00004A0E" w:rsidP="00004A0E">
      <w:pPr>
        <w:pStyle w:val="Body"/>
      </w:pPr>
      <w:r>
        <w:t>The Case Management System is currently being developed in phases to align with three key aspects of our environmental impact assessment business:</w:t>
      </w:r>
    </w:p>
    <w:p w:rsidR="00004A0E" w:rsidRDefault="00004A0E" w:rsidP="008D4CEC">
      <w:pPr>
        <w:pStyle w:val="Body"/>
        <w:numPr>
          <w:ilvl w:val="1"/>
          <w:numId w:val="3"/>
        </w:numPr>
        <w:ind w:left="2552" w:hanging="1134"/>
      </w:pPr>
      <w:r>
        <w:t>Pre-referral where information is captured and advice provided, in relation to likely future referrals for environmental impact assessment.</w:t>
      </w:r>
    </w:p>
    <w:p w:rsidR="00004A0E" w:rsidRDefault="00004A0E" w:rsidP="008D4CEC">
      <w:pPr>
        <w:pStyle w:val="Body"/>
        <w:numPr>
          <w:ilvl w:val="1"/>
          <w:numId w:val="3"/>
        </w:numPr>
        <w:ind w:left="2552" w:hanging="1134"/>
      </w:pPr>
      <w:r>
        <w:t>Setting of the Level of Assessment of a referral whereby the EPA determine if a proposal should be assessed and if so, set the appropriate level of assessment.</w:t>
      </w:r>
    </w:p>
    <w:p w:rsidR="00004A0E" w:rsidRDefault="00004A0E" w:rsidP="008D4CEC">
      <w:pPr>
        <w:pStyle w:val="Body"/>
        <w:numPr>
          <w:ilvl w:val="1"/>
          <w:numId w:val="3"/>
        </w:numPr>
        <w:ind w:left="2552" w:hanging="1134"/>
      </w:pPr>
      <w:r>
        <w:t>Assessment. This phase manages and captures all the necessary information gathered and created throughout the environmental impact assessment process.</w:t>
      </w:r>
    </w:p>
    <w:p w:rsidR="00004A0E" w:rsidRDefault="00004A0E" w:rsidP="00004A0E">
      <w:pPr>
        <w:pStyle w:val="Body"/>
      </w:pPr>
      <w:r>
        <w:t xml:space="preserve">With phases one and two deployed, most of the </w:t>
      </w:r>
      <w:proofErr w:type="gramStart"/>
      <w:r>
        <w:t xml:space="preserve">development of the Case Management System </w:t>
      </w:r>
      <w:r w:rsidR="00AD3851">
        <w:t>during</w:t>
      </w:r>
      <w:r>
        <w:t xml:space="preserve"> 2014–15 focused on phase</w:t>
      </w:r>
      <w:proofErr w:type="gramEnd"/>
      <w:r>
        <w:t xml:space="preserve"> three – Assessment.</w:t>
      </w:r>
    </w:p>
    <w:p w:rsidR="00643A16" w:rsidRDefault="00643A16" w:rsidP="00004A0E">
      <w:pPr>
        <w:pStyle w:val="Body"/>
      </w:pPr>
      <w:r>
        <w:br w:type="page"/>
      </w:r>
    </w:p>
    <w:p w:rsidR="00E75976" w:rsidRDefault="00E75976" w:rsidP="00004A0E">
      <w:pPr>
        <w:pStyle w:val="Body"/>
      </w:pPr>
    </w:p>
    <w:p w:rsidR="00643A16" w:rsidRDefault="00643A16" w:rsidP="00004A0E">
      <w:pPr>
        <w:pStyle w:val="Body"/>
      </w:pPr>
    </w:p>
    <w:p w:rsidR="00643A16" w:rsidRDefault="00643A16" w:rsidP="00004A0E">
      <w:pPr>
        <w:pStyle w:val="Body"/>
      </w:pPr>
    </w:p>
    <w:p w:rsidR="00643A16" w:rsidRDefault="00643A16" w:rsidP="00004A0E">
      <w:pPr>
        <w:pStyle w:val="Body"/>
      </w:pPr>
    </w:p>
    <w:p w:rsidR="00643A16" w:rsidRDefault="00643A16" w:rsidP="00004A0E">
      <w:pPr>
        <w:pStyle w:val="Body"/>
      </w:pPr>
    </w:p>
    <w:p w:rsidR="00643A16" w:rsidRDefault="00643A16" w:rsidP="00004A0E">
      <w:pPr>
        <w:pStyle w:val="Body"/>
      </w:pPr>
    </w:p>
    <w:p w:rsidR="00643A16" w:rsidRDefault="00643A16" w:rsidP="00004A0E">
      <w:pPr>
        <w:pStyle w:val="Body"/>
      </w:pPr>
    </w:p>
    <w:p w:rsidR="00643A16" w:rsidRDefault="00643A16" w:rsidP="00004A0E">
      <w:pPr>
        <w:pStyle w:val="Body"/>
      </w:pPr>
    </w:p>
    <w:p w:rsidR="00643A16" w:rsidRDefault="00643A16" w:rsidP="00004A0E">
      <w:pPr>
        <w:pStyle w:val="Body"/>
      </w:pPr>
    </w:p>
    <w:p w:rsidR="00643A16" w:rsidRDefault="00643A16" w:rsidP="00004A0E">
      <w:pPr>
        <w:pStyle w:val="Body"/>
      </w:pPr>
    </w:p>
    <w:p w:rsidR="00643A16" w:rsidRPr="00643A16" w:rsidRDefault="00643A16" w:rsidP="00004A0E">
      <w:pPr>
        <w:pStyle w:val="Body"/>
        <w:rPr>
          <w:color w:val="A6A6A6" w:themeColor="background1" w:themeShade="A6"/>
        </w:rPr>
      </w:pPr>
      <w:r w:rsidRPr="00643A16">
        <w:rPr>
          <w:color w:val="A6A6A6" w:themeColor="background1" w:themeShade="A6"/>
        </w:rPr>
        <w:t>This page is intentionally blank</w:t>
      </w:r>
    </w:p>
    <w:p w:rsidR="00643A16" w:rsidRDefault="00643A16" w:rsidP="00004A0E">
      <w:pPr>
        <w:pStyle w:val="Body"/>
      </w:pPr>
    </w:p>
    <w:p w:rsidR="00B423AC" w:rsidRDefault="00B423AC">
      <w:pPr>
        <w:sectPr w:rsidR="00B423AC" w:rsidSect="007343DA">
          <w:headerReference w:type="even" r:id="rId53"/>
          <w:headerReference w:type="default" r:id="rId54"/>
          <w:pgSz w:w="11906" w:h="16838"/>
          <w:pgMar w:top="1245" w:right="993" w:bottom="1440" w:left="1440" w:header="568" w:footer="170" w:gutter="0"/>
          <w:cols w:space="709"/>
          <w:docGrid w:linePitch="360"/>
        </w:sectPr>
      </w:pPr>
    </w:p>
    <w:p w:rsidR="00E75976" w:rsidRDefault="00E75976"/>
    <w:p w:rsidR="009F75DA" w:rsidRDefault="009F75DA" w:rsidP="00004A0E">
      <w:pPr>
        <w:pStyle w:val="Body"/>
      </w:pPr>
    </w:p>
    <w:p w:rsidR="009F75DA" w:rsidRDefault="009F75DA" w:rsidP="00004A0E">
      <w:pPr>
        <w:pStyle w:val="Body"/>
      </w:pPr>
    </w:p>
    <w:p w:rsidR="00C45DEA" w:rsidRDefault="00C45DEA" w:rsidP="00004A0E">
      <w:pPr>
        <w:pStyle w:val="Body"/>
      </w:pPr>
    </w:p>
    <w:p w:rsidR="00C45DEA" w:rsidRDefault="00C45DEA" w:rsidP="00004A0E">
      <w:pPr>
        <w:pStyle w:val="Body"/>
      </w:pPr>
    </w:p>
    <w:p w:rsidR="00E75976" w:rsidRDefault="009F75DA" w:rsidP="00C45DEA">
      <w:r w:rsidRPr="009F75DA">
        <w:rPr>
          <w:noProof/>
          <w:lang w:eastAsia="en-AU"/>
        </w:rPr>
        <mc:AlternateContent>
          <mc:Choice Requires="wps">
            <w:drawing>
              <wp:anchor distT="0" distB="0" distL="114300" distR="114300" simplePos="0" relativeHeight="251688960" behindDoc="0" locked="0" layoutInCell="1" allowOverlap="1" wp14:anchorId="21A684FB" wp14:editId="0C484796">
                <wp:simplePos x="0" y="0"/>
                <wp:positionH relativeFrom="page">
                  <wp:posOffset>827903</wp:posOffset>
                </wp:positionH>
                <wp:positionV relativeFrom="page">
                  <wp:posOffset>914400</wp:posOffset>
                </wp:positionV>
                <wp:extent cx="6425513" cy="532800"/>
                <wp:effectExtent l="0" t="0" r="0" b="635"/>
                <wp:wrapNone/>
                <wp:docPr id="28" name="Text Box 28"/>
                <wp:cNvGraphicFramePr/>
                <a:graphic xmlns:a="http://schemas.openxmlformats.org/drawingml/2006/main">
                  <a:graphicData uri="http://schemas.microsoft.com/office/word/2010/wordprocessingShape">
                    <wps:wsp>
                      <wps:cNvSpPr txBox="1"/>
                      <wps:spPr>
                        <a:xfrm>
                          <a:off x="0" y="0"/>
                          <a:ext cx="6425513" cy="532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E621C6" w:rsidRPr="002B771E" w:rsidRDefault="00E621C6" w:rsidP="009F75DA">
                            <w:pPr>
                              <w:pStyle w:val="Heading1"/>
                              <w:rPr>
                                <w:rFonts w:asciiTheme="majorHAnsi" w:hAnsiTheme="majorHAnsi"/>
                                <w:b w:val="0"/>
                                <w:color w:val="FFFFFF" w:themeColor="background1"/>
                                <w:sz w:val="56"/>
                                <w:szCs w:val="56"/>
                              </w:rPr>
                            </w:pPr>
                            <w:bookmarkStart w:id="78" w:name="_Toc425253673"/>
                            <w:bookmarkStart w:id="79" w:name="_Toc428279199"/>
                            <w:r>
                              <w:rPr>
                                <w:rFonts w:asciiTheme="majorHAnsi" w:hAnsiTheme="majorHAnsi"/>
                                <w:b w:val="0"/>
                                <w:color w:val="FFFFFF" w:themeColor="background1"/>
                                <w:sz w:val="56"/>
                                <w:szCs w:val="56"/>
                              </w:rPr>
                              <w:t>Disclosures and legal compliance</w:t>
                            </w:r>
                            <w:bookmarkEnd w:id="78"/>
                            <w:bookmarkEnd w:id="79"/>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8" o:spid="_x0000_s1033" type="#_x0000_t202" style="position:absolute;margin-left:65.2pt;margin-top:1in;width:505.95pt;height:41.95pt;z-index:25168896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" filled="f" stroked="f" strokeweight=".5pt">
                <v:textbox>
                  <w:txbxContent>
                    <w:p w:rsidR="00E621C6" w:rsidRPr="002B771E" w:rsidRDefault="00E621C6" w:rsidP="009F75DA">
                      <w:pPr>
                        <w:pStyle w:val="Heading1"/>
                        <w:rPr>
                          <w:rFonts w:asciiTheme="majorHAnsi" w:hAnsiTheme="majorHAnsi"/>
                          <w:b w:val="0"/>
                          <w:color w:val="FFFFFF" w:themeColor="background1"/>
                          <w:sz w:val="56"/>
                          <w:szCs w:val="56"/>
                        </w:rPr>
                      </w:pPr>
                      <w:bookmarkStart w:id="82" w:name="_Toc425253673"/>
                      <w:bookmarkStart w:id="83" w:name="_Toc428279199"/>
                      <w:r>
                        <w:rPr>
                          <w:rFonts w:asciiTheme="majorHAnsi" w:hAnsiTheme="majorHAnsi"/>
                          <w:b w:val="0"/>
                          <w:color w:val="FFFFFF" w:themeColor="background1"/>
                          <w:sz w:val="56"/>
                          <w:szCs w:val="56"/>
                        </w:rPr>
                        <w:t>Disclosures and legal compliance</w:t>
                      </w:r>
                      <w:bookmarkEnd w:id="82"/>
                      <w:bookmarkEnd w:id="83"/>
                    </w:p>
                  </w:txbxContent>
                </v:textbox>
                <w10:wrap anchorx="page" anchory="page"/>
              </v:shape>
            </w:pict>
          </mc:Fallback>
        </mc:AlternateContent>
      </w:r>
      <w:r w:rsidR="00E75976" w:rsidRPr="009F75DA">
        <w:rPr>
          <w:noProof/>
          <w:lang w:eastAsia="en-AU"/>
        </w:rPr>
        <w:drawing>
          <wp:anchor distT="0" distB="0" distL="114300" distR="114300" simplePos="0" relativeHeight="251686912" behindDoc="0" locked="0" layoutInCell="1" allowOverlap="1" wp14:anchorId="4BEEF406" wp14:editId="29145C4E">
            <wp:simplePos x="0" y="0"/>
            <wp:positionH relativeFrom="page">
              <wp:posOffset>0</wp:posOffset>
            </wp:positionH>
            <wp:positionV relativeFrom="page">
              <wp:posOffset>791845</wp:posOffset>
            </wp:positionV>
            <wp:extent cx="7905600" cy="1605600"/>
            <wp:effectExtent l="0" t="0" r="635" b="0"/>
            <wp:wrapTopAndBottom/>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ction-disclosures.jp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7905600" cy="1605600"/>
                    </a:xfrm>
                    <a:prstGeom prst="rect">
                      <a:avLst/>
                    </a:prstGeom>
                  </pic:spPr>
                </pic:pic>
              </a:graphicData>
            </a:graphic>
            <wp14:sizeRelH relativeFrom="page">
              <wp14:pctWidth>0</wp14:pctWidth>
            </wp14:sizeRelH>
            <wp14:sizeRelV relativeFrom="page">
              <wp14:pctHeight>0</wp14:pctHeight>
            </wp14:sizeRelV>
          </wp:anchor>
        </w:drawing>
      </w:r>
    </w:p>
    <w:p w:rsidR="00C45DEA" w:rsidRDefault="00C45DEA">
      <w:r>
        <w:br w:type="page"/>
      </w:r>
    </w:p>
    <w:p w:rsidR="00087037" w:rsidRDefault="004A25A4" w:rsidP="004A25A4">
      <w:r>
        <w:rPr>
          <w:noProof/>
          <w:lang w:eastAsia="en-AU"/>
        </w:rPr>
        <w:lastRenderedPageBreak/>
        <mc:AlternateContent>
          <mc:Choice Requires="wpg">
            <w:drawing>
              <wp:anchor distT="0" distB="0" distL="114300" distR="114300" simplePos="0" relativeHeight="251699200" behindDoc="0" locked="0" layoutInCell="1" allowOverlap="1" wp14:anchorId="0D25D2D0" wp14:editId="7F152B0F">
                <wp:simplePos x="0" y="0"/>
                <wp:positionH relativeFrom="column">
                  <wp:posOffset>-952500</wp:posOffset>
                </wp:positionH>
                <wp:positionV relativeFrom="paragraph">
                  <wp:posOffset>0</wp:posOffset>
                </wp:positionV>
                <wp:extent cx="7677150" cy="1019175"/>
                <wp:effectExtent l="0" t="0" r="0" b="9525"/>
                <wp:wrapNone/>
                <wp:docPr id="39" name="Group 39"/>
                <wp:cNvGraphicFramePr/>
                <a:graphic xmlns:a="http://schemas.openxmlformats.org/drawingml/2006/main">
                  <a:graphicData uri="http://schemas.microsoft.com/office/word/2010/wordprocessingGroup">
                    <wpg:wgp>
                      <wpg:cNvGrpSpPr/>
                      <wpg:grpSpPr>
                        <a:xfrm>
                          <a:off x="0" y="0"/>
                          <a:ext cx="7677150" cy="1019175"/>
                          <a:chOff x="0" y="0"/>
                          <a:chExt cx="7677150" cy="1019175"/>
                        </a:xfrm>
                      </wpg:grpSpPr>
                      <pic:pic xmlns:pic="http://schemas.openxmlformats.org/drawingml/2006/picture">
                        <pic:nvPicPr>
                          <pic:cNvPr id="37" name="Picture 37"/>
                          <pic:cNvPicPr>
                            <a:picLocks noChangeAspect="1"/>
                          </pic:cNvPicPr>
                        </pic:nvPicPr>
                        <pic:blipFill>
                          <a:blip r:embed="rId56" cstate="print">
                            <a:extLst>
                              <a:ext uri="{28A0092B-C50C-407E-A947-70E740481C1C}">
                                <a14:useLocalDpi xmlns:a14="http://schemas.microsoft.com/office/drawing/2010/main" val="0"/>
                              </a:ext>
                            </a:extLst>
                          </a:blip>
                          <a:stretch>
                            <a:fillRect/>
                          </a:stretch>
                        </pic:blipFill>
                        <pic:spPr>
                          <a:xfrm>
                            <a:off x="0" y="0"/>
                            <a:ext cx="7677150" cy="923925"/>
                          </a:xfrm>
                          <a:prstGeom prst="rect">
                            <a:avLst/>
                          </a:prstGeom>
                        </pic:spPr>
                      </pic:pic>
                      <wps:wsp>
                        <wps:cNvPr id="38" name="Text Box 38"/>
                        <wps:cNvSpPr txBox="1"/>
                        <wps:spPr>
                          <a:xfrm>
                            <a:off x="1771650" y="600075"/>
                            <a:ext cx="3971925" cy="41910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621C6" w:rsidRDefault="00E621C6" w:rsidP="004A25A4">
                              <w:pPr>
                                <w:pStyle w:val="Heading1"/>
                              </w:pPr>
                              <w:bookmarkStart w:id="80" w:name="_Toc428279200"/>
                              <w:r>
                                <w:t>Financial Statements</w:t>
                              </w:r>
                              <w:bookmarkEnd w:id="80"/>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9" o:spid="_x0000_s1034" style="position:absolute;margin-left:-75pt;margin-top:0;width:604.5pt;height:80.25pt;z-index:251699200" coordsize="76771,10191"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">
                <v:shape id="Picture 37" o:spid="_x0000_s1035" type="#_x0000_t75" style="position:absolute;width:76771;height:923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vPel/FAAAA2wAAAA8AAABkcnMvZG93bnJldi54bWxEj09rAjEUxO8Fv0N4BS+lm/VPa7vdKKKI&#10;3kTbQ4+Pzetu6OZlSaKu394IhR6HmfkNUy5624oz+WAcKxhlOQjiymnDtYKvz83zG4gQkTW2jknB&#10;lQIs5oOHEgvtLnyg8zHWIkE4FKigibErpAxVQxZD5jri5P04bzEm6WupPV4S3LZynOev0qLhtNBg&#10;R6uGqt/jySqo3n2+HNX0PX3ampfZab9aH8xVqeFjv/wAEamP/+G/9k4rmMzg/iX9ADm/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bz3pfxQAAANsAAAAPAAAAAAAAAAAAAAAA&#10;AJ8CAABkcnMvZG93bnJldi54bWxQSwUGAAAAAAQABAD3AAAAkQMAAAAA&#10;">
                  <v:imagedata r:id="rId57" o:title=""/>
                  <v:path arrowok="t"/>
                </v:shape>
                <v:shape id="Text Box 38" o:spid="_x0000_s1036" type="#_x0000_t202" style="position:absolute;left:17716;top:6000;width:39719;height:419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AXvsIA&#10;AADbAAAADwAAAGRycy9kb3ducmV2LnhtbERPy2rCQBTdC/7DcAtupE40qCV1FCn1QXc1fdDdJXOb&#10;BDN3QmZM4t87C8Hl4bxXm95UoqXGlZYVTCcRCOLM6pJzBV/p7vkFhPPIGivLpOBKDjbr4WCFibYd&#10;f1J78rkIIewSVFB4XydSuqwgg25ia+LA/dvGoA+wyaVusAvhppKzKFpIgyWHhgJreisoO58uRsHf&#10;OP/9cP3+u4vncf1+aNPlj06VGj3121cQnnr/EN/dR60gDmPDl/AD5PoG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IBe+wgAAANsAAAAPAAAAAAAAAAAAAAAAAJgCAABkcnMvZG93&#10;bnJldi54bWxQSwUGAAAAAAQABAD1AAAAhwMAAAAA&#10;" fillcolor="white [3201]" stroked="f" strokeweight=".5pt">
                  <v:textbox>
                    <w:txbxContent>
                      <w:p w:rsidR="00E621C6" w:rsidRDefault="00E621C6" w:rsidP="004A25A4">
                        <w:pPr>
                          <w:pStyle w:val="Heading1"/>
                        </w:pPr>
                        <w:bookmarkStart w:id="85" w:name="_Toc428279200"/>
                        <w:r>
                          <w:t>Financial Statements</w:t>
                        </w:r>
                        <w:bookmarkEnd w:id="85"/>
                      </w:p>
                    </w:txbxContent>
                  </v:textbox>
                </v:shape>
              </v:group>
            </w:pict>
          </mc:Fallback>
        </mc:AlternateContent>
      </w:r>
    </w:p>
    <w:p w:rsidR="004A25A4" w:rsidRDefault="004A25A4" w:rsidP="004A25A4"/>
    <w:p w:rsidR="00C45DEA" w:rsidRDefault="00C45DEA" w:rsidP="004A25A4"/>
    <w:p w:rsidR="00C45DEA" w:rsidRDefault="00C45DEA" w:rsidP="00092BA0">
      <w:pPr>
        <w:pStyle w:val="Heading2"/>
      </w:pPr>
      <w:bookmarkStart w:id="81" w:name="_Toc427745915"/>
      <w:bookmarkStart w:id="82" w:name="_Toc428279201"/>
      <w:r>
        <w:t>Certification of Financial Statements</w:t>
      </w:r>
      <w:bookmarkEnd w:id="81"/>
      <w:bookmarkEnd w:id="82"/>
    </w:p>
    <w:p w:rsidR="00C45DEA" w:rsidRDefault="00C45DEA" w:rsidP="00092BA0">
      <w:pPr>
        <w:pStyle w:val="Heading3"/>
      </w:pPr>
      <w:bookmarkStart w:id="83" w:name="_Toc427745916"/>
      <w:bookmarkStart w:id="84" w:name="_Toc428279202"/>
      <w:r>
        <w:t>For the year ended 30 June 2015</w:t>
      </w:r>
      <w:bookmarkEnd w:id="83"/>
      <w:bookmarkEnd w:id="84"/>
    </w:p>
    <w:p w:rsidR="00C45DEA" w:rsidRDefault="00C45DEA" w:rsidP="00092BA0">
      <w:pPr>
        <w:pStyle w:val="Body"/>
      </w:pPr>
      <w:r>
        <w:t xml:space="preserve">The accompanying financial statements of the Office of the Environmental Protection Authority have been prepared in compliance with the provisions of the </w:t>
      </w:r>
      <w:r w:rsidRPr="00092BA0">
        <w:rPr>
          <w:i/>
        </w:rPr>
        <w:t>Financial Management Act 2006</w:t>
      </w:r>
      <w:r>
        <w:t xml:space="preserve"> from proper accounts and records to present fairly the financial transactions for the financial year ended 30 June 2015 and the financial position as at 30 June 2015.</w:t>
      </w:r>
    </w:p>
    <w:p w:rsidR="00C45DEA" w:rsidRDefault="00C45DEA" w:rsidP="00092BA0">
      <w:pPr>
        <w:pStyle w:val="Body"/>
      </w:pPr>
      <w:r>
        <w:t>At the date of signing we are not aware of any circumstances which would render the particulars included in the financial statements misleading or inaccurate.</w:t>
      </w:r>
    </w:p>
    <w:p w:rsidR="00092BA0" w:rsidRDefault="00B423AC" w:rsidP="00092BA0">
      <w:pPr>
        <w:pStyle w:val="Body"/>
      </w:pPr>
      <w:r>
        <w:rPr>
          <w:noProof/>
          <w:lang w:eastAsia="en-AU"/>
        </w:rPr>
        <w:drawing>
          <wp:anchor distT="0" distB="0" distL="114300" distR="114300" simplePos="0" relativeHeight="251712512" behindDoc="1" locked="0" layoutInCell="1" allowOverlap="1" wp14:anchorId="6A21D2D0" wp14:editId="2EA152D9">
            <wp:simplePos x="0" y="0"/>
            <wp:positionH relativeFrom="column">
              <wp:posOffset>3495675</wp:posOffset>
            </wp:positionH>
            <wp:positionV relativeFrom="paragraph">
              <wp:posOffset>-635</wp:posOffset>
            </wp:positionV>
            <wp:extent cx="1221105" cy="574675"/>
            <wp:effectExtent l="0" t="0" r="0" b="0"/>
            <wp:wrapThrough wrapText="bothSides">
              <wp:wrapPolygon edited="0">
                <wp:start x="0" y="0"/>
                <wp:lineTo x="0" y="20765"/>
                <wp:lineTo x="21229" y="20765"/>
                <wp:lineTo x="21229" y="0"/>
                <wp:lineTo x="0" y="0"/>
              </wp:wrapPolygon>
            </wp:wrapThrough>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mTaylor2011.jp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21105" cy="574675"/>
                    </a:xfrm>
                    <a:prstGeom prst="rect">
                      <a:avLst/>
                    </a:prstGeom>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7DF42E23" wp14:editId="1B9AF6B8">
            <wp:extent cx="1285875" cy="519822"/>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al Cartwright sig.jp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288701" cy="520964"/>
                    </a:xfrm>
                    <a:prstGeom prst="rect">
                      <a:avLst/>
                    </a:prstGeom>
                  </pic:spPr>
                </pic:pic>
              </a:graphicData>
            </a:graphic>
          </wp:inline>
        </w:drawing>
      </w:r>
    </w:p>
    <w:tbl>
      <w:tblPr>
        <w:tblStyle w:val="TableGrid"/>
        <w:tblW w:w="0" w:type="auto"/>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12"/>
        <w:gridCol w:w="4159"/>
      </w:tblGrid>
      <w:tr w:rsidR="00092BA0" w:rsidTr="00092BA0">
        <w:tc>
          <w:tcPr>
            <w:tcW w:w="4844" w:type="dxa"/>
          </w:tcPr>
          <w:p w:rsidR="00092BA0" w:rsidRDefault="00092BA0" w:rsidP="00092BA0">
            <w:pPr>
              <w:pStyle w:val="Body"/>
              <w:ind w:left="0"/>
              <w:jc w:val="both"/>
            </w:pPr>
            <w:proofErr w:type="spellStart"/>
            <w:r>
              <w:t>Valma</w:t>
            </w:r>
            <w:proofErr w:type="spellEnd"/>
            <w:r>
              <w:t xml:space="preserve"> Cartwright</w:t>
            </w:r>
          </w:p>
          <w:p w:rsidR="00092BA0" w:rsidRDefault="00092BA0" w:rsidP="00092BA0">
            <w:pPr>
              <w:pStyle w:val="Body"/>
              <w:ind w:left="0"/>
              <w:jc w:val="both"/>
            </w:pPr>
            <w:r>
              <w:t>Chief Finance Officer</w:t>
            </w:r>
          </w:p>
          <w:p w:rsidR="00A92FFE" w:rsidRDefault="00A92FFE" w:rsidP="00092BA0">
            <w:pPr>
              <w:pStyle w:val="Body"/>
              <w:ind w:left="0"/>
              <w:jc w:val="both"/>
            </w:pPr>
          </w:p>
          <w:p w:rsidR="00092BA0" w:rsidRDefault="00A92FFE" w:rsidP="00A92FFE">
            <w:pPr>
              <w:pStyle w:val="Body"/>
              <w:ind w:left="0"/>
              <w:jc w:val="both"/>
            </w:pPr>
            <w:r>
              <w:t>6 August</w:t>
            </w:r>
            <w:r w:rsidR="00092BA0">
              <w:t xml:space="preserve"> 2015</w:t>
            </w:r>
          </w:p>
        </w:tc>
        <w:tc>
          <w:tcPr>
            <w:tcW w:w="4845" w:type="dxa"/>
          </w:tcPr>
          <w:p w:rsidR="00092BA0" w:rsidRDefault="00092BA0" w:rsidP="00092BA0">
            <w:pPr>
              <w:pStyle w:val="Body"/>
              <w:ind w:left="0"/>
            </w:pPr>
            <w:r>
              <w:t>Kim Taylor</w:t>
            </w:r>
          </w:p>
          <w:p w:rsidR="00092BA0" w:rsidRDefault="00092BA0" w:rsidP="00092BA0">
            <w:pPr>
              <w:pStyle w:val="Body"/>
              <w:ind w:left="0"/>
            </w:pPr>
            <w:r>
              <w:t>Accountable Authority</w:t>
            </w:r>
          </w:p>
          <w:p w:rsidR="00A92FFE" w:rsidRDefault="00A92FFE" w:rsidP="00092BA0">
            <w:pPr>
              <w:pStyle w:val="Body"/>
              <w:ind w:left="0"/>
            </w:pPr>
          </w:p>
          <w:p w:rsidR="00092BA0" w:rsidRDefault="00693C8F" w:rsidP="00092BA0">
            <w:pPr>
              <w:pStyle w:val="Body"/>
              <w:ind w:left="0"/>
            </w:pPr>
            <w:r>
              <w:t>6 August</w:t>
            </w:r>
            <w:r w:rsidR="00092BA0">
              <w:t xml:space="preserve"> 2015</w:t>
            </w:r>
          </w:p>
        </w:tc>
      </w:tr>
    </w:tbl>
    <w:p w:rsidR="00C45DEA" w:rsidRDefault="00C45DEA" w:rsidP="00092BA0">
      <w:pPr>
        <w:pStyle w:val="Body"/>
      </w:pPr>
    </w:p>
    <w:p w:rsidR="006D0E0A" w:rsidRDefault="006D0E0A">
      <w:r>
        <w:br w:type="page"/>
      </w:r>
    </w:p>
    <w:p w:rsidR="006D0E0A" w:rsidRDefault="006D0E0A">
      <w:r>
        <w:rPr>
          <w:noProof/>
          <w:lang w:eastAsia="en-AU"/>
        </w:rPr>
        <w:lastRenderedPageBreak/>
        <w:drawing>
          <wp:anchor distT="0" distB="0" distL="114300" distR="114300" simplePos="0" relativeHeight="251707392" behindDoc="0" locked="1" layoutInCell="1" allowOverlap="1" wp14:anchorId="22F7AA04" wp14:editId="124225A3">
            <wp:simplePos x="0" y="0"/>
            <wp:positionH relativeFrom="column">
              <wp:posOffset>-123825</wp:posOffset>
            </wp:positionH>
            <wp:positionV relativeFrom="paragraph">
              <wp:posOffset>38100</wp:posOffset>
            </wp:positionV>
            <wp:extent cx="6120000" cy="8658000"/>
            <wp:effectExtent l="171450" t="152400" r="205105" b="21971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 Opinion Financial Statements and PIs Office of the Environmental Protection Authority year ended 30 June 2015_Page_1.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6120000" cy="865800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br w:type="page"/>
      </w:r>
    </w:p>
    <w:p w:rsidR="006D0E0A" w:rsidRDefault="00865841">
      <w:r>
        <w:rPr>
          <w:noProof/>
          <w:lang w:eastAsia="en-AU"/>
        </w:rPr>
        <w:lastRenderedPageBreak/>
        <w:drawing>
          <wp:anchor distT="0" distB="0" distL="114300" distR="114300" simplePos="0" relativeHeight="251708416" behindDoc="0" locked="1" layoutInCell="1" allowOverlap="1" wp14:anchorId="0EAA8AF3" wp14:editId="3FA1509D">
            <wp:simplePos x="0" y="0"/>
            <wp:positionH relativeFrom="column">
              <wp:posOffset>-122555</wp:posOffset>
            </wp:positionH>
            <wp:positionV relativeFrom="paragraph">
              <wp:posOffset>39370</wp:posOffset>
            </wp:positionV>
            <wp:extent cx="6120000" cy="8658000"/>
            <wp:effectExtent l="171450" t="152400" r="205105" b="219710"/>
            <wp:wrapSquare wrapText="bothSides"/>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 Opinion Financial Statements and PIs Office of the Environmental Protection Authority year ended 30 June 2015_Page_2.jp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6120000" cy="865800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6D0E0A">
        <w:br w:type="page"/>
      </w:r>
    </w:p>
    <w:p w:rsidR="009A5B6D" w:rsidRDefault="00865841" w:rsidP="00092BA0">
      <w:pPr>
        <w:pStyle w:val="Body"/>
      </w:pPr>
      <w:r>
        <w:rPr>
          <w:noProof/>
          <w:lang w:eastAsia="en-AU"/>
        </w:rPr>
        <w:lastRenderedPageBreak/>
        <w:drawing>
          <wp:anchor distT="0" distB="0" distL="114300" distR="114300" simplePos="0" relativeHeight="251709440" behindDoc="0" locked="1" layoutInCell="1" allowOverlap="1" wp14:anchorId="2A9E63B0" wp14:editId="196329D0">
            <wp:simplePos x="0" y="0"/>
            <wp:positionH relativeFrom="column">
              <wp:posOffset>-122555</wp:posOffset>
            </wp:positionH>
            <wp:positionV relativeFrom="paragraph">
              <wp:posOffset>39370</wp:posOffset>
            </wp:positionV>
            <wp:extent cx="6120000" cy="8658000"/>
            <wp:effectExtent l="171450" t="152400" r="205105" b="21971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O Opinion Financial Statements and PIs Office of the Environmental Protection Authority year ended 30 June 2015_Page_3.jp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6120000" cy="8658000"/>
                    </a:xfrm>
                    <a:prstGeom prst="rect">
                      <a:avLst/>
                    </a:prstGeom>
                    <a:solidFill>
                      <a:srgbClr val="FFFFFF">
                        <a:shade val="85000"/>
                      </a:srgbClr>
                    </a:solidFill>
                    <a:ln w="1905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14:sizeRelH relativeFrom="page">
              <wp14:pctWidth>0</wp14:pctWidth>
            </wp14:sizeRelH>
            <wp14:sizeRelV relativeFrom="page">
              <wp14:pctHeight>0</wp14:pctHeight>
            </wp14:sizeRelV>
          </wp:anchor>
        </w:drawing>
      </w:r>
      <w:r w:rsidR="009A5B6D">
        <w:br w:type="page"/>
      </w:r>
    </w:p>
    <w:p w:rsidR="008106AD" w:rsidRPr="00C66D47" w:rsidRDefault="008106AD" w:rsidP="009B4A17">
      <w:pPr>
        <w:pStyle w:val="Financialsheading1"/>
      </w:pPr>
      <w:bookmarkStart w:id="85" w:name="_Toc425254033"/>
      <w:bookmarkStart w:id="86" w:name="_Toc428279203"/>
      <w:r w:rsidRPr="00C66D47">
        <w:lastRenderedPageBreak/>
        <w:t>Statement of Comprehensive Income</w:t>
      </w:r>
      <w:bookmarkEnd w:id="85"/>
      <w:bookmarkEnd w:id="86"/>
    </w:p>
    <w:p w:rsidR="00C45DEA" w:rsidRPr="00682CC1" w:rsidRDefault="008106AD" w:rsidP="00682CC1">
      <w:pPr>
        <w:pStyle w:val="Financialsheading2"/>
      </w:pPr>
      <w:bookmarkStart w:id="87" w:name="_Toc425254034"/>
      <w:r w:rsidRPr="00682CC1">
        <w:t>For the year ended 30 June 2015</w:t>
      </w:r>
      <w:bookmarkEnd w:id="87"/>
    </w:p>
    <w:tbl>
      <w:tblPr>
        <w:tblW w:w="9782" w:type="dxa"/>
        <w:tblInd w:w="108" w:type="dxa"/>
        <w:tblLayout w:type="fixed"/>
        <w:tblCellMar>
          <w:top w:w="28" w:type="dxa"/>
          <w:bottom w:w="28" w:type="dxa"/>
        </w:tblCellMar>
        <w:tblLook w:val="04A0" w:firstRow="1" w:lastRow="0" w:firstColumn="1" w:lastColumn="0" w:noHBand="0" w:noVBand="1"/>
      </w:tblPr>
      <w:tblGrid>
        <w:gridCol w:w="6096"/>
        <w:gridCol w:w="850"/>
        <w:gridCol w:w="1418"/>
        <w:gridCol w:w="1418"/>
      </w:tblGrid>
      <w:tr w:rsidR="008106AD" w:rsidRPr="007043E4" w:rsidTr="008106AD">
        <w:trPr>
          <w:trHeight w:val="255"/>
        </w:trPr>
        <w:tc>
          <w:tcPr>
            <w:tcW w:w="6096" w:type="dxa"/>
            <w:tcBorders>
              <w:top w:val="nil"/>
              <w:left w:val="nil"/>
              <w:bottom w:val="nil"/>
              <w:right w:val="nil"/>
            </w:tcBorders>
            <w:shd w:val="clear" w:color="auto" w:fill="E0DCCB" w:themeFill="accent4" w:themeFillTint="66"/>
            <w:vAlign w:val="center"/>
            <w:hideMark/>
          </w:tcPr>
          <w:p w:rsidR="008106AD" w:rsidRPr="007043E4" w:rsidRDefault="008106AD" w:rsidP="00371245">
            <w:pPr>
              <w:pStyle w:val="Financials"/>
              <w:rPr>
                <w:lang w:eastAsia="en-AU"/>
              </w:rPr>
            </w:pPr>
          </w:p>
        </w:tc>
        <w:tc>
          <w:tcPr>
            <w:tcW w:w="850" w:type="dxa"/>
            <w:tcBorders>
              <w:top w:val="nil"/>
              <w:left w:val="nil"/>
              <w:bottom w:val="nil"/>
              <w:right w:val="nil"/>
            </w:tcBorders>
            <w:shd w:val="clear" w:color="auto" w:fill="E0DCCB" w:themeFill="accent4" w:themeFillTint="66"/>
            <w:vAlign w:val="center"/>
            <w:hideMark/>
          </w:tcPr>
          <w:p w:rsidR="008106AD" w:rsidRPr="007043E4" w:rsidRDefault="008106AD" w:rsidP="00C66D47">
            <w:pPr>
              <w:pStyle w:val="Financials"/>
              <w:jc w:val="center"/>
              <w:rPr>
                <w:b/>
                <w:bCs/>
                <w:lang w:eastAsia="en-AU"/>
              </w:rPr>
            </w:pPr>
            <w:r w:rsidRPr="007043E4">
              <w:rPr>
                <w:b/>
                <w:bCs/>
                <w:lang w:eastAsia="en-AU"/>
              </w:rPr>
              <w:t>Note</w:t>
            </w:r>
          </w:p>
        </w:tc>
        <w:tc>
          <w:tcPr>
            <w:tcW w:w="1418" w:type="dxa"/>
            <w:tcBorders>
              <w:top w:val="nil"/>
              <w:left w:val="nil"/>
              <w:bottom w:val="nil"/>
              <w:right w:val="nil"/>
            </w:tcBorders>
            <w:shd w:val="clear" w:color="auto" w:fill="E0DCCB" w:themeFill="accent4" w:themeFillTint="66"/>
            <w:vAlign w:val="center"/>
          </w:tcPr>
          <w:p w:rsidR="008106AD" w:rsidRPr="007043E4" w:rsidRDefault="008106AD" w:rsidP="00C66D47">
            <w:pPr>
              <w:pStyle w:val="Financials"/>
              <w:jc w:val="center"/>
              <w:rPr>
                <w:b/>
                <w:bCs/>
                <w:lang w:eastAsia="en-AU"/>
              </w:rPr>
            </w:pPr>
            <w:r w:rsidRPr="007043E4">
              <w:rPr>
                <w:b/>
                <w:bCs/>
                <w:lang w:eastAsia="en-AU"/>
              </w:rPr>
              <w:t>201</w:t>
            </w:r>
            <w:r>
              <w:rPr>
                <w:b/>
                <w:bCs/>
                <w:lang w:eastAsia="en-AU"/>
              </w:rPr>
              <w:t>5</w:t>
            </w:r>
          </w:p>
        </w:tc>
        <w:tc>
          <w:tcPr>
            <w:tcW w:w="1418" w:type="dxa"/>
            <w:tcBorders>
              <w:top w:val="nil"/>
              <w:left w:val="nil"/>
              <w:bottom w:val="nil"/>
              <w:right w:val="nil"/>
            </w:tcBorders>
            <w:shd w:val="clear" w:color="auto" w:fill="E0DCCB" w:themeFill="accent4" w:themeFillTint="66"/>
            <w:vAlign w:val="center"/>
            <w:hideMark/>
          </w:tcPr>
          <w:p w:rsidR="008106AD" w:rsidRPr="007043E4" w:rsidRDefault="008106AD" w:rsidP="00C66D47">
            <w:pPr>
              <w:pStyle w:val="Financials"/>
              <w:jc w:val="center"/>
              <w:rPr>
                <w:b/>
                <w:bCs/>
                <w:lang w:eastAsia="en-AU"/>
              </w:rPr>
            </w:pPr>
            <w:r w:rsidRPr="007043E4">
              <w:rPr>
                <w:b/>
                <w:bCs/>
                <w:lang w:eastAsia="en-AU"/>
              </w:rPr>
              <w:t>201</w:t>
            </w:r>
            <w:r>
              <w:rPr>
                <w:b/>
                <w:bCs/>
                <w:lang w:eastAsia="en-AU"/>
              </w:rPr>
              <w:t>4</w:t>
            </w:r>
          </w:p>
        </w:tc>
      </w:tr>
      <w:tr w:rsidR="008106AD" w:rsidRPr="007043E4" w:rsidTr="008106AD">
        <w:trPr>
          <w:trHeight w:val="255"/>
        </w:trPr>
        <w:tc>
          <w:tcPr>
            <w:tcW w:w="6096" w:type="dxa"/>
            <w:tcBorders>
              <w:top w:val="nil"/>
              <w:left w:val="nil"/>
              <w:bottom w:val="nil"/>
              <w:right w:val="nil"/>
            </w:tcBorders>
            <w:shd w:val="clear" w:color="auto" w:fill="E0DCCB" w:themeFill="accent4" w:themeFillTint="66"/>
            <w:vAlign w:val="center"/>
            <w:hideMark/>
          </w:tcPr>
          <w:p w:rsidR="008106AD" w:rsidRPr="007043E4" w:rsidRDefault="008106AD" w:rsidP="00371245">
            <w:pPr>
              <w:pStyle w:val="Financials"/>
              <w:rPr>
                <w:lang w:eastAsia="en-AU"/>
              </w:rPr>
            </w:pPr>
          </w:p>
        </w:tc>
        <w:tc>
          <w:tcPr>
            <w:tcW w:w="850" w:type="dxa"/>
            <w:tcBorders>
              <w:top w:val="nil"/>
              <w:left w:val="nil"/>
              <w:bottom w:val="nil"/>
              <w:right w:val="nil"/>
            </w:tcBorders>
            <w:shd w:val="clear" w:color="auto" w:fill="E0DCCB" w:themeFill="accent4" w:themeFillTint="66"/>
            <w:vAlign w:val="center"/>
            <w:hideMark/>
          </w:tcPr>
          <w:p w:rsidR="008106AD" w:rsidRPr="007043E4" w:rsidRDefault="008106AD" w:rsidP="00C66D47">
            <w:pPr>
              <w:pStyle w:val="Financials"/>
              <w:jc w:val="center"/>
              <w:rPr>
                <w:b/>
                <w:bCs/>
                <w:lang w:eastAsia="en-AU"/>
              </w:rPr>
            </w:pPr>
          </w:p>
        </w:tc>
        <w:tc>
          <w:tcPr>
            <w:tcW w:w="1418" w:type="dxa"/>
            <w:tcBorders>
              <w:top w:val="nil"/>
              <w:left w:val="nil"/>
              <w:bottom w:val="nil"/>
              <w:right w:val="nil"/>
            </w:tcBorders>
            <w:shd w:val="clear" w:color="auto" w:fill="E0DCCB" w:themeFill="accent4" w:themeFillTint="66"/>
            <w:vAlign w:val="center"/>
          </w:tcPr>
          <w:p w:rsidR="008106AD" w:rsidRPr="007043E4" w:rsidRDefault="008106AD" w:rsidP="00C66D47">
            <w:pPr>
              <w:pStyle w:val="Financials"/>
              <w:jc w:val="center"/>
              <w:rPr>
                <w:b/>
                <w:bCs/>
                <w:lang w:eastAsia="en-AU"/>
              </w:rPr>
            </w:pPr>
            <w:r w:rsidRPr="007043E4">
              <w:rPr>
                <w:b/>
                <w:bCs/>
                <w:lang w:eastAsia="en-AU"/>
              </w:rPr>
              <w:t>$</w:t>
            </w:r>
          </w:p>
        </w:tc>
        <w:tc>
          <w:tcPr>
            <w:tcW w:w="1418" w:type="dxa"/>
            <w:tcBorders>
              <w:top w:val="nil"/>
              <w:left w:val="nil"/>
              <w:bottom w:val="nil"/>
              <w:right w:val="nil"/>
            </w:tcBorders>
            <w:shd w:val="clear" w:color="auto" w:fill="E0DCCB" w:themeFill="accent4" w:themeFillTint="66"/>
            <w:vAlign w:val="center"/>
            <w:hideMark/>
          </w:tcPr>
          <w:p w:rsidR="008106AD" w:rsidRPr="007043E4" w:rsidRDefault="008106AD" w:rsidP="00C66D47">
            <w:pPr>
              <w:pStyle w:val="Financials"/>
              <w:jc w:val="center"/>
              <w:rPr>
                <w:b/>
                <w:bCs/>
                <w:lang w:eastAsia="en-AU"/>
              </w:rPr>
            </w:pPr>
            <w:r w:rsidRPr="007043E4">
              <w:rPr>
                <w:b/>
                <w:bCs/>
                <w:lang w:eastAsia="en-AU"/>
              </w:rPr>
              <w:t>$</w:t>
            </w:r>
          </w:p>
        </w:tc>
      </w:tr>
      <w:tr w:rsidR="008106AD" w:rsidRPr="007043E4" w:rsidTr="008106AD">
        <w:trPr>
          <w:trHeight w:val="255"/>
        </w:trPr>
        <w:tc>
          <w:tcPr>
            <w:tcW w:w="6096" w:type="dxa"/>
            <w:tcBorders>
              <w:top w:val="nil"/>
              <w:left w:val="nil"/>
              <w:bottom w:val="nil"/>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COST OF SERVICES</w:t>
            </w:r>
          </w:p>
        </w:tc>
        <w:tc>
          <w:tcPr>
            <w:tcW w:w="850"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nil"/>
              <w:left w:val="nil"/>
              <w:bottom w:val="nil"/>
              <w:right w:val="nil"/>
            </w:tcBorders>
            <w:shd w:val="clear" w:color="auto" w:fill="E0DCCB" w:themeFill="accent4" w:themeFillTint="66"/>
          </w:tcPr>
          <w:p w:rsidR="008106AD" w:rsidRPr="007043E4" w:rsidRDefault="008106AD" w:rsidP="00C66D47">
            <w:pPr>
              <w:pStyle w:val="Financials"/>
              <w:jc w:val="right"/>
              <w:rPr>
                <w:lang w:eastAsia="en-AU"/>
              </w:rPr>
            </w:pPr>
          </w:p>
        </w:tc>
        <w:tc>
          <w:tcPr>
            <w:tcW w:w="1418"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r>
      <w:tr w:rsidR="008106AD" w:rsidRPr="007043E4" w:rsidTr="008106AD">
        <w:trPr>
          <w:trHeight w:val="255"/>
        </w:trPr>
        <w:tc>
          <w:tcPr>
            <w:tcW w:w="6096" w:type="dxa"/>
            <w:tcBorders>
              <w:top w:val="nil"/>
              <w:left w:val="nil"/>
              <w:bottom w:val="nil"/>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Expenses</w:t>
            </w:r>
          </w:p>
        </w:tc>
        <w:tc>
          <w:tcPr>
            <w:tcW w:w="850"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nil"/>
              <w:left w:val="nil"/>
              <w:bottom w:val="nil"/>
              <w:right w:val="nil"/>
            </w:tcBorders>
            <w:shd w:val="clear" w:color="auto" w:fill="E0DCCB" w:themeFill="accent4" w:themeFillTint="66"/>
          </w:tcPr>
          <w:p w:rsidR="008106AD" w:rsidRPr="007043E4" w:rsidRDefault="008106AD" w:rsidP="00C66D47">
            <w:pPr>
              <w:pStyle w:val="Financials"/>
              <w:jc w:val="right"/>
              <w:rPr>
                <w:lang w:eastAsia="en-AU"/>
              </w:rPr>
            </w:pPr>
          </w:p>
        </w:tc>
        <w:tc>
          <w:tcPr>
            <w:tcW w:w="1418"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r>
      <w:tr w:rsidR="008106AD" w:rsidRPr="007043E4" w:rsidTr="00371245">
        <w:trPr>
          <w:trHeight w:val="208"/>
        </w:trPr>
        <w:tc>
          <w:tcPr>
            <w:tcW w:w="6096" w:type="dxa"/>
            <w:tcBorders>
              <w:top w:val="nil"/>
              <w:left w:val="nil"/>
              <w:bottom w:val="nil"/>
              <w:right w:val="nil"/>
            </w:tcBorders>
            <w:shd w:val="clear" w:color="auto" w:fill="auto"/>
            <w:vAlign w:val="center"/>
            <w:hideMark/>
          </w:tcPr>
          <w:p w:rsidR="008106AD" w:rsidRPr="007043E4" w:rsidRDefault="008106AD" w:rsidP="00371245">
            <w:pPr>
              <w:pStyle w:val="Financials"/>
              <w:rPr>
                <w:lang w:eastAsia="en-AU"/>
              </w:rPr>
            </w:pPr>
            <w:r w:rsidRPr="007043E4">
              <w:rPr>
                <w:lang w:eastAsia="en-AU"/>
              </w:rPr>
              <w:t>Employee benefits expense</w:t>
            </w:r>
          </w:p>
        </w:tc>
        <w:tc>
          <w:tcPr>
            <w:tcW w:w="850"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r w:rsidRPr="007043E4">
              <w:rPr>
                <w:lang w:eastAsia="en-AU"/>
              </w:rPr>
              <w:t>5</w:t>
            </w:r>
          </w:p>
        </w:tc>
        <w:tc>
          <w:tcPr>
            <w:tcW w:w="1418" w:type="dxa"/>
            <w:tcBorders>
              <w:top w:val="nil"/>
              <w:left w:val="nil"/>
              <w:bottom w:val="nil"/>
              <w:right w:val="nil"/>
            </w:tcBorders>
            <w:shd w:val="clear" w:color="auto" w:fill="E0DCCB" w:themeFill="accent4" w:themeFillTint="66"/>
            <w:vAlign w:val="center"/>
          </w:tcPr>
          <w:p w:rsidR="008106AD" w:rsidRPr="007043E4" w:rsidRDefault="008106AD" w:rsidP="00C66D47">
            <w:pPr>
              <w:pStyle w:val="Financials"/>
              <w:jc w:val="right"/>
              <w:rPr>
                <w:highlight w:val="yellow"/>
                <w:lang w:eastAsia="en-AU"/>
              </w:rPr>
            </w:pPr>
            <w:r>
              <w:rPr>
                <w:lang w:eastAsia="en-AU"/>
              </w:rPr>
              <w:t>11,637,877</w:t>
            </w:r>
          </w:p>
        </w:tc>
        <w:tc>
          <w:tcPr>
            <w:tcW w:w="1418"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highlight w:val="yellow"/>
                <w:lang w:eastAsia="en-AU"/>
              </w:rPr>
            </w:pPr>
            <w:r>
              <w:rPr>
                <w:lang w:eastAsia="en-AU"/>
              </w:rPr>
              <w:t>12,068,882</w:t>
            </w:r>
          </w:p>
        </w:tc>
      </w:tr>
      <w:tr w:rsidR="008106AD" w:rsidRPr="007043E4" w:rsidTr="008106AD">
        <w:trPr>
          <w:trHeight w:val="255"/>
        </w:trPr>
        <w:tc>
          <w:tcPr>
            <w:tcW w:w="6096" w:type="dxa"/>
            <w:tcBorders>
              <w:top w:val="nil"/>
              <w:left w:val="nil"/>
              <w:bottom w:val="nil"/>
              <w:right w:val="nil"/>
            </w:tcBorders>
            <w:shd w:val="clear" w:color="auto" w:fill="auto"/>
            <w:vAlign w:val="center"/>
            <w:hideMark/>
          </w:tcPr>
          <w:p w:rsidR="008106AD" w:rsidRPr="007043E4" w:rsidRDefault="008106AD" w:rsidP="00371245">
            <w:pPr>
              <w:pStyle w:val="Financials"/>
              <w:rPr>
                <w:lang w:eastAsia="en-AU"/>
              </w:rPr>
            </w:pPr>
            <w:r w:rsidRPr="007043E4">
              <w:rPr>
                <w:lang w:eastAsia="en-AU"/>
              </w:rPr>
              <w:t>Supplies and services</w:t>
            </w:r>
          </w:p>
        </w:tc>
        <w:tc>
          <w:tcPr>
            <w:tcW w:w="850"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r w:rsidRPr="007043E4">
              <w:rPr>
                <w:lang w:eastAsia="en-AU"/>
              </w:rPr>
              <w:t>6</w:t>
            </w:r>
          </w:p>
        </w:tc>
        <w:tc>
          <w:tcPr>
            <w:tcW w:w="1418" w:type="dxa"/>
            <w:tcBorders>
              <w:top w:val="nil"/>
              <w:left w:val="nil"/>
              <w:bottom w:val="nil"/>
              <w:right w:val="nil"/>
            </w:tcBorders>
            <w:shd w:val="clear" w:color="auto" w:fill="E0DCCB" w:themeFill="accent4" w:themeFillTint="66"/>
            <w:vAlign w:val="center"/>
          </w:tcPr>
          <w:p w:rsidR="008106AD" w:rsidRPr="007043E4" w:rsidRDefault="008106AD" w:rsidP="001F468E">
            <w:pPr>
              <w:pStyle w:val="Financials"/>
              <w:jc w:val="right"/>
              <w:rPr>
                <w:lang w:eastAsia="en-AU"/>
              </w:rPr>
            </w:pPr>
            <w:r>
              <w:rPr>
                <w:lang w:eastAsia="en-AU"/>
              </w:rPr>
              <w:t>1,5</w:t>
            </w:r>
            <w:r w:rsidR="001F468E">
              <w:rPr>
                <w:lang w:eastAsia="en-AU"/>
              </w:rPr>
              <w:t>73</w:t>
            </w:r>
            <w:r>
              <w:rPr>
                <w:lang w:eastAsia="en-AU"/>
              </w:rPr>
              <w:t>,929</w:t>
            </w:r>
          </w:p>
        </w:tc>
        <w:tc>
          <w:tcPr>
            <w:tcW w:w="1418"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r>
              <w:rPr>
                <w:lang w:eastAsia="en-AU"/>
              </w:rPr>
              <w:t>2,362,833</w:t>
            </w:r>
          </w:p>
        </w:tc>
      </w:tr>
      <w:tr w:rsidR="008106AD" w:rsidRPr="007043E4" w:rsidTr="008106AD">
        <w:trPr>
          <w:trHeight w:val="255"/>
        </w:trPr>
        <w:tc>
          <w:tcPr>
            <w:tcW w:w="6096" w:type="dxa"/>
            <w:tcBorders>
              <w:top w:val="nil"/>
              <w:left w:val="nil"/>
              <w:bottom w:val="nil"/>
              <w:right w:val="nil"/>
            </w:tcBorders>
            <w:shd w:val="clear" w:color="auto" w:fill="auto"/>
            <w:vAlign w:val="center"/>
            <w:hideMark/>
          </w:tcPr>
          <w:p w:rsidR="008106AD" w:rsidRPr="007043E4" w:rsidRDefault="008106AD" w:rsidP="00371245">
            <w:pPr>
              <w:pStyle w:val="Financials"/>
              <w:rPr>
                <w:lang w:eastAsia="en-AU"/>
              </w:rPr>
            </w:pPr>
            <w:r w:rsidRPr="007043E4">
              <w:rPr>
                <w:lang w:eastAsia="en-AU"/>
              </w:rPr>
              <w:t>Depreciation and amortisation expense</w:t>
            </w:r>
          </w:p>
        </w:tc>
        <w:tc>
          <w:tcPr>
            <w:tcW w:w="850"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r w:rsidRPr="007043E4">
              <w:rPr>
                <w:lang w:eastAsia="en-AU"/>
              </w:rPr>
              <w:t>7</w:t>
            </w:r>
          </w:p>
        </w:tc>
        <w:tc>
          <w:tcPr>
            <w:tcW w:w="1418" w:type="dxa"/>
            <w:tcBorders>
              <w:top w:val="nil"/>
              <w:left w:val="nil"/>
              <w:bottom w:val="nil"/>
              <w:right w:val="nil"/>
            </w:tcBorders>
            <w:shd w:val="clear" w:color="auto" w:fill="E0DCCB" w:themeFill="accent4" w:themeFillTint="66"/>
            <w:vAlign w:val="center"/>
          </w:tcPr>
          <w:p w:rsidR="008106AD" w:rsidRPr="007043E4" w:rsidRDefault="008106AD" w:rsidP="00C66D47">
            <w:pPr>
              <w:pStyle w:val="Financials"/>
              <w:jc w:val="right"/>
              <w:rPr>
                <w:lang w:eastAsia="en-AU"/>
              </w:rPr>
            </w:pPr>
            <w:r>
              <w:rPr>
                <w:lang w:eastAsia="en-AU"/>
              </w:rPr>
              <w:t>197,321</w:t>
            </w:r>
          </w:p>
        </w:tc>
        <w:tc>
          <w:tcPr>
            <w:tcW w:w="1418"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r>
              <w:rPr>
                <w:lang w:eastAsia="en-AU"/>
              </w:rPr>
              <w:t>202,044</w:t>
            </w:r>
          </w:p>
        </w:tc>
      </w:tr>
      <w:tr w:rsidR="008106AD" w:rsidRPr="007043E4" w:rsidTr="008106AD">
        <w:trPr>
          <w:trHeight w:val="270"/>
        </w:trPr>
        <w:tc>
          <w:tcPr>
            <w:tcW w:w="6096" w:type="dxa"/>
            <w:tcBorders>
              <w:top w:val="nil"/>
              <w:left w:val="nil"/>
              <w:bottom w:val="nil"/>
              <w:right w:val="nil"/>
            </w:tcBorders>
            <w:shd w:val="clear" w:color="auto" w:fill="auto"/>
            <w:vAlign w:val="center"/>
          </w:tcPr>
          <w:p w:rsidR="008106AD" w:rsidRPr="007043E4" w:rsidRDefault="008106AD" w:rsidP="00371245">
            <w:pPr>
              <w:pStyle w:val="Financials"/>
              <w:rPr>
                <w:lang w:eastAsia="en-AU"/>
              </w:rPr>
            </w:pPr>
            <w:r>
              <w:rPr>
                <w:lang w:eastAsia="en-AU"/>
              </w:rPr>
              <w:t>Accommodation</w:t>
            </w:r>
          </w:p>
        </w:tc>
        <w:tc>
          <w:tcPr>
            <w:tcW w:w="850" w:type="dxa"/>
            <w:tcBorders>
              <w:top w:val="nil"/>
              <w:left w:val="nil"/>
              <w:bottom w:val="nil"/>
              <w:right w:val="nil"/>
            </w:tcBorders>
            <w:shd w:val="clear" w:color="auto" w:fill="auto"/>
            <w:vAlign w:val="center"/>
          </w:tcPr>
          <w:p w:rsidR="008106AD" w:rsidRDefault="008106AD" w:rsidP="00C66D47">
            <w:pPr>
              <w:pStyle w:val="Financials"/>
              <w:jc w:val="right"/>
              <w:rPr>
                <w:lang w:eastAsia="en-AU"/>
              </w:rPr>
            </w:pPr>
            <w:r>
              <w:rPr>
                <w:lang w:eastAsia="en-AU"/>
              </w:rPr>
              <w:t>8</w:t>
            </w:r>
          </w:p>
        </w:tc>
        <w:tc>
          <w:tcPr>
            <w:tcW w:w="1418" w:type="dxa"/>
            <w:tcBorders>
              <w:top w:val="nil"/>
              <w:left w:val="nil"/>
              <w:bottom w:val="nil"/>
              <w:right w:val="nil"/>
            </w:tcBorders>
            <w:shd w:val="clear" w:color="auto" w:fill="E0DCCB" w:themeFill="accent4" w:themeFillTint="66"/>
            <w:vAlign w:val="center"/>
          </w:tcPr>
          <w:p w:rsidR="008106AD" w:rsidRDefault="008106AD" w:rsidP="00C66D47">
            <w:pPr>
              <w:pStyle w:val="Financials"/>
              <w:jc w:val="right"/>
              <w:rPr>
                <w:lang w:eastAsia="en-AU"/>
              </w:rPr>
            </w:pPr>
            <w:r>
              <w:rPr>
                <w:lang w:eastAsia="en-AU"/>
              </w:rPr>
              <w:t>826,097</w:t>
            </w:r>
          </w:p>
        </w:tc>
        <w:tc>
          <w:tcPr>
            <w:tcW w:w="1418" w:type="dxa"/>
            <w:tcBorders>
              <w:top w:val="nil"/>
              <w:left w:val="nil"/>
              <w:bottom w:val="nil"/>
              <w:right w:val="nil"/>
            </w:tcBorders>
            <w:shd w:val="clear" w:color="auto" w:fill="auto"/>
            <w:vAlign w:val="center"/>
          </w:tcPr>
          <w:p w:rsidR="008106AD" w:rsidRDefault="008106AD" w:rsidP="00C66D47">
            <w:pPr>
              <w:pStyle w:val="Financials"/>
              <w:jc w:val="right"/>
              <w:rPr>
                <w:lang w:eastAsia="en-AU"/>
              </w:rPr>
            </w:pPr>
            <w:r>
              <w:rPr>
                <w:lang w:eastAsia="en-AU"/>
              </w:rPr>
              <w:t>849,420</w:t>
            </w:r>
          </w:p>
        </w:tc>
      </w:tr>
      <w:tr w:rsidR="008106AD" w:rsidRPr="007043E4" w:rsidTr="008106AD">
        <w:trPr>
          <w:trHeight w:val="270"/>
        </w:trPr>
        <w:tc>
          <w:tcPr>
            <w:tcW w:w="6096" w:type="dxa"/>
            <w:tcBorders>
              <w:top w:val="nil"/>
              <w:left w:val="nil"/>
              <w:bottom w:val="nil"/>
              <w:right w:val="nil"/>
            </w:tcBorders>
            <w:shd w:val="clear" w:color="auto" w:fill="auto"/>
            <w:vAlign w:val="center"/>
          </w:tcPr>
          <w:p w:rsidR="008106AD" w:rsidRPr="007043E4" w:rsidRDefault="008106AD" w:rsidP="00371245">
            <w:pPr>
              <w:pStyle w:val="Financials"/>
              <w:rPr>
                <w:lang w:eastAsia="en-AU"/>
              </w:rPr>
            </w:pPr>
            <w:r w:rsidRPr="007043E4">
              <w:rPr>
                <w:lang w:eastAsia="en-AU"/>
              </w:rPr>
              <w:t>Grants and Subsidies</w:t>
            </w:r>
          </w:p>
        </w:tc>
        <w:tc>
          <w:tcPr>
            <w:tcW w:w="850" w:type="dxa"/>
            <w:tcBorders>
              <w:top w:val="nil"/>
              <w:left w:val="nil"/>
              <w:bottom w:val="nil"/>
              <w:right w:val="nil"/>
            </w:tcBorders>
            <w:shd w:val="clear" w:color="auto" w:fill="auto"/>
            <w:vAlign w:val="center"/>
          </w:tcPr>
          <w:p w:rsidR="008106AD" w:rsidRPr="007043E4" w:rsidRDefault="008106AD" w:rsidP="00C66D47">
            <w:pPr>
              <w:pStyle w:val="Financials"/>
              <w:jc w:val="right"/>
              <w:rPr>
                <w:lang w:eastAsia="en-AU"/>
              </w:rPr>
            </w:pPr>
            <w:r>
              <w:rPr>
                <w:lang w:eastAsia="en-AU"/>
              </w:rPr>
              <w:t>9</w:t>
            </w:r>
          </w:p>
        </w:tc>
        <w:tc>
          <w:tcPr>
            <w:tcW w:w="1418" w:type="dxa"/>
            <w:tcBorders>
              <w:top w:val="nil"/>
              <w:left w:val="nil"/>
              <w:bottom w:val="nil"/>
              <w:right w:val="nil"/>
            </w:tcBorders>
            <w:shd w:val="clear" w:color="auto" w:fill="E0DCCB" w:themeFill="accent4" w:themeFillTint="66"/>
            <w:vAlign w:val="center"/>
          </w:tcPr>
          <w:p w:rsidR="008106AD" w:rsidRPr="007043E4" w:rsidRDefault="00E00C64" w:rsidP="00C66D47">
            <w:pPr>
              <w:pStyle w:val="Financials"/>
              <w:jc w:val="right"/>
              <w:rPr>
                <w:lang w:eastAsia="en-AU"/>
              </w:rPr>
            </w:pPr>
            <w:r>
              <w:rPr>
                <w:lang w:eastAsia="en-AU"/>
              </w:rPr>
              <w:t>-</w:t>
            </w:r>
          </w:p>
        </w:tc>
        <w:tc>
          <w:tcPr>
            <w:tcW w:w="1418" w:type="dxa"/>
            <w:tcBorders>
              <w:top w:val="nil"/>
              <w:left w:val="nil"/>
              <w:bottom w:val="nil"/>
              <w:right w:val="nil"/>
            </w:tcBorders>
            <w:shd w:val="clear" w:color="auto" w:fill="auto"/>
            <w:vAlign w:val="center"/>
          </w:tcPr>
          <w:p w:rsidR="008106AD" w:rsidRPr="007043E4" w:rsidRDefault="008106AD" w:rsidP="00C66D47">
            <w:pPr>
              <w:pStyle w:val="Financials"/>
              <w:jc w:val="right"/>
              <w:rPr>
                <w:lang w:eastAsia="en-AU"/>
              </w:rPr>
            </w:pPr>
            <w:r>
              <w:rPr>
                <w:lang w:eastAsia="en-AU"/>
              </w:rPr>
              <w:t>110,000</w:t>
            </w:r>
          </w:p>
        </w:tc>
      </w:tr>
      <w:tr w:rsidR="008106AD" w:rsidRPr="007043E4" w:rsidTr="008106AD">
        <w:trPr>
          <w:trHeight w:val="270"/>
        </w:trPr>
        <w:tc>
          <w:tcPr>
            <w:tcW w:w="6096" w:type="dxa"/>
            <w:tcBorders>
              <w:top w:val="nil"/>
              <w:left w:val="nil"/>
              <w:bottom w:val="single" w:sz="4" w:space="0" w:color="E0DCCB" w:themeColor="accent4" w:themeTint="66"/>
              <w:right w:val="nil"/>
            </w:tcBorders>
            <w:shd w:val="clear" w:color="auto" w:fill="auto"/>
            <w:vAlign w:val="center"/>
            <w:hideMark/>
          </w:tcPr>
          <w:p w:rsidR="008106AD" w:rsidRPr="007043E4" w:rsidRDefault="008106AD" w:rsidP="00371245">
            <w:pPr>
              <w:pStyle w:val="Financials"/>
              <w:rPr>
                <w:lang w:eastAsia="en-AU"/>
              </w:rPr>
            </w:pPr>
            <w:r w:rsidRPr="007043E4">
              <w:rPr>
                <w:lang w:eastAsia="en-AU"/>
              </w:rPr>
              <w:t>Other expenses</w:t>
            </w:r>
          </w:p>
        </w:tc>
        <w:tc>
          <w:tcPr>
            <w:tcW w:w="850" w:type="dxa"/>
            <w:tcBorders>
              <w:top w:val="nil"/>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lang w:eastAsia="en-AU"/>
              </w:rPr>
            </w:pPr>
            <w:r>
              <w:rPr>
                <w:lang w:eastAsia="en-AU"/>
              </w:rPr>
              <w:t>10</w:t>
            </w:r>
          </w:p>
        </w:tc>
        <w:tc>
          <w:tcPr>
            <w:tcW w:w="1418" w:type="dxa"/>
            <w:tcBorders>
              <w:top w:val="nil"/>
              <w:left w:val="nil"/>
              <w:bottom w:val="single" w:sz="4" w:space="0" w:color="FFFFFF" w:themeColor="background1"/>
              <w:right w:val="nil"/>
            </w:tcBorders>
            <w:shd w:val="clear" w:color="auto" w:fill="E0DCCB" w:themeFill="accent4" w:themeFillTint="66"/>
            <w:vAlign w:val="center"/>
          </w:tcPr>
          <w:p w:rsidR="008106AD" w:rsidRPr="007043E4" w:rsidRDefault="008106AD" w:rsidP="00C66D47">
            <w:pPr>
              <w:pStyle w:val="Financials"/>
              <w:jc w:val="right"/>
              <w:rPr>
                <w:highlight w:val="yellow"/>
                <w:lang w:eastAsia="en-AU"/>
              </w:rPr>
            </w:pPr>
            <w:r>
              <w:rPr>
                <w:lang w:eastAsia="en-AU"/>
              </w:rPr>
              <w:t>325,200</w:t>
            </w:r>
          </w:p>
        </w:tc>
        <w:tc>
          <w:tcPr>
            <w:tcW w:w="1418" w:type="dxa"/>
            <w:tcBorders>
              <w:top w:val="nil"/>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highlight w:val="yellow"/>
                <w:lang w:eastAsia="en-AU"/>
              </w:rPr>
            </w:pPr>
            <w:r>
              <w:rPr>
                <w:lang w:eastAsia="en-AU"/>
              </w:rPr>
              <w:t>450,018</w:t>
            </w:r>
          </w:p>
        </w:tc>
      </w:tr>
      <w:tr w:rsidR="008106AD" w:rsidRPr="007043E4" w:rsidTr="00371245">
        <w:trPr>
          <w:trHeight w:val="264"/>
        </w:trPr>
        <w:tc>
          <w:tcPr>
            <w:tcW w:w="6096"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Total cost of services</w:t>
            </w:r>
          </w:p>
        </w:tc>
        <w:tc>
          <w:tcPr>
            <w:tcW w:w="850"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106AD" w:rsidRPr="007043E4" w:rsidRDefault="008106AD" w:rsidP="008033A3">
            <w:pPr>
              <w:pStyle w:val="Financials"/>
              <w:jc w:val="right"/>
              <w:rPr>
                <w:b/>
                <w:bCs/>
                <w:highlight w:val="yellow"/>
                <w:lang w:eastAsia="en-AU"/>
              </w:rPr>
            </w:pPr>
            <w:r>
              <w:rPr>
                <w:b/>
                <w:bCs/>
                <w:lang w:eastAsia="en-AU"/>
              </w:rPr>
              <w:fldChar w:fldCharType="begin"/>
            </w:r>
            <w:r>
              <w:rPr>
                <w:b/>
                <w:bCs/>
                <w:lang w:eastAsia="en-AU"/>
              </w:rPr>
              <w:instrText xml:space="preserve"> =SUM(ABOVE) </w:instrText>
            </w:r>
            <w:r>
              <w:rPr>
                <w:b/>
                <w:bCs/>
                <w:lang w:eastAsia="en-AU"/>
              </w:rPr>
              <w:fldChar w:fldCharType="separate"/>
            </w:r>
            <w:r>
              <w:rPr>
                <w:b/>
                <w:bCs/>
                <w:noProof/>
                <w:lang w:eastAsia="en-AU"/>
              </w:rPr>
              <w:t>14,5</w:t>
            </w:r>
            <w:r w:rsidR="008033A3">
              <w:rPr>
                <w:b/>
                <w:bCs/>
                <w:noProof/>
                <w:lang w:eastAsia="en-AU"/>
              </w:rPr>
              <w:t>6</w:t>
            </w:r>
            <w:r w:rsidR="001F468E">
              <w:rPr>
                <w:b/>
                <w:bCs/>
                <w:noProof/>
                <w:lang w:eastAsia="en-AU"/>
              </w:rPr>
              <w:t>0</w:t>
            </w:r>
            <w:r>
              <w:rPr>
                <w:b/>
                <w:bCs/>
                <w:noProof/>
                <w:lang w:eastAsia="en-AU"/>
              </w:rPr>
              <w:t>,424</w:t>
            </w:r>
            <w:r>
              <w:rPr>
                <w:b/>
                <w:bCs/>
                <w:lang w:eastAsia="en-AU"/>
              </w:rPr>
              <w:fldChar w:fldCharType="end"/>
            </w:r>
          </w:p>
        </w:tc>
        <w:tc>
          <w:tcPr>
            <w:tcW w:w="1418"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b/>
                <w:bCs/>
                <w:lang w:eastAsia="en-AU"/>
              </w:rPr>
            </w:pPr>
            <w:r w:rsidRPr="007043E4">
              <w:rPr>
                <w:b/>
                <w:bCs/>
                <w:lang w:eastAsia="en-AU"/>
              </w:rPr>
              <w:fldChar w:fldCharType="begin"/>
            </w:r>
            <w:r w:rsidRPr="007043E4">
              <w:rPr>
                <w:b/>
                <w:bCs/>
                <w:lang w:eastAsia="en-AU"/>
              </w:rPr>
              <w:instrText xml:space="preserve"> =SUM(ABOVE) </w:instrText>
            </w:r>
            <w:r w:rsidRPr="007043E4">
              <w:rPr>
                <w:b/>
                <w:bCs/>
                <w:lang w:eastAsia="en-AU"/>
              </w:rPr>
              <w:fldChar w:fldCharType="separate"/>
            </w:r>
            <w:r>
              <w:rPr>
                <w:b/>
                <w:bCs/>
                <w:noProof/>
                <w:lang w:eastAsia="en-AU"/>
              </w:rPr>
              <w:t>16,043,197</w:t>
            </w:r>
            <w:r w:rsidRPr="007043E4">
              <w:rPr>
                <w:b/>
                <w:bCs/>
                <w:lang w:eastAsia="en-AU"/>
              </w:rPr>
              <w:fldChar w:fldCharType="end"/>
            </w:r>
          </w:p>
        </w:tc>
      </w:tr>
      <w:tr w:rsidR="008106AD" w:rsidRPr="007043E4" w:rsidTr="008106AD">
        <w:trPr>
          <w:trHeight w:val="255"/>
        </w:trPr>
        <w:tc>
          <w:tcPr>
            <w:tcW w:w="6096" w:type="dxa"/>
            <w:tcBorders>
              <w:top w:val="single" w:sz="4" w:space="0" w:color="E0DCCB" w:themeColor="accent4" w:themeTint="66"/>
              <w:left w:val="nil"/>
              <w:bottom w:val="nil"/>
              <w:right w:val="nil"/>
            </w:tcBorders>
            <w:shd w:val="clear" w:color="auto" w:fill="auto"/>
            <w:vAlign w:val="center"/>
            <w:hideMark/>
          </w:tcPr>
          <w:p w:rsidR="008106AD" w:rsidRPr="007043E4" w:rsidRDefault="008106AD" w:rsidP="00371245">
            <w:pPr>
              <w:pStyle w:val="Financials"/>
              <w:rPr>
                <w:lang w:eastAsia="en-AU"/>
              </w:rPr>
            </w:pPr>
          </w:p>
        </w:tc>
        <w:tc>
          <w:tcPr>
            <w:tcW w:w="850" w:type="dxa"/>
            <w:tcBorders>
              <w:top w:val="single" w:sz="4" w:space="0" w:color="E0DCCB" w:themeColor="accent4" w:themeTint="66"/>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single" w:sz="4" w:space="0" w:color="FFFFFF" w:themeColor="background1"/>
              <w:left w:val="nil"/>
              <w:bottom w:val="nil"/>
              <w:right w:val="nil"/>
            </w:tcBorders>
            <w:shd w:val="clear" w:color="auto" w:fill="E0DCCB" w:themeFill="accent4" w:themeFillTint="66"/>
          </w:tcPr>
          <w:p w:rsidR="008106AD" w:rsidRPr="007043E4" w:rsidRDefault="008106AD" w:rsidP="00C66D47">
            <w:pPr>
              <w:pStyle w:val="Financials"/>
              <w:jc w:val="right"/>
              <w:rPr>
                <w:lang w:eastAsia="en-AU"/>
              </w:rPr>
            </w:pPr>
          </w:p>
        </w:tc>
        <w:tc>
          <w:tcPr>
            <w:tcW w:w="1418" w:type="dxa"/>
            <w:tcBorders>
              <w:top w:val="single" w:sz="4" w:space="0" w:color="E0DCCB" w:themeColor="accent4" w:themeTint="66"/>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r>
      <w:tr w:rsidR="008106AD" w:rsidRPr="007043E4" w:rsidTr="008106AD">
        <w:trPr>
          <w:trHeight w:val="255"/>
        </w:trPr>
        <w:tc>
          <w:tcPr>
            <w:tcW w:w="6096" w:type="dxa"/>
            <w:tcBorders>
              <w:top w:val="nil"/>
              <w:left w:val="nil"/>
              <w:bottom w:val="nil"/>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Income</w:t>
            </w:r>
          </w:p>
        </w:tc>
        <w:tc>
          <w:tcPr>
            <w:tcW w:w="850"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nil"/>
              <w:left w:val="nil"/>
              <w:bottom w:val="nil"/>
              <w:right w:val="nil"/>
            </w:tcBorders>
            <w:shd w:val="clear" w:color="auto" w:fill="E0DCCB" w:themeFill="accent4" w:themeFillTint="66"/>
          </w:tcPr>
          <w:p w:rsidR="008106AD" w:rsidRPr="007043E4" w:rsidRDefault="008106AD" w:rsidP="00C66D47">
            <w:pPr>
              <w:pStyle w:val="Financials"/>
              <w:jc w:val="right"/>
              <w:rPr>
                <w:lang w:eastAsia="en-AU"/>
              </w:rPr>
            </w:pPr>
          </w:p>
        </w:tc>
        <w:tc>
          <w:tcPr>
            <w:tcW w:w="1418"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r>
      <w:tr w:rsidR="008106AD" w:rsidRPr="007043E4" w:rsidTr="008106AD">
        <w:trPr>
          <w:trHeight w:val="255"/>
        </w:trPr>
        <w:tc>
          <w:tcPr>
            <w:tcW w:w="6096" w:type="dxa"/>
            <w:tcBorders>
              <w:top w:val="nil"/>
              <w:left w:val="nil"/>
              <w:bottom w:val="nil"/>
              <w:right w:val="nil"/>
            </w:tcBorders>
            <w:shd w:val="clear" w:color="auto" w:fill="auto"/>
            <w:vAlign w:val="center"/>
            <w:hideMark/>
          </w:tcPr>
          <w:p w:rsidR="008106AD" w:rsidRPr="007043E4" w:rsidRDefault="008106AD" w:rsidP="00371245">
            <w:pPr>
              <w:pStyle w:val="Financials"/>
              <w:rPr>
                <w:i/>
                <w:iCs/>
                <w:lang w:eastAsia="en-AU"/>
              </w:rPr>
            </w:pPr>
            <w:r w:rsidRPr="007043E4">
              <w:rPr>
                <w:i/>
                <w:iCs/>
                <w:lang w:eastAsia="en-AU"/>
              </w:rPr>
              <w:t>Revenue</w:t>
            </w:r>
          </w:p>
        </w:tc>
        <w:tc>
          <w:tcPr>
            <w:tcW w:w="850"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nil"/>
              <w:left w:val="nil"/>
              <w:bottom w:val="nil"/>
              <w:right w:val="nil"/>
            </w:tcBorders>
            <w:shd w:val="clear" w:color="auto" w:fill="E0DCCB" w:themeFill="accent4" w:themeFillTint="66"/>
          </w:tcPr>
          <w:p w:rsidR="008106AD" w:rsidRPr="007043E4" w:rsidRDefault="008106AD" w:rsidP="00C66D47">
            <w:pPr>
              <w:pStyle w:val="Financials"/>
              <w:jc w:val="right"/>
              <w:rPr>
                <w:lang w:eastAsia="en-AU"/>
              </w:rPr>
            </w:pPr>
          </w:p>
        </w:tc>
        <w:tc>
          <w:tcPr>
            <w:tcW w:w="1418"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r>
      <w:tr w:rsidR="008106AD" w:rsidRPr="007043E4" w:rsidTr="008106AD">
        <w:trPr>
          <w:trHeight w:val="270"/>
        </w:trPr>
        <w:tc>
          <w:tcPr>
            <w:tcW w:w="6096" w:type="dxa"/>
            <w:tcBorders>
              <w:top w:val="nil"/>
              <w:left w:val="nil"/>
              <w:bottom w:val="single" w:sz="4" w:space="0" w:color="E0DCCB" w:themeColor="accent4" w:themeTint="66"/>
              <w:right w:val="nil"/>
            </w:tcBorders>
            <w:shd w:val="clear" w:color="auto" w:fill="auto"/>
            <w:vAlign w:val="center"/>
            <w:hideMark/>
          </w:tcPr>
          <w:p w:rsidR="008106AD" w:rsidRPr="007043E4" w:rsidRDefault="008106AD" w:rsidP="00371245">
            <w:pPr>
              <w:pStyle w:val="Financials"/>
              <w:rPr>
                <w:lang w:eastAsia="en-AU"/>
              </w:rPr>
            </w:pPr>
            <w:r w:rsidRPr="007043E4">
              <w:rPr>
                <w:lang w:eastAsia="en-AU"/>
              </w:rPr>
              <w:t>Other revenue</w:t>
            </w:r>
          </w:p>
        </w:tc>
        <w:tc>
          <w:tcPr>
            <w:tcW w:w="850" w:type="dxa"/>
            <w:tcBorders>
              <w:top w:val="nil"/>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lang w:eastAsia="en-AU"/>
              </w:rPr>
            </w:pPr>
            <w:r>
              <w:rPr>
                <w:lang w:eastAsia="en-AU"/>
              </w:rPr>
              <w:t>11</w:t>
            </w:r>
          </w:p>
        </w:tc>
        <w:tc>
          <w:tcPr>
            <w:tcW w:w="1418" w:type="dxa"/>
            <w:tcBorders>
              <w:top w:val="nil"/>
              <w:left w:val="nil"/>
              <w:bottom w:val="single" w:sz="4" w:space="0" w:color="FFFFFF" w:themeColor="background1"/>
              <w:right w:val="nil"/>
            </w:tcBorders>
            <w:shd w:val="clear" w:color="auto" w:fill="E0DCCB" w:themeFill="accent4" w:themeFillTint="66"/>
            <w:vAlign w:val="center"/>
          </w:tcPr>
          <w:p w:rsidR="008106AD" w:rsidRPr="007043E4" w:rsidRDefault="008106AD" w:rsidP="00C66D47">
            <w:pPr>
              <w:pStyle w:val="Financials"/>
              <w:jc w:val="right"/>
              <w:rPr>
                <w:lang w:eastAsia="en-AU"/>
              </w:rPr>
            </w:pPr>
            <w:r>
              <w:rPr>
                <w:lang w:eastAsia="en-AU"/>
              </w:rPr>
              <w:t>20,435</w:t>
            </w:r>
          </w:p>
        </w:tc>
        <w:tc>
          <w:tcPr>
            <w:tcW w:w="1418" w:type="dxa"/>
            <w:tcBorders>
              <w:top w:val="nil"/>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lang w:eastAsia="en-AU"/>
              </w:rPr>
            </w:pPr>
            <w:r>
              <w:rPr>
                <w:lang w:eastAsia="en-AU"/>
              </w:rPr>
              <w:t>87,670</w:t>
            </w:r>
          </w:p>
        </w:tc>
      </w:tr>
      <w:tr w:rsidR="008106AD" w:rsidRPr="007043E4" w:rsidTr="008106AD">
        <w:trPr>
          <w:trHeight w:val="270"/>
        </w:trPr>
        <w:tc>
          <w:tcPr>
            <w:tcW w:w="6096"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Total Revenue</w:t>
            </w:r>
          </w:p>
        </w:tc>
        <w:tc>
          <w:tcPr>
            <w:tcW w:w="850"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106AD" w:rsidRPr="007043E4" w:rsidRDefault="008106AD" w:rsidP="00C66D47">
            <w:pPr>
              <w:pStyle w:val="Financials"/>
              <w:jc w:val="right"/>
              <w:rPr>
                <w:b/>
                <w:bCs/>
                <w:lang w:eastAsia="en-AU"/>
              </w:rPr>
            </w:pPr>
            <w:r w:rsidRPr="005D6BC7">
              <w:rPr>
                <w:b/>
                <w:bCs/>
                <w:lang w:eastAsia="en-AU"/>
              </w:rPr>
              <w:fldChar w:fldCharType="begin"/>
            </w:r>
            <w:r w:rsidRPr="005D6BC7">
              <w:rPr>
                <w:b/>
                <w:bCs/>
                <w:lang w:eastAsia="en-AU"/>
              </w:rPr>
              <w:instrText xml:space="preserve"> =SUM(ABOVE) </w:instrText>
            </w:r>
            <w:r w:rsidRPr="005D6BC7">
              <w:rPr>
                <w:b/>
                <w:bCs/>
                <w:lang w:eastAsia="en-AU"/>
              </w:rPr>
              <w:fldChar w:fldCharType="separate"/>
            </w:r>
            <w:r>
              <w:rPr>
                <w:b/>
                <w:bCs/>
                <w:noProof/>
                <w:lang w:eastAsia="en-AU"/>
              </w:rPr>
              <w:t>20,435</w:t>
            </w:r>
            <w:r w:rsidRPr="005D6BC7">
              <w:rPr>
                <w:b/>
                <w:bCs/>
                <w:lang w:eastAsia="en-AU"/>
              </w:rPr>
              <w:fldChar w:fldCharType="end"/>
            </w:r>
          </w:p>
        </w:tc>
        <w:tc>
          <w:tcPr>
            <w:tcW w:w="1418"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b/>
                <w:bCs/>
                <w:lang w:eastAsia="en-AU"/>
              </w:rPr>
            </w:pPr>
            <w:r w:rsidRPr="007043E4">
              <w:rPr>
                <w:b/>
                <w:bCs/>
                <w:lang w:eastAsia="en-AU"/>
              </w:rPr>
              <w:fldChar w:fldCharType="begin"/>
            </w:r>
            <w:r w:rsidRPr="007043E4">
              <w:rPr>
                <w:b/>
                <w:bCs/>
                <w:lang w:eastAsia="en-AU"/>
              </w:rPr>
              <w:instrText xml:space="preserve"> =SUM(ABOVE) </w:instrText>
            </w:r>
            <w:r w:rsidRPr="007043E4">
              <w:rPr>
                <w:b/>
                <w:bCs/>
                <w:lang w:eastAsia="en-AU"/>
              </w:rPr>
              <w:fldChar w:fldCharType="separate"/>
            </w:r>
            <w:r>
              <w:rPr>
                <w:b/>
                <w:bCs/>
                <w:noProof/>
                <w:lang w:eastAsia="en-AU"/>
              </w:rPr>
              <w:t>87,670</w:t>
            </w:r>
            <w:r w:rsidRPr="007043E4">
              <w:rPr>
                <w:b/>
                <w:bCs/>
                <w:lang w:eastAsia="en-AU"/>
              </w:rPr>
              <w:fldChar w:fldCharType="end"/>
            </w:r>
          </w:p>
        </w:tc>
      </w:tr>
      <w:tr w:rsidR="008106AD" w:rsidRPr="007043E4" w:rsidTr="008106AD">
        <w:trPr>
          <w:trHeight w:val="255"/>
        </w:trPr>
        <w:tc>
          <w:tcPr>
            <w:tcW w:w="6096" w:type="dxa"/>
            <w:tcBorders>
              <w:top w:val="single" w:sz="4" w:space="0" w:color="E0DCCB" w:themeColor="accent4" w:themeTint="66"/>
              <w:left w:val="nil"/>
              <w:bottom w:val="nil"/>
              <w:right w:val="nil"/>
            </w:tcBorders>
            <w:shd w:val="clear" w:color="auto" w:fill="auto"/>
            <w:vAlign w:val="center"/>
            <w:hideMark/>
          </w:tcPr>
          <w:p w:rsidR="008106AD" w:rsidRPr="007043E4" w:rsidRDefault="008106AD" w:rsidP="00371245">
            <w:pPr>
              <w:pStyle w:val="Financials"/>
              <w:rPr>
                <w:lang w:eastAsia="en-AU"/>
              </w:rPr>
            </w:pPr>
          </w:p>
        </w:tc>
        <w:tc>
          <w:tcPr>
            <w:tcW w:w="850" w:type="dxa"/>
            <w:tcBorders>
              <w:top w:val="single" w:sz="4" w:space="0" w:color="E0DCCB" w:themeColor="accent4" w:themeTint="66"/>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single" w:sz="4" w:space="0" w:color="FFFFFF" w:themeColor="background1"/>
              <w:left w:val="nil"/>
              <w:bottom w:val="nil"/>
              <w:right w:val="nil"/>
            </w:tcBorders>
            <w:shd w:val="clear" w:color="auto" w:fill="E0DCCB" w:themeFill="accent4" w:themeFillTint="66"/>
          </w:tcPr>
          <w:p w:rsidR="008106AD" w:rsidRPr="007043E4" w:rsidRDefault="008106AD" w:rsidP="00C66D47">
            <w:pPr>
              <w:pStyle w:val="Financials"/>
              <w:jc w:val="right"/>
              <w:rPr>
                <w:lang w:eastAsia="en-AU"/>
              </w:rPr>
            </w:pPr>
          </w:p>
        </w:tc>
        <w:tc>
          <w:tcPr>
            <w:tcW w:w="1418" w:type="dxa"/>
            <w:tcBorders>
              <w:top w:val="single" w:sz="4" w:space="0" w:color="E0DCCB" w:themeColor="accent4" w:themeTint="66"/>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r>
      <w:tr w:rsidR="008106AD" w:rsidRPr="007043E4" w:rsidTr="008106AD">
        <w:trPr>
          <w:trHeight w:val="255"/>
        </w:trPr>
        <w:tc>
          <w:tcPr>
            <w:tcW w:w="6096" w:type="dxa"/>
            <w:tcBorders>
              <w:top w:val="nil"/>
              <w:left w:val="nil"/>
              <w:right w:val="nil"/>
            </w:tcBorders>
            <w:shd w:val="clear" w:color="auto" w:fill="auto"/>
            <w:vAlign w:val="center"/>
            <w:hideMark/>
          </w:tcPr>
          <w:p w:rsidR="008106AD" w:rsidRPr="007043E4" w:rsidRDefault="008106AD" w:rsidP="00371245">
            <w:pPr>
              <w:pStyle w:val="Financials"/>
              <w:rPr>
                <w:i/>
                <w:iCs/>
                <w:lang w:eastAsia="en-AU"/>
              </w:rPr>
            </w:pPr>
            <w:r w:rsidRPr="007043E4">
              <w:rPr>
                <w:i/>
                <w:iCs/>
                <w:lang w:eastAsia="en-AU"/>
              </w:rPr>
              <w:t>Gains</w:t>
            </w:r>
          </w:p>
        </w:tc>
        <w:tc>
          <w:tcPr>
            <w:tcW w:w="850" w:type="dxa"/>
            <w:tcBorders>
              <w:top w:val="nil"/>
              <w:left w:val="nil"/>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nil"/>
              <w:left w:val="nil"/>
              <w:right w:val="nil"/>
            </w:tcBorders>
            <w:shd w:val="clear" w:color="auto" w:fill="E0DCCB" w:themeFill="accent4" w:themeFillTint="66"/>
          </w:tcPr>
          <w:p w:rsidR="008106AD" w:rsidRPr="007043E4" w:rsidRDefault="008106AD" w:rsidP="00C66D47">
            <w:pPr>
              <w:pStyle w:val="Financials"/>
              <w:jc w:val="right"/>
              <w:rPr>
                <w:lang w:eastAsia="en-AU"/>
              </w:rPr>
            </w:pPr>
          </w:p>
        </w:tc>
        <w:tc>
          <w:tcPr>
            <w:tcW w:w="1418" w:type="dxa"/>
            <w:tcBorders>
              <w:top w:val="nil"/>
              <w:left w:val="nil"/>
              <w:right w:val="nil"/>
            </w:tcBorders>
            <w:shd w:val="clear" w:color="auto" w:fill="auto"/>
            <w:vAlign w:val="center"/>
            <w:hideMark/>
          </w:tcPr>
          <w:p w:rsidR="008106AD" w:rsidRPr="007043E4" w:rsidRDefault="008106AD" w:rsidP="00C66D47">
            <w:pPr>
              <w:pStyle w:val="Financials"/>
              <w:jc w:val="right"/>
              <w:rPr>
                <w:lang w:eastAsia="en-AU"/>
              </w:rPr>
            </w:pPr>
          </w:p>
        </w:tc>
      </w:tr>
      <w:tr w:rsidR="008106AD" w:rsidRPr="007043E4" w:rsidTr="008106AD">
        <w:trPr>
          <w:trHeight w:val="270"/>
        </w:trPr>
        <w:tc>
          <w:tcPr>
            <w:tcW w:w="6096" w:type="dxa"/>
            <w:tcBorders>
              <w:top w:val="nil"/>
              <w:left w:val="nil"/>
              <w:bottom w:val="single" w:sz="4" w:space="0" w:color="E0DCCB" w:themeColor="accent4" w:themeTint="66"/>
              <w:right w:val="nil"/>
            </w:tcBorders>
            <w:shd w:val="clear" w:color="auto" w:fill="auto"/>
            <w:vAlign w:val="center"/>
            <w:hideMark/>
          </w:tcPr>
          <w:p w:rsidR="008106AD" w:rsidRPr="007043E4" w:rsidRDefault="008106AD" w:rsidP="00371245">
            <w:pPr>
              <w:pStyle w:val="Financials"/>
              <w:rPr>
                <w:lang w:eastAsia="en-AU"/>
              </w:rPr>
            </w:pPr>
            <w:r w:rsidRPr="007043E4">
              <w:rPr>
                <w:lang w:eastAsia="en-AU"/>
              </w:rPr>
              <w:t>Gain on disposal of non-current assets</w:t>
            </w:r>
          </w:p>
        </w:tc>
        <w:tc>
          <w:tcPr>
            <w:tcW w:w="850" w:type="dxa"/>
            <w:tcBorders>
              <w:top w:val="nil"/>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lang w:eastAsia="en-AU"/>
              </w:rPr>
            </w:pPr>
            <w:r>
              <w:rPr>
                <w:lang w:eastAsia="en-AU"/>
              </w:rPr>
              <w:t>12</w:t>
            </w:r>
          </w:p>
        </w:tc>
        <w:tc>
          <w:tcPr>
            <w:tcW w:w="1418" w:type="dxa"/>
            <w:tcBorders>
              <w:top w:val="nil"/>
              <w:left w:val="nil"/>
              <w:bottom w:val="single" w:sz="4" w:space="0" w:color="FFFFFF" w:themeColor="background1"/>
              <w:right w:val="nil"/>
            </w:tcBorders>
            <w:shd w:val="clear" w:color="auto" w:fill="E0DCCB" w:themeFill="accent4" w:themeFillTint="66"/>
            <w:vAlign w:val="center"/>
          </w:tcPr>
          <w:p w:rsidR="008106AD" w:rsidRPr="007043E4" w:rsidRDefault="008106AD" w:rsidP="00C66D47">
            <w:pPr>
              <w:pStyle w:val="Financials"/>
              <w:jc w:val="right"/>
              <w:rPr>
                <w:lang w:eastAsia="en-AU"/>
              </w:rPr>
            </w:pPr>
            <w:r>
              <w:rPr>
                <w:lang w:eastAsia="en-AU"/>
              </w:rPr>
              <w:t>9,135</w:t>
            </w:r>
          </w:p>
        </w:tc>
        <w:tc>
          <w:tcPr>
            <w:tcW w:w="1418" w:type="dxa"/>
            <w:tcBorders>
              <w:top w:val="nil"/>
              <w:left w:val="nil"/>
              <w:bottom w:val="single" w:sz="4" w:space="0" w:color="E0DCCB" w:themeColor="accent4" w:themeTint="66"/>
              <w:right w:val="nil"/>
            </w:tcBorders>
            <w:shd w:val="clear" w:color="auto" w:fill="auto"/>
            <w:vAlign w:val="center"/>
            <w:hideMark/>
          </w:tcPr>
          <w:p w:rsidR="008106AD" w:rsidRPr="007043E4" w:rsidRDefault="00E00C64" w:rsidP="00C66D47">
            <w:pPr>
              <w:pStyle w:val="Financials"/>
              <w:jc w:val="right"/>
              <w:rPr>
                <w:lang w:eastAsia="en-AU"/>
              </w:rPr>
            </w:pPr>
            <w:r>
              <w:rPr>
                <w:lang w:eastAsia="en-AU"/>
              </w:rPr>
              <w:t>-</w:t>
            </w:r>
          </w:p>
        </w:tc>
      </w:tr>
      <w:tr w:rsidR="008106AD" w:rsidRPr="007043E4" w:rsidTr="008106AD">
        <w:trPr>
          <w:trHeight w:val="270"/>
        </w:trPr>
        <w:tc>
          <w:tcPr>
            <w:tcW w:w="6096"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Total Gains</w:t>
            </w:r>
          </w:p>
        </w:tc>
        <w:tc>
          <w:tcPr>
            <w:tcW w:w="850"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106AD" w:rsidRPr="007043E4" w:rsidRDefault="008106AD" w:rsidP="00C66D47">
            <w:pPr>
              <w:pStyle w:val="Financials"/>
              <w:jc w:val="right"/>
              <w:rPr>
                <w:b/>
                <w:bCs/>
                <w:lang w:eastAsia="en-AU"/>
              </w:rPr>
            </w:pPr>
            <w:r>
              <w:rPr>
                <w:b/>
                <w:bCs/>
                <w:lang w:eastAsia="en-AU"/>
              </w:rPr>
              <w:fldChar w:fldCharType="begin"/>
            </w:r>
            <w:r>
              <w:rPr>
                <w:b/>
                <w:bCs/>
                <w:lang w:eastAsia="en-AU"/>
              </w:rPr>
              <w:instrText xml:space="preserve"> =SUM(ABOVE) </w:instrText>
            </w:r>
            <w:r>
              <w:rPr>
                <w:b/>
                <w:bCs/>
                <w:lang w:eastAsia="en-AU"/>
              </w:rPr>
              <w:fldChar w:fldCharType="separate"/>
            </w:r>
            <w:r>
              <w:rPr>
                <w:b/>
                <w:bCs/>
                <w:noProof/>
                <w:lang w:eastAsia="en-AU"/>
              </w:rPr>
              <w:t>9,135</w:t>
            </w:r>
            <w:r>
              <w:rPr>
                <w:b/>
                <w:bCs/>
                <w:lang w:eastAsia="en-AU"/>
              </w:rPr>
              <w:fldChar w:fldCharType="end"/>
            </w:r>
          </w:p>
        </w:tc>
        <w:tc>
          <w:tcPr>
            <w:tcW w:w="1418"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E00C64" w:rsidP="00C66D47">
            <w:pPr>
              <w:pStyle w:val="Financials"/>
              <w:jc w:val="right"/>
              <w:rPr>
                <w:b/>
                <w:bCs/>
                <w:lang w:eastAsia="en-AU"/>
              </w:rPr>
            </w:pPr>
            <w:r>
              <w:rPr>
                <w:b/>
                <w:bCs/>
                <w:lang w:eastAsia="en-AU"/>
              </w:rPr>
              <w:t>-</w:t>
            </w:r>
          </w:p>
        </w:tc>
      </w:tr>
      <w:tr w:rsidR="008106AD" w:rsidRPr="007043E4" w:rsidTr="008106AD">
        <w:trPr>
          <w:trHeight w:val="270"/>
        </w:trPr>
        <w:tc>
          <w:tcPr>
            <w:tcW w:w="6096"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Total income other than income from State Government</w:t>
            </w:r>
          </w:p>
        </w:tc>
        <w:tc>
          <w:tcPr>
            <w:tcW w:w="850"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106AD" w:rsidRPr="007043E4" w:rsidRDefault="008106AD" w:rsidP="00C66D47">
            <w:pPr>
              <w:pStyle w:val="Financials"/>
              <w:jc w:val="right"/>
              <w:rPr>
                <w:b/>
                <w:bCs/>
                <w:lang w:eastAsia="en-AU"/>
              </w:rPr>
            </w:pPr>
            <w:r>
              <w:rPr>
                <w:b/>
                <w:bCs/>
                <w:lang w:eastAsia="en-AU"/>
              </w:rPr>
              <w:t>29,570</w:t>
            </w:r>
          </w:p>
        </w:tc>
        <w:tc>
          <w:tcPr>
            <w:tcW w:w="1418"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b/>
                <w:bCs/>
                <w:lang w:eastAsia="en-AU"/>
              </w:rPr>
            </w:pPr>
            <w:r>
              <w:rPr>
                <w:b/>
                <w:bCs/>
                <w:lang w:eastAsia="en-AU"/>
              </w:rPr>
              <w:t>87,670</w:t>
            </w:r>
          </w:p>
        </w:tc>
      </w:tr>
      <w:tr w:rsidR="008106AD" w:rsidRPr="007043E4" w:rsidTr="008106AD">
        <w:trPr>
          <w:trHeight w:val="270"/>
        </w:trPr>
        <w:tc>
          <w:tcPr>
            <w:tcW w:w="6096" w:type="dxa"/>
            <w:tcBorders>
              <w:top w:val="single" w:sz="4" w:space="0" w:color="E0DCCB" w:themeColor="accent4" w:themeTint="66"/>
              <w:left w:val="nil"/>
              <w:bottom w:val="single" w:sz="4" w:space="0" w:color="B2A97E" w:themeColor="accent4"/>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NET COST OF SERVICES</w:t>
            </w:r>
          </w:p>
        </w:tc>
        <w:tc>
          <w:tcPr>
            <w:tcW w:w="850" w:type="dxa"/>
            <w:tcBorders>
              <w:top w:val="single" w:sz="4" w:space="0" w:color="E0DCCB" w:themeColor="accent4" w:themeTint="66"/>
              <w:left w:val="nil"/>
              <w:bottom w:val="single" w:sz="4" w:space="0" w:color="B2A97E" w:themeColor="accent4"/>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8106AD" w:rsidRPr="007043E4" w:rsidRDefault="008106AD" w:rsidP="00C66D47">
            <w:pPr>
              <w:pStyle w:val="Financials"/>
              <w:jc w:val="right"/>
              <w:rPr>
                <w:b/>
                <w:bCs/>
                <w:highlight w:val="yellow"/>
                <w:lang w:eastAsia="en-AU"/>
              </w:rPr>
            </w:pPr>
            <w:r>
              <w:rPr>
                <w:b/>
                <w:bCs/>
                <w:lang w:eastAsia="en-AU"/>
              </w:rPr>
              <w:t>14,530,854</w:t>
            </w:r>
          </w:p>
        </w:tc>
        <w:tc>
          <w:tcPr>
            <w:tcW w:w="1418" w:type="dxa"/>
            <w:tcBorders>
              <w:top w:val="single" w:sz="4" w:space="0" w:color="E0DCCB" w:themeColor="accent4" w:themeTint="66"/>
              <w:left w:val="nil"/>
              <w:bottom w:val="single" w:sz="4" w:space="0" w:color="B2A97E" w:themeColor="accent4"/>
              <w:right w:val="nil"/>
            </w:tcBorders>
            <w:shd w:val="clear" w:color="auto" w:fill="auto"/>
            <w:vAlign w:val="center"/>
            <w:hideMark/>
          </w:tcPr>
          <w:p w:rsidR="008106AD" w:rsidRPr="007043E4" w:rsidRDefault="008106AD" w:rsidP="00C66D47">
            <w:pPr>
              <w:pStyle w:val="Financials"/>
              <w:jc w:val="right"/>
              <w:rPr>
                <w:b/>
                <w:bCs/>
                <w:lang w:eastAsia="en-AU"/>
              </w:rPr>
            </w:pPr>
            <w:r>
              <w:rPr>
                <w:b/>
                <w:bCs/>
                <w:lang w:eastAsia="en-AU"/>
              </w:rPr>
              <w:t>15,955,527</w:t>
            </w:r>
          </w:p>
        </w:tc>
      </w:tr>
      <w:tr w:rsidR="008106AD" w:rsidRPr="007043E4" w:rsidTr="008106AD">
        <w:trPr>
          <w:trHeight w:val="270"/>
        </w:trPr>
        <w:tc>
          <w:tcPr>
            <w:tcW w:w="6096" w:type="dxa"/>
            <w:tcBorders>
              <w:top w:val="single" w:sz="4" w:space="0" w:color="B2A97E" w:themeColor="accent4"/>
              <w:left w:val="nil"/>
              <w:bottom w:val="nil"/>
              <w:right w:val="nil"/>
            </w:tcBorders>
            <w:shd w:val="clear" w:color="auto" w:fill="auto"/>
            <w:vAlign w:val="center"/>
            <w:hideMark/>
          </w:tcPr>
          <w:p w:rsidR="008106AD" w:rsidRPr="007043E4" w:rsidRDefault="008106AD" w:rsidP="00371245">
            <w:pPr>
              <w:pStyle w:val="Financials"/>
              <w:rPr>
                <w:lang w:eastAsia="en-AU"/>
              </w:rPr>
            </w:pPr>
          </w:p>
        </w:tc>
        <w:tc>
          <w:tcPr>
            <w:tcW w:w="850" w:type="dxa"/>
            <w:tcBorders>
              <w:top w:val="single" w:sz="4" w:space="0" w:color="B2A97E" w:themeColor="accent4"/>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single" w:sz="4" w:space="0" w:color="B2A97E" w:themeColor="accent4"/>
              <w:left w:val="nil"/>
              <w:bottom w:val="nil"/>
              <w:right w:val="nil"/>
            </w:tcBorders>
            <w:shd w:val="clear" w:color="auto" w:fill="E0DCCB" w:themeFill="accent4" w:themeFillTint="66"/>
          </w:tcPr>
          <w:p w:rsidR="008106AD" w:rsidRPr="007043E4" w:rsidRDefault="008106AD" w:rsidP="00C66D47">
            <w:pPr>
              <w:pStyle w:val="Financials"/>
              <w:jc w:val="right"/>
              <w:rPr>
                <w:lang w:eastAsia="en-AU"/>
              </w:rPr>
            </w:pPr>
          </w:p>
        </w:tc>
        <w:tc>
          <w:tcPr>
            <w:tcW w:w="1418" w:type="dxa"/>
            <w:tcBorders>
              <w:top w:val="single" w:sz="4" w:space="0" w:color="B2A97E" w:themeColor="accent4"/>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r>
      <w:tr w:rsidR="008106AD" w:rsidRPr="007043E4" w:rsidTr="008106AD">
        <w:trPr>
          <w:trHeight w:val="255"/>
        </w:trPr>
        <w:tc>
          <w:tcPr>
            <w:tcW w:w="6096" w:type="dxa"/>
            <w:tcBorders>
              <w:top w:val="nil"/>
              <w:left w:val="nil"/>
              <w:bottom w:val="nil"/>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Income from State Government</w:t>
            </w:r>
          </w:p>
        </w:tc>
        <w:tc>
          <w:tcPr>
            <w:tcW w:w="850"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r>
              <w:rPr>
                <w:lang w:eastAsia="en-AU"/>
              </w:rPr>
              <w:t>13</w:t>
            </w:r>
          </w:p>
        </w:tc>
        <w:tc>
          <w:tcPr>
            <w:tcW w:w="1418" w:type="dxa"/>
            <w:tcBorders>
              <w:top w:val="nil"/>
              <w:left w:val="nil"/>
              <w:bottom w:val="nil"/>
              <w:right w:val="nil"/>
            </w:tcBorders>
            <w:shd w:val="clear" w:color="auto" w:fill="E0DCCB" w:themeFill="accent4" w:themeFillTint="66"/>
          </w:tcPr>
          <w:p w:rsidR="008106AD" w:rsidRPr="007043E4" w:rsidRDefault="008106AD" w:rsidP="00C66D47">
            <w:pPr>
              <w:pStyle w:val="Financials"/>
              <w:jc w:val="right"/>
              <w:rPr>
                <w:lang w:eastAsia="en-AU"/>
              </w:rPr>
            </w:pPr>
          </w:p>
        </w:tc>
        <w:tc>
          <w:tcPr>
            <w:tcW w:w="1418"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r>
      <w:tr w:rsidR="008106AD" w:rsidRPr="007043E4" w:rsidTr="008106AD">
        <w:trPr>
          <w:trHeight w:val="255"/>
        </w:trPr>
        <w:tc>
          <w:tcPr>
            <w:tcW w:w="6096" w:type="dxa"/>
            <w:tcBorders>
              <w:top w:val="nil"/>
              <w:left w:val="nil"/>
              <w:bottom w:val="nil"/>
              <w:right w:val="nil"/>
            </w:tcBorders>
            <w:shd w:val="clear" w:color="auto" w:fill="auto"/>
            <w:vAlign w:val="center"/>
            <w:hideMark/>
          </w:tcPr>
          <w:p w:rsidR="008106AD" w:rsidRPr="009952CE" w:rsidRDefault="008106AD" w:rsidP="00371245">
            <w:pPr>
              <w:pStyle w:val="Financials"/>
            </w:pPr>
            <w:r w:rsidRPr="009952CE">
              <w:t>Service appropriation</w:t>
            </w:r>
          </w:p>
        </w:tc>
        <w:tc>
          <w:tcPr>
            <w:tcW w:w="850"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nil"/>
              <w:left w:val="nil"/>
              <w:bottom w:val="nil"/>
              <w:right w:val="nil"/>
            </w:tcBorders>
            <w:shd w:val="clear" w:color="auto" w:fill="E0DCCB" w:themeFill="accent4" w:themeFillTint="66"/>
            <w:vAlign w:val="center"/>
          </w:tcPr>
          <w:p w:rsidR="008106AD" w:rsidRPr="007043E4" w:rsidRDefault="008106AD" w:rsidP="00C66D47">
            <w:pPr>
              <w:pStyle w:val="Financials"/>
              <w:jc w:val="right"/>
              <w:rPr>
                <w:lang w:eastAsia="en-AU"/>
              </w:rPr>
            </w:pPr>
            <w:r>
              <w:rPr>
                <w:lang w:eastAsia="en-AU"/>
              </w:rPr>
              <w:t>14,996,000</w:t>
            </w:r>
          </w:p>
        </w:tc>
        <w:tc>
          <w:tcPr>
            <w:tcW w:w="1418" w:type="dxa"/>
            <w:tcBorders>
              <w:top w:val="nil"/>
              <w:left w:val="nil"/>
              <w:bottom w:val="nil"/>
              <w:right w:val="nil"/>
            </w:tcBorders>
            <w:shd w:val="clear" w:color="auto" w:fill="auto"/>
            <w:vAlign w:val="center"/>
            <w:hideMark/>
          </w:tcPr>
          <w:p w:rsidR="008106AD" w:rsidRPr="007043E4" w:rsidRDefault="008106AD" w:rsidP="00C66D47">
            <w:pPr>
              <w:pStyle w:val="Financials"/>
              <w:jc w:val="right"/>
              <w:rPr>
                <w:lang w:eastAsia="en-AU"/>
              </w:rPr>
            </w:pPr>
            <w:r>
              <w:rPr>
                <w:lang w:eastAsia="en-AU"/>
              </w:rPr>
              <w:t>14,533,000</w:t>
            </w:r>
          </w:p>
        </w:tc>
      </w:tr>
      <w:tr w:rsidR="008106AD" w:rsidRPr="007043E4" w:rsidTr="008106AD">
        <w:trPr>
          <w:trHeight w:val="255"/>
        </w:trPr>
        <w:tc>
          <w:tcPr>
            <w:tcW w:w="6096" w:type="dxa"/>
            <w:tcBorders>
              <w:top w:val="nil"/>
              <w:left w:val="nil"/>
              <w:right w:val="nil"/>
            </w:tcBorders>
            <w:shd w:val="clear" w:color="auto" w:fill="auto"/>
            <w:vAlign w:val="center"/>
            <w:hideMark/>
          </w:tcPr>
          <w:p w:rsidR="008106AD" w:rsidRPr="009952CE" w:rsidRDefault="008106AD" w:rsidP="00371245">
            <w:pPr>
              <w:pStyle w:val="Financials"/>
            </w:pPr>
            <w:r w:rsidRPr="009952CE">
              <w:t>Services received free of charge</w:t>
            </w:r>
          </w:p>
        </w:tc>
        <w:tc>
          <w:tcPr>
            <w:tcW w:w="850" w:type="dxa"/>
            <w:tcBorders>
              <w:top w:val="nil"/>
              <w:left w:val="nil"/>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nil"/>
              <w:left w:val="nil"/>
              <w:right w:val="nil"/>
            </w:tcBorders>
            <w:shd w:val="clear" w:color="auto" w:fill="E0DCCB" w:themeFill="accent4" w:themeFillTint="66"/>
            <w:vAlign w:val="center"/>
          </w:tcPr>
          <w:p w:rsidR="008106AD" w:rsidRPr="007043E4" w:rsidRDefault="008106AD" w:rsidP="00C66D47">
            <w:pPr>
              <w:pStyle w:val="Financials"/>
              <w:jc w:val="right"/>
              <w:rPr>
                <w:lang w:eastAsia="en-AU"/>
              </w:rPr>
            </w:pPr>
            <w:r>
              <w:rPr>
                <w:lang w:eastAsia="en-AU"/>
              </w:rPr>
              <w:t>78,901</w:t>
            </w:r>
          </w:p>
        </w:tc>
        <w:tc>
          <w:tcPr>
            <w:tcW w:w="1418" w:type="dxa"/>
            <w:tcBorders>
              <w:top w:val="nil"/>
              <w:left w:val="nil"/>
              <w:right w:val="nil"/>
            </w:tcBorders>
            <w:shd w:val="clear" w:color="auto" w:fill="auto"/>
            <w:vAlign w:val="center"/>
            <w:hideMark/>
          </w:tcPr>
          <w:p w:rsidR="008106AD" w:rsidRPr="007043E4" w:rsidRDefault="008106AD" w:rsidP="00C66D47">
            <w:pPr>
              <w:pStyle w:val="Financials"/>
              <w:jc w:val="right"/>
              <w:rPr>
                <w:lang w:eastAsia="en-AU"/>
              </w:rPr>
            </w:pPr>
            <w:r>
              <w:rPr>
                <w:lang w:eastAsia="en-AU"/>
              </w:rPr>
              <w:t>100,144</w:t>
            </w:r>
          </w:p>
        </w:tc>
      </w:tr>
      <w:tr w:rsidR="008106AD" w:rsidRPr="007043E4" w:rsidTr="008106AD">
        <w:trPr>
          <w:trHeight w:val="270"/>
        </w:trPr>
        <w:tc>
          <w:tcPr>
            <w:tcW w:w="6096" w:type="dxa"/>
            <w:tcBorders>
              <w:top w:val="nil"/>
              <w:left w:val="nil"/>
              <w:bottom w:val="single" w:sz="4" w:space="0" w:color="E0DCCB" w:themeColor="accent4" w:themeTint="66"/>
              <w:right w:val="nil"/>
            </w:tcBorders>
            <w:shd w:val="clear" w:color="auto" w:fill="auto"/>
            <w:vAlign w:val="center"/>
            <w:hideMark/>
          </w:tcPr>
          <w:p w:rsidR="008106AD" w:rsidRPr="009952CE" w:rsidRDefault="008106AD" w:rsidP="00371245">
            <w:pPr>
              <w:pStyle w:val="Financials"/>
            </w:pPr>
            <w:r w:rsidRPr="009952CE">
              <w:t>Royalties for Regions Fund</w:t>
            </w:r>
          </w:p>
        </w:tc>
        <w:tc>
          <w:tcPr>
            <w:tcW w:w="850" w:type="dxa"/>
            <w:tcBorders>
              <w:top w:val="nil"/>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nil"/>
              <w:left w:val="nil"/>
              <w:bottom w:val="single" w:sz="4" w:space="0" w:color="FFFFFF" w:themeColor="background1"/>
              <w:right w:val="nil"/>
            </w:tcBorders>
            <w:shd w:val="clear" w:color="auto" w:fill="E0DCCB" w:themeFill="accent4" w:themeFillTint="66"/>
            <w:vAlign w:val="center"/>
          </w:tcPr>
          <w:p w:rsidR="008106AD" w:rsidRPr="007043E4" w:rsidRDefault="00E00C64" w:rsidP="00C66D47">
            <w:pPr>
              <w:pStyle w:val="Financials"/>
              <w:jc w:val="right"/>
              <w:rPr>
                <w:lang w:eastAsia="en-AU"/>
              </w:rPr>
            </w:pPr>
            <w:r>
              <w:rPr>
                <w:lang w:eastAsia="en-AU"/>
              </w:rPr>
              <w:t>-</w:t>
            </w:r>
          </w:p>
        </w:tc>
        <w:tc>
          <w:tcPr>
            <w:tcW w:w="1418" w:type="dxa"/>
            <w:tcBorders>
              <w:top w:val="nil"/>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lang w:eastAsia="en-AU"/>
              </w:rPr>
            </w:pPr>
            <w:r>
              <w:rPr>
                <w:lang w:eastAsia="en-AU"/>
              </w:rPr>
              <w:t>390,000</w:t>
            </w:r>
          </w:p>
        </w:tc>
      </w:tr>
      <w:tr w:rsidR="008106AD" w:rsidRPr="007043E4" w:rsidTr="008106AD">
        <w:trPr>
          <w:trHeight w:val="270"/>
        </w:trPr>
        <w:tc>
          <w:tcPr>
            <w:tcW w:w="6096"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Total income from State Government</w:t>
            </w:r>
          </w:p>
        </w:tc>
        <w:tc>
          <w:tcPr>
            <w:tcW w:w="850"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106AD" w:rsidRPr="007043E4" w:rsidRDefault="008106AD" w:rsidP="00C66D47">
            <w:pPr>
              <w:pStyle w:val="Financials"/>
              <w:jc w:val="right"/>
              <w:rPr>
                <w:b/>
                <w:bCs/>
                <w:lang w:eastAsia="en-AU"/>
              </w:rPr>
            </w:pPr>
            <w:r>
              <w:rPr>
                <w:b/>
                <w:bCs/>
                <w:lang w:eastAsia="en-AU"/>
              </w:rPr>
              <w:fldChar w:fldCharType="begin"/>
            </w:r>
            <w:r>
              <w:rPr>
                <w:b/>
                <w:bCs/>
                <w:lang w:eastAsia="en-AU"/>
              </w:rPr>
              <w:instrText xml:space="preserve"> =SUM(ABOVE) </w:instrText>
            </w:r>
            <w:r>
              <w:rPr>
                <w:b/>
                <w:bCs/>
                <w:lang w:eastAsia="en-AU"/>
              </w:rPr>
              <w:fldChar w:fldCharType="separate"/>
            </w:r>
            <w:r>
              <w:rPr>
                <w:b/>
                <w:bCs/>
                <w:noProof/>
                <w:lang w:eastAsia="en-AU"/>
              </w:rPr>
              <w:t>15,074,901</w:t>
            </w:r>
            <w:r>
              <w:rPr>
                <w:b/>
                <w:bCs/>
                <w:lang w:eastAsia="en-AU"/>
              </w:rPr>
              <w:fldChar w:fldCharType="end"/>
            </w:r>
          </w:p>
        </w:tc>
        <w:tc>
          <w:tcPr>
            <w:tcW w:w="1418"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106AD" w:rsidRPr="007043E4" w:rsidRDefault="008106AD" w:rsidP="00C66D47">
            <w:pPr>
              <w:pStyle w:val="Financials"/>
              <w:jc w:val="right"/>
              <w:rPr>
                <w:b/>
                <w:bCs/>
                <w:lang w:eastAsia="en-AU"/>
              </w:rPr>
            </w:pPr>
            <w:r w:rsidRPr="007043E4">
              <w:rPr>
                <w:b/>
                <w:bCs/>
                <w:lang w:eastAsia="en-AU"/>
              </w:rPr>
              <w:fldChar w:fldCharType="begin"/>
            </w:r>
            <w:r w:rsidRPr="007043E4">
              <w:rPr>
                <w:b/>
                <w:bCs/>
                <w:lang w:eastAsia="en-AU"/>
              </w:rPr>
              <w:instrText xml:space="preserve"> =SUM(ABOVE) </w:instrText>
            </w:r>
            <w:r w:rsidRPr="007043E4">
              <w:rPr>
                <w:b/>
                <w:bCs/>
                <w:lang w:eastAsia="en-AU"/>
              </w:rPr>
              <w:fldChar w:fldCharType="separate"/>
            </w:r>
            <w:r>
              <w:rPr>
                <w:b/>
                <w:bCs/>
                <w:noProof/>
                <w:lang w:eastAsia="en-AU"/>
              </w:rPr>
              <w:t>15,023,144</w:t>
            </w:r>
            <w:r w:rsidRPr="007043E4">
              <w:rPr>
                <w:b/>
                <w:bCs/>
                <w:lang w:eastAsia="en-AU"/>
              </w:rPr>
              <w:fldChar w:fldCharType="end"/>
            </w:r>
          </w:p>
        </w:tc>
      </w:tr>
      <w:tr w:rsidR="008106AD" w:rsidRPr="007043E4" w:rsidTr="008106AD">
        <w:trPr>
          <w:trHeight w:val="270"/>
        </w:trPr>
        <w:tc>
          <w:tcPr>
            <w:tcW w:w="6096" w:type="dxa"/>
            <w:tcBorders>
              <w:top w:val="single" w:sz="4" w:space="0" w:color="E0DCCB" w:themeColor="accent4" w:themeTint="66"/>
              <w:left w:val="nil"/>
              <w:bottom w:val="single" w:sz="4" w:space="0" w:color="B2A97E" w:themeColor="accent4"/>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SURPLUS/(DEFICIT) FOR THE PERIOD</w:t>
            </w:r>
          </w:p>
        </w:tc>
        <w:tc>
          <w:tcPr>
            <w:tcW w:w="850" w:type="dxa"/>
            <w:tcBorders>
              <w:top w:val="single" w:sz="4" w:space="0" w:color="E0DCCB" w:themeColor="accent4" w:themeTint="66"/>
              <w:left w:val="nil"/>
              <w:bottom w:val="single" w:sz="4" w:space="0" w:color="B2A97E" w:themeColor="accent4"/>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8106AD" w:rsidRPr="007043E4" w:rsidRDefault="008106AD" w:rsidP="00C66D47">
            <w:pPr>
              <w:pStyle w:val="Financials"/>
              <w:jc w:val="right"/>
              <w:rPr>
                <w:b/>
                <w:bCs/>
                <w:highlight w:val="yellow"/>
                <w:lang w:eastAsia="en-AU"/>
              </w:rPr>
            </w:pPr>
            <w:r>
              <w:rPr>
                <w:b/>
                <w:bCs/>
                <w:lang w:eastAsia="en-AU"/>
              </w:rPr>
              <w:t>544,047</w:t>
            </w:r>
          </w:p>
        </w:tc>
        <w:tc>
          <w:tcPr>
            <w:tcW w:w="1418" w:type="dxa"/>
            <w:tcBorders>
              <w:top w:val="single" w:sz="4" w:space="0" w:color="E0DCCB" w:themeColor="accent4" w:themeTint="66"/>
              <w:left w:val="nil"/>
              <w:bottom w:val="single" w:sz="4" w:space="0" w:color="B2A97E" w:themeColor="accent4"/>
              <w:right w:val="nil"/>
            </w:tcBorders>
            <w:shd w:val="clear" w:color="auto" w:fill="auto"/>
            <w:vAlign w:val="center"/>
            <w:hideMark/>
          </w:tcPr>
          <w:p w:rsidR="008106AD" w:rsidRPr="007043E4" w:rsidRDefault="008106AD" w:rsidP="00C66D47">
            <w:pPr>
              <w:pStyle w:val="Financials"/>
              <w:jc w:val="right"/>
              <w:rPr>
                <w:b/>
                <w:bCs/>
                <w:lang w:eastAsia="en-AU"/>
              </w:rPr>
            </w:pPr>
            <w:r w:rsidRPr="007043E4">
              <w:rPr>
                <w:b/>
                <w:bCs/>
                <w:lang w:eastAsia="en-AU"/>
              </w:rPr>
              <w:t>(</w:t>
            </w:r>
            <w:r>
              <w:rPr>
                <w:b/>
                <w:bCs/>
                <w:lang w:eastAsia="en-AU"/>
              </w:rPr>
              <w:t>932,383</w:t>
            </w:r>
            <w:r w:rsidRPr="007043E4">
              <w:rPr>
                <w:b/>
                <w:bCs/>
                <w:lang w:eastAsia="en-AU"/>
              </w:rPr>
              <w:t>)</w:t>
            </w:r>
          </w:p>
        </w:tc>
      </w:tr>
      <w:tr w:rsidR="008106AD" w:rsidRPr="007043E4" w:rsidTr="008106AD">
        <w:trPr>
          <w:trHeight w:val="285"/>
        </w:trPr>
        <w:tc>
          <w:tcPr>
            <w:tcW w:w="6096" w:type="dxa"/>
            <w:tcBorders>
              <w:top w:val="single" w:sz="4" w:space="0" w:color="B2A97E" w:themeColor="accent4"/>
              <w:left w:val="nil"/>
              <w:bottom w:val="single" w:sz="4" w:space="0" w:color="B2A97E" w:themeColor="accent4"/>
              <w:right w:val="nil"/>
            </w:tcBorders>
            <w:shd w:val="clear" w:color="auto" w:fill="auto"/>
            <w:vAlign w:val="center"/>
            <w:hideMark/>
          </w:tcPr>
          <w:p w:rsidR="008106AD" w:rsidRPr="007043E4" w:rsidRDefault="008106AD" w:rsidP="00371245">
            <w:pPr>
              <w:pStyle w:val="Financials"/>
              <w:rPr>
                <w:b/>
                <w:bCs/>
                <w:lang w:eastAsia="en-AU"/>
              </w:rPr>
            </w:pPr>
            <w:r w:rsidRPr="007043E4">
              <w:rPr>
                <w:b/>
                <w:bCs/>
                <w:lang w:eastAsia="en-AU"/>
              </w:rPr>
              <w:t>TOTAL COMPREHENSIVE INCOME FOR THE PERIOD</w:t>
            </w:r>
          </w:p>
        </w:tc>
        <w:tc>
          <w:tcPr>
            <w:tcW w:w="850" w:type="dxa"/>
            <w:tcBorders>
              <w:top w:val="single" w:sz="4" w:space="0" w:color="B2A97E" w:themeColor="accent4"/>
              <w:left w:val="nil"/>
              <w:bottom w:val="single" w:sz="4" w:space="0" w:color="B2A97E" w:themeColor="accent4"/>
              <w:right w:val="nil"/>
            </w:tcBorders>
            <w:shd w:val="clear" w:color="auto" w:fill="auto"/>
            <w:vAlign w:val="center"/>
            <w:hideMark/>
          </w:tcPr>
          <w:p w:rsidR="008106AD" w:rsidRPr="007043E4" w:rsidRDefault="008106AD" w:rsidP="00C66D47">
            <w:pPr>
              <w:pStyle w:val="Financials"/>
              <w:jc w:val="right"/>
              <w:rPr>
                <w:lang w:eastAsia="en-AU"/>
              </w:rPr>
            </w:pPr>
          </w:p>
        </w:tc>
        <w:tc>
          <w:tcPr>
            <w:tcW w:w="1418" w:type="dxa"/>
            <w:tcBorders>
              <w:top w:val="single" w:sz="4" w:space="0" w:color="B2A97E" w:themeColor="accent4"/>
              <w:left w:val="nil"/>
              <w:bottom w:val="single" w:sz="4" w:space="0" w:color="B2A97E" w:themeColor="accent4"/>
              <w:right w:val="nil"/>
            </w:tcBorders>
            <w:shd w:val="clear" w:color="auto" w:fill="E0DCCB" w:themeFill="accent4" w:themeFillTint="66"/>
            <w:vAlign w:val="center"/>
          </w:tcPr>
          <w:p w:rsidR="008106AD" w:rsidRPr="007043E4" w:rsidRDefault="008106AD" w:rsidP="00C66D47">
            <w:pPr>
              <w:pStyle w:val="Financials"/>
              <w:jc w:val="right"/>
              <w:rPr>
                <w:b/>
                <w:bCs/>
                <w:highlight w:val="yellow"/>
                <w:lang w:eastAsia="en-AU"/>
              </w:rPr>
            </w:pPr>
            <w:r>
              <w:rPr>
                <w:b/>
                <w:bCs/>
                <w:lang w:eastAsia="en-AU"/>
              </w:rPr>
              <w:t>544,047</w:t>
            </w:r>
          </w:p>
        </w:tc>
        <w:tc>
          <w:tcPr>
            <w:tcW w:w="1418" w:type="dxa"/>
            <w:tcBorders>
              <w:top w:val="single" w:sz="4" w:space="0" w:color="B2A97E" w:themeColor="accent4"/>
              <w:left w:val="nil"/>
              <w:bottom w:val="single" w:sz="4" w:space="0" w:color="B2A97E" w:themeColor="accent4"/>
              <w:right w:val="nil"/>
            </w:tcBorders>
            <w:shd w:val="clear" w:color="auto" w:fill="auto"/>
            <w:vAlign w:val="center"/>
            <w:hideMark/>
          </w:tcPr>
          <w:p w:rsidR="008106AD" w:rsidRPr="007043E4" w:rsidRDefault="008106AD" w:rsidP="00C66D47">
            <w:pPr>
              <w:pStyle w:val="Financials"/>
              <w:jc w:val="right"/>
              <w:rPr>
                <w:b/>
                <w:bCs/>
                <w:lang w:eastAsia="en-AU"/>
              </w:rPr>
            </w:pPr>
            <w:r w:rsidRPr="007043E4">
              <w:rPr>
                <w:b/>
                <w:bCs/>
                <w:lang w:eastAsia="en-AU"/>
              </w:rPr>
              <w:t>(</w:t>
            </w:r>
            <w:r>
              <w:rPr>
                <w:b/>
                <w:bCs/>
                <w:lang w:eastAsia="en-AU"/>
              </w:rPr>
              <w:t>932,383</w:t>
            </w:r>
            <w:r w:rsidRPr="007043E4">
              <w:rPr>
                <w:b/>
                <w:bCs/>
                <w:lang w:eastAsia="en-AU"/>
              </w:rPr>
              <w:t>)</w:t>
            </w:r>
          </w:p>
        </w:tc>
      </w:tr>
    </w:tbl>
    <w:p w:rsidR="008106AD" w:rsidRDefault="008106AD" w:rsidP="008106AD">
      <w:pPr>
        <w:rPr>
          <w:rFonts w:ascii="Arial" w:hAnsi="Arial" w:cs="Arial"/>
        </w:rPr>
      </w:pPr>
    </w:p>
    <w:p w:rsidR="00C66D47" w:rsidRPr="00B856E3" w:rsidRDefault="00C66D47" w:rsidP="00C66D47">
      <w:pPr>
        <w:spacing w:after="0" w:line="240" w:lineRule="auto"/>
        <w:rPr>
          <w:sz w:val="20"/>
          <w:szCs w:val="20"/>
        </w:rPr>
      </w:pPr>
      <w:r w:rsidRPr="00B856E3">
        <w:rPr>
          <w:sz w:val="20"/>
          <w:szCs w:val="20"/>
        </w:rPr>
        <w:t>See also the ‘Schedule of Income and Expenses by Service’.</w:t>
      </w:r>
    </w:p>
    <w:p w:rsidR="009A5B6D" w:rsidRPr="00B856E3" w:rsidRDefault="00C66D47" w:rsidP="00C66D47">
      <w:pPr>
        <w:spacing w:after="0" w:line="240" w:lineRule="auto"/>
        <w:rPr>
          <w:sz w:val="20"/>
          <w:szCs w:val="20"/>
        </w:rPr>
      </w:pPr>
      <w:r w:rsidRPr="00B856E3">
        <w:rPr>
          <w:sz w:val="20"/>
          <w:szCs w:val="20"/>
        </w:rPr>
        <w:t>The Statement of Comprehensive Income should be read in conjunction with the accompanying notes.</w:t>
      </w:r>
    </w:p>
    <w:p w:rsidR="009A5B6D" w:rsidRDefault="009A5B6D" w:rsidP="00087037"/>
    <w:p w:rsidR="00B856E3" w:rsidRDefault="00B856E3">
      <w:pPr>
        <w:rPr>
          <w:rFonts w:ascii="Calibri" w:hAnsi="Calibri"/>
          <w:b/>
          <w:color w:val="B2A97E" w:themeColor="accent4"/>
          <w:sz w:val="32"/>
          <w:szCs w:val="32"/>
        </w:rPr>
      </w:pPr>
      <w:bookmarkStart w:id="88" w:name="_Toc425254035"/>
      <w:r>
        <w:br w:type="page"/>
      </w:r>
    </w:p>
    <w:p w:rsidR="00682CC1" w:rsidRPr="009B4A17" w:rsidRDefault="00682CC1" w:rsidP="009B4A17">
      <w:pPr>
        <w:pStyle w:val="Financialsheading1"/>
      </w:pPr>
      <w:bookmarkStart w:id="89" w:name="_Toc428279204"/>
      <w:r w:rsidRPr="009B4A17">
        <w:lastRenderedPageBreak/>
        <w:t>Statement of Financial Position</w:t>
      </w:r>
      <w:bookmarkEnd w:id="88"/>
      <w:bookmarkEnd w:id="89"/>
    </w:p>
    <w:p w:rsidR="009A5B6D" w:rsidRDefault="00682CC1" w:rsidP="009B4A17">
      <w:pPr>
        <w:pStyle w:val="Financialsheading2"/>
      </w:pPr>
      <w:bookmarkStart w:id="90" w:name="_Toc425254036"/>
      <w:r>
        <w:t>As at 30 June 2015</w:t>
      </w:r>
      <w:bookmarkEnd w:id="90"/>
    </w:p>
    <w:tbl>
      <w:tblPr>
        <w:tblW w:w="9782" w:type="dxa"/>
        <w:tblInd w:w="108" w:type="dxa"/>
        <w:tblLayout w:type="fixed"/>
        <w:tblCellMar>
          <w:top w:w="28" w:type="dxa"/>
          <w:bottom w:w="28" w:type="dxa"/>
        </w:tblCellMar>
        <w:tblLook w:val="04A0" w:firstRow="1" w:lastRow="0" w:firstColumn="1" w:lastColumn="0" w:noHBand="0" w:noVBand="1"/>
      </w:tblPr>
      <w:tblGrid>
        <w:gridCol w:w="6096"/>
        <w:gridCol w:w="850"/>
        <w:gridCol w:w="1418"/>
        <w:gridCol w:w="1418"/>
      </w:tblGrid>
      <w:tr w:rsidR="00682CC1" w:rsidRPr="007043E4" w:rsidTr="00F92706">
        <w:trPr>
          <w:trHeight w:val="255"/>
        </w:trPr>
        <w:tc>
          <w:tcPr>
            <w:tcW w:w="6096" w:type="dxa"/>
            <w:tcBorders>
              <w:top w:val="nil"/>
              <w:left w:val="nil"/>
              <w:bottom w:val="nil"/>
              <w:right w:val="nil"/>
            </w:tcBorders>
            <w:shd w:val="clear" w:color="auto" w:fill="E0DCCB" w:themeFill="accent4" w:themeFillTint="66"/>
            <w:vAlign w:val="center"/>
            <w:hideMark/>
          </w:tcPr>
          <w:p w:rsidR="00682CC1" w:rsidRPr="00682CC1" w:rsidRDefault="00682CC1" w:rsidP="00682CC1">
            <w:pPr>
              <w:pStyle w:val="Financials"/>
            </w:pPr>
          </w:p>
        </w:tc>
        <w:tc>
          <w:tcPr>
            <w:tcW w:w="850" w:type="dxa"/>
            <w:tcBorders>
              <w:top w:val="nil"/>
              <w:left w:val="nil"/>
              <w:bottom w:val="nil"/>
              <w:right w:val="nil"/>
            </w:tcBorders>
            <w:shd w:val="clear" w:color="auto" w:fill="E0DCCB" w:themeFill="accent4" w:themeFillTint="66"/>
            <w:vAlign w:val="center"/>
            <w:hideMark/>
          </w:tcPr>
          <w:p w:rsidR="00682CC1" w:rsidRPr="009B4A17" w:rsidRDefault="00682CC1" w:rsidP="009B4A17">
            <w:pPr>
              <w:pStyle w:val="Financials"/>
              <w:jc w:val="right"/>
              <w:rPr>
                <w:b/>
              </w:rPr>
            </w:pPr>
            <w:r w:rsidRPr="009B4A17">
              <w:rPr>
                <w:b/>
              </w:rPr>
              <w:t>Note</w:t>
            </w:r>
          </w:p>
        </w:tc>
        <w:tc>
          <w:tcPr>
            <w:tcW w:w="1418" w:type="dxa"/>
            <w:tcBorders>
              <w:top w:val="nil"/>
              <w:left w:val="nil"/>
              <w:bottom w:val="nil"/>
              <w:right w:val="nil"/>
            </w:tcBorders>
            <w:shd w:val="clear" w:color="auto" w:fill="E0DCCB" w:themeFill="accent4" w:themeFillTint="66"/>
            <w:vAlign w:val="center"/>
          </w:tcPr>
          <w:p w:rsidR="00682CC1" w:rsidRPr="009B4A17" w:rsidRDefault="00682CC1" w:rsidP="009B4A17">
            <w:pPr>
              <w:pStyle w:val="Financials"/>
              <w:jc w:val="right"/>
              <w:rPr>
                <w:b/>
              </w:rPr>
            </w:pPr>
            <w:r w:rsidRPr="009B4A17">
              <w:rPr>
                <w:b/>
              </w:rPr>
              <w:t>2015</w:t>
            </w:r>
          </w:p>
        </w:tc>
        <w:tc>
          <w:tcPr>
            <w:tcW w:w="1418" w:type="dxa"/>
            <w:tcBorders>
              <w:top w:val="nil"/>
              <w:left w:val="nil"/>
              <w:bottom w:val="nil"/>
              <w:right w:val="nil"/>
            </w:tcBorders>
            <w:shd w:val="clear" w:color="auto" w:fill="E0DCCB" w:themeFill="accent4" w:themeFillTint="66"/>
            <w:vAlign w:val="center"/>
            <w:hideMark/>
          </w:tcPr>
          <w:p w:rsidR="00682CC1" w:rsidRPr="009B4A17" w:rsidRDefault="00682CC1" w:rsidP="009B4A17">
            <w:pPr>
              <w:pStyle w:val="Financials"/>
              <w:jc w:val="right"/>
              <w:rPr>
                <w:b/>
              </w:rPr>
            </w:pPr>
            <w:r w:rsidRPr="009B4A17">
              <w:rPr>
                <w:b/>
              </w:rPr>
              <w:t>2014</w:t>
            </w:r>
          </w:p>
        </w:tc>
      </w:tr>
      <w:tr w:rsidR="00682CC1" w:rsidRPr="007043E4" w:rsidTr="00F92706">
        <w:trPr>
          <w:trHeight w:val="255"/>
        </w:trPr>
        <w:tc>
          <w:tcPr>
            <w:tcW w:w="6096" w:type="dxa"/>
            <w:tcBorders>
              <w:top w:val="nil"/>
              <w:left w:val="nil"/>
              <w:bottom w:val="nil"/>
              <w:right w:val="nil"/>
            </w:tcBorders>
            <w:shd w:val="clear" w:color="auto" w:fill="E0DCCB" w:themeFill="accent4" w:themeFillTint="66"/>
            <w:vAlign w:val="center"/>
            <w:hideMark/>
          </w:tcPr>
          <w:p w:rsidR="00682CC1" w:rsidRPr="00682CC1" w:rsidRDefault="00682CC1" w:rsidP="00682CC1">
            <w:pPr>
              <w:pStyle w:val="Financials"/>
            </w:pPr>
          </w:p>
        </w:tc>
        <w:tc>
          <w:tcPr>
            <w:tcW w:w="850" w:type="dxa"/>
            <w:tcBorders>
              <w:top w:val="nil"/>
              <w:left w:val="nil"/>
              <w:bottom w:val="nil"/>
              <w:right w:val="nil"/>
            </w:tcBorders>
            <w:shd w:val="clear" w:color="auto" w:fill="E0DCCB" w:themeFill="accent4" w:themeFillTint="66"/>
            <w:vAlign w:val="center"/>
            <w:hideMark/>
          </w:tcPr>
          <w:p w:rsidR="00682CC1" w:rsidRPr="009B4A17" w:rsidRDefault="00682CC1" w:rsidP="009B4A17">
            <w:pPr>
              <w:pStyle w:val="Financials"/>
              <w:jc w:val="right"/>
              <w:rPr>
                <w:b/>
              </w:rPr>
            </w:pPr>
          </w:p>
        </w:tc>
        <w:tc>
          <w:tcPr>
            <w:tcW w:w="1418" w:type="dxa"/>
            <w:tcBorders>
              <w:top w:val="nil"/>
              <w:left w:val="nil"/>
              <w:bottom w:val="nil"/>
              <w:right w:val="nil"/>
            </w:tcBorders>
            <w:shd w:val="clear" w:color="auto" w:fill="E0DCCB" w:themeFill="accent4" w:themeFillTint="66"/>
            <w:vAlign w:val="center"/>
          </w:tcPr>
          <w:p w:rsidR="00682CC1" w:rsidRPr="009B4A17" w:rsidRDefault="00682CC1" w:rsidP="009B4A17">
            <w:pPr>
              <w:pStyle w:val="Financials"/>
              <w:jc w:val="right"/>
              <w:rPr>
                <w:b/>
              </w:rPr>
            </w:pPr>
            <w:r w:rsidRPr="009B4A17">
              <w:rPr>
                <w:b/>
              </w:rPr>
              <w:t>$</w:t>
            </w:r>
          </w:p>
        </w:tc>
        <w:tc>
          <w:tcPr>
            <w:tcW w:w="1418" w:type="dxa"/>
            <w:tcBorders>
              <w:top w:val="nil"/>
              <w:left w:val="nil"/>
              <w:bottom w:val="nil"/>
              <w:right w:val="nil"/>
            </w:tcBorders>
            <w:shd w:val="clear" w:color="auto" w:fill="E0DCCB" w:themeFill="accent4" w:themeFillTint="66"/>
            <w:vAlign w:val="center"/>
            <w:hideMark/>
          </w:tcPr>
          <w:p w:rsidR="00682CC1" w:rsidRPr="009B4A17" w:rsidRDefault="00682CC1" w:rsidP="009B4A17">
            <w:pPr>
              <w:pStyle w:val="Financials"/>
              <w:jc w:val="right"/>
              <w:rPr>
                <w:b/>
              </w:rPr>
            </w:pPr>
            <w:r w:rsidRPr="009B4A17">
              <w:rPr>
                <w:b/>
              </w:rPr>
              <w:t>$</w:t>
            </w:r>
          </w:p>
        </w:tc>
      </w:tr>
      <w:tr w:rsidR="00682CC1" w:rsidRPr="007043E4" w:rsidTr="00F92706">
        <w:trPr>
          <w:trHeight w:val="255"/>
        </w:trPr>
        <w:tc>
          <w:tcPr>
            <w:tcW w:w="6096" w:type="dxa"/>
            <w:tcBorders>
              <w:top w:val="nil"/>
              <w:left w:val="nil"/>
              <w:bottom w:val="nil"/>
              <w:right w:val="nil"/>
            </w:tcBorders>
            <w:shd w:val="clear" w:color="auto" w:fill="auto"/>
            <w:vAlign w:val="center"/>
            <w:hideMark/>
          </w:tcPr>
          <w:p w:rsidR="00682CC1" w:rsidRPr="009B4A17" w:rsidRDefault="00682CC1" w:rsidP="00682CC1">
            <w:pPr>
              <w:pStyle w:val="Financials"/>
              <w:rPr>
                <w:b/>
              </w:rPr>
            </w:pPr>
            <w:r w:rsidRPr="009B4A17">
              <w:rPr>
                <w:b/>
              </w:rPr>
              <w:t>ASSETS</w:t>
            </w:r>
          </w:p>
        </w:tc>
        <w:tc>
          <w:tcPr>
            <w:tcW w:w="850"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p>
        </w:tc>
        <w:tc>
          <w:tcPr>
            <w:tcW w:w="1418" w:type="dxa"/>
            <w:tcBorders>
              <w:top w:val="nil"/>
              <w:left w:val="nil"/>
              <w:bottom w:val="nil"/>
              <w:right w:val="nil"/>
            </w:tcBorders>
            <w:shd w:val="clear" w:color="auto" w:fill="E0DCCB" w:themeFill="accent4" w:themeFillTint="66"/>
            <w:vAlign w:val="center"/>
          </w:tcPr>
          <w:p w:rsidR="00682CC1" w:rsidRPr="00682CC1" w:rsidRDefault="00682CC1" w:rsidP="009B4A17">
            <w:pPr>
              <w:pStyle w:val="Financials"/>
              <w:jc w:val="right"/>
            </w:pPr>
          </w:p>
        </w:tc>
        <w:tc>
          <w:tcPr>
            <w:tcW w:w="1418"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p>
        </w:tc>
      </w:tr>
      <w:tr w:rsidR="00682CC1" w:rsidRPr="009B4A17" w:rsidTr="00F92706">
        <w:trPr>
          <w:trHeight w:val="255"/>
        </w:trPr>
        <w:tc>
          <w:tcPr>
            <w:tcW w:w="6096" w:type="dxa"/>
            <w:tcBorders>
              <w:top w:val="nil"/>
              <w:left w:val="nil"/>
              <w:bottom w:val="nil"/>
              <w:right w:val="nil"/>
            </w:tcBorders>
            <w:shd w:val="clear" w:color="auto" w:fill="auto"/>
            <w:vAlign w:val="center"/>
            <w:hideMark/>
          </w:tcPr>
          <w:p w:rsidR="00682CC1" w:rsidRPr="009B4A17" w:rsidRDefault="00682CC1" w:rsidP="00682CC1">
            <w:pPr>
              <w:pStyle w:val="Financials"/>
              <w:rPr>
                <w:b/>
              </w:rPr>
            </w:pPr>
            <w:r w:rsidRPr="009B4A17">
              <w:rPr>
                <w:b/>
              </w:rPr>
              <w:t>Current Assets</w:t>
            </w:r>
          </w:p>
        </w:tc>
        <w:tc>
          <w:tcPr>
            <w:tcW w:w="850" w:type="dxa"/>
            <w:tcBorders>
              <w:top w:val="nil"/>
              <w:left w:val="nil"/>
              <w:bottom w:val="nil"/>
              <w:right w:val="nil"/>
            </w:tcBorders>
            <w:shd w:val="clear" w:color="auto" w:fill="auto"/>
            <w:vAlign w:val="center"/>
            <w:hideMark/>
          </w:tcPr>
          <w:p w:rsidR="00682CC1" w:rsidRPr="009B4A17" w:rsidRDefault="00682CC1" w:rsidP="009B4A17">
            <w:pPr>
              <w:pStyle w:val="Financials"/>
              <w:jc w:val="right"/>
              <w:rPr>
                <w:b/>
              </w:rPr>
            </w:pPr>
          </w:p>
        </w:tc>
        <w:tc>
          <w:tcPr>
            <w:tcW w:w="1418" w:type="dxa"/>
            <w:tcBorders>
              <w:top w:val="nil"/>
              <w:left w:val="nil"/>
              <w:bottom w:val="nil"/>
              <w:right w:val="nil"/>
            </w:tcBorders>
            <w:shd w:val="clear" w:color="auto" w:fill="E0DCCB" w:themeFill="accent4" w:themeFillTint="66"/>
            <w:vAlign w:val="center"/>
          </w:tcPr>
          <w:p w:rsidR="00682CC1" w:rsidRPr="009B4A17" w:rsidRDefault="00682CC1" w:rsidP="009B4A17">
            <w:pPr>
              <w:pStyle w:val="Financials"/>
              <w:jc w:val="right"/>
              <w:rPr>
                <w:b/>
              </w:rPr>
            </w:pPr>
          </w:p>
        </w:tc>
        <w:tc>
          <w:tcPr>
            <w:tcW w:w="1418" w:type="dxa"/>
            <w:tcBorders>
              <w:top w:val="nil"/>
              <w:left w:val="nil"/>
              <w:bottom w:val="nil"/>
              <w:right w:val="nil"/>
            </w:tcBorders>
            <w:shd w:val="clear" w:color="auto" w:fill="auto"/>
            <w:vAlign w:val="center"/>
            <w:hideMark/>
          </w:tcPr>
          <w:p w:rsidR="00682CC1" w:rsidRPr="009B4A17" w:rsidRDefault="00682CC1" w:rsidP="009B4A17">
            <w:pPr>
              <w:pStyle w:val="Financials"/>
              <w:jc w:val="right"/>
              <w:rPr>
                <w:b/>
              </w:rPr>
            </w:pPr>
          </w:p>
        </w:tc>
      </w:tr>
      <w:tr w:rsidR="00682CC1" w:rsidRPr="00A806FE" w:rsidTr="00F92706">
        <w:trPr>
          <w:trHeight w:val="255"/>
        </w:trPr>
        <w:tc>
          <w:tcPr>
            <w:tcW w:w="6096" w:type="dxa"/>
            <w:tcBorders>
              <w:top w:val="nil"/>
              <w:left w:val="nil"/>
              <w:bottom w:val="nil"/>
              <w:right w:val="nil"/>
            </w:tcBorders>
            <w:shd w:val="clear" w:color="auto" w:fill="auto"/>
            <w:vAlign w:val="center"/>
            <w:hideMark/>
          </w:tcPr>
          <w:p w:rsidR="00682CC1" w:rsidRPr="00682CC1" w:rsidRDefault="00682CC1" w:rsidP="00682CC1">
            <w:pPr>
              <w:pStyle w:val="Financials"/>
            </w:pPr>
            <w:r w:rsidRPr="00682CC1">
              <w:t>Cash and cash equivalents</w:t>
            </w:r>
          </w:p>
        </w:tc>
        <w:tc>
          <w:tcPr>
            <w:tcW w:w="850"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r w:rsidRPr="00682CC1">
              <w:t>24</w:t>
            </w:r>
          </w:p>
        </w:tc>
        <w:tc>
          <w:tcPr>
            <w:tcW w:w="1418" w:type="dxa"/>
            <w:tcBorders>
              <w:top w:val="nil"/>
              <w:left w:val="nil"/>
              <w:bottom w:val="nil"/>
              <w:right w:val="nil"/>
            </w:tcBorders>
            <w:shd w:val="clear" w:color="auto" w:fill="E0DCCB" w:themeFill="accent4" w:themeFillTint="66"/>
            <w:vAlign w:val="center"/>
          </w:tcPr>
          <w:p w:rsidR="00682CC1" w:rsidRPr="00682CC1" w:rsidRDefault="00682CC1" w:rsidP="009B4A17">
            <w:pPr>
              <w:pStyle w:val="Financials"/>
              <w:jc w:val="right"/>
            </w:pPr>
            <w:r w:rsidRPr="00682CC1">
              <w:t>184,116</w:t>
            </w:r>
          </w:p>
        </w:tc>
        <w:tc>
          <w:tcPr>
            <w:tcW w:w="1418"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r w:rsidRPr="00682CC1">
              <w:t>199,220</w:t>
            </w:r>
          </w:p>
        </w:tc>
      </w:tr>
      <w:tr w:rsidR="00682CC1" w:rsidRPr="00A806FE" w:rsidTr="00F92706">
        <w:trPr>
          <w:trHeight w:val="255"/>
        </w:trPr>
        <w:tc>
          <w:tcPr>
            <w:tcW w:w="6096" w:type="dxa"/>
            <w:tcBorders>
              <w:top w:val="nil"/>
              <w:left w:val="nil"/>
              <w:bottom w:val="nil"/>
              <w:right w:val="nil"/>
            </w:tcBorders>
            <w:shd w:val="clear" w:color="auto" w:fill="auto"/>
            <w:vAlign w:val="center"/>
            <w:hideMark/>
          </w:tcPr>
          <w:p w:rsidR="00682CC1" w:rsidRPr="00682CC1" w:rsidRDefault="00682CC1" w:rsidP="00682CC1">
            <w:pPr>
              <w:pStyle w:val="Financials"/>
            </w:pPr>
            <w:r w:rsidRPr="00682CC1">
              <w:t>Restricted cash and cash equivalents</w:t>
            </w:r>
          </w:p>
        </w:tc>
        <w:tc>
          <w:tcPr>
            <w:tcW w:w="850"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r w:rsidRPr="00682CC1">
              <w:t>14, 24</w:t>
            </w:r>
          </w:p>
        </w:tc>
        <w:tc>
          <w:tcPr>
            <w:tcW w:w="1418" w:type="dxa"/>
            <w:tcBorders>
              <w:top w:val="nil"/>
              <w:left w:val="nil"/>
              <w:bottom w:val="nil"/>
              <w:right w:val="nil"/>
            </w:tcBorders>
            <w:shd w:val="clear" w:color="auto" w:fill="E0DCCB" w:themeFill="accent4" w:themeFillTint="66"/>
            <w:vAlign w:val="center"/>
          </w:tcPr>
          <w:p w:rsidR="00682CC1" w:rsidRPr="00682CC1" w:rsidRDefault="00682CC1" w:rsidP="009B4A17">
            <w:pPr>
              <w:pStyle w:val="Financials"/>
              <w:jc w:val="right"/>
            </w:pPr>
            <w:r w:rsidRPr="00682CC1">
              <w:t>354,067</w:t>
            </w:r>
          </w:p>
        </w:tc>
        <w:tc>
          <w:tcPr>
            <w:tcW w:w="1418"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r w:rsidRPr="00682CC1">
              <w:t>187,824</w:t>
            </w:r>
          </w:p>
        </w:tc>
      </w:tr>
      <w:tr w:rsidR="00682CC1" w:rsidRPr="00A806FE" w:rsidTr="00F92706">
        <w:trPr>
          <w:trHeight w:val="255"/>
        </w:trPr>
        <w:tc>
          <w:tcPr>
            <w:tcW w:w="6096" w:type="dxa"/>
            <w:tcBorders>
              <w:top w:val="nil"/>
              <w:left w:val="nil"/>
              <w:bottom w:val="nil"/>
              <w:right w:val="nil"/>
            </w:tcBorders>
            <w:shd w:val="clear" w:color="auto" w:fill="auto"/>
            <w:vAlign w:val="center"/>
            <w:hideMark/>
          </w:tcPr>
          <w:p w:rsidR="00682CC1" w:rsidRPr="00682CC1" w:rsidRDefault="00682CC1" w:rsidP="00682CC1">
            <w:pPr>
              <w:pStyle w:val="Financials"/>
            </w:pPr>
            <w:r w:rsidRPr="00682CC1">
              <w:t>Receivables</w:t>
            </w:r>
          </w:p>
        </w:tc>
        <w:tc>
          <w:tcPr>
            <w:tcW w:w="850"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r w:rsidRPr="00682CC1">
              <w:t>15</w:t>
            </w:r>
          </w:p>
        </w:tc>
        <w:tc>
          <w:tcPr>
            <w:tcW w:w="1418" w:type="dxa"/>
            <w:tcBorders>
              <w:top w:val="nil"/>
              <w:left w:val="nil"/>
              <w:bottom w:val="nil"/>
              <w:right w:val="nil"/>
            </w:tcBorders>
            <w:shd w:val="clear" w:color="auto" w:fill="E0DCCB" w:themeFill="accent4" w:themeFillTint="66"/>
            <w:vAlign w:val="center"/>
          </w:tcPr>
          <w:p w:rsidR="00682CC1" w:rsidRPr="00682CC1" w:rsidRDefault="00682CC1" w:rsidP="009B4A17">
            <w:pPr>
              <w:pStyle w:val="Financials"/>
              <w:jc w:val="right"/>
            </w:pPr>
            <w:r w:rsidRPr="00682CC1">
              <w:t>127,528</w:t>
            </w:r>
          </w:p>
        </w:tc>
        <w:tc>
          <w:tcPr>
            <w:tcW w:w="1418"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r w:rsidRPr="00682CC1">
              <w:t>162,127</w:t>
            </w:r>
          </w:p>
        </w:tc>
      </w:tr>
      <w:tr w:rsidR="00682CC1" w:rsidRPr="00A806FE" w:rsidTr="00F92706">
        <w:trPr>
          <w:trHeight w:val="270"/>
        </w:trPr>
        <w:tc>
          <w:tcPr>
            <w:tcW w:w="6096" w:type="dxa"/>
            <w:tcBorders>
              <w:top w:val="nil"/>
              <w:left w:val="nil"/>
              <w:bottom w:val="nil"/>
              <w:right w:val="nil"/>
            </w:tcBorders>
            <w:shd w:val="clear" w:color="auto" w:fill="auto"/>
            <w:vAlign w:val="center"/>
          </w:tcPr>
          <w:p w:rsidR="00682CC1" w:rsidRPr="00682CC1" w:rsidRDefault="00682CC1" w:rsidP="00682CC1">
            <w:pPr>
              <w:pStyle w:val="Financials"/>
            </w:pPr>
            <w:r w:rsidRPr="00682CC1">
              <w:t>Amounts receivable for services</w:t>
            </w:r>
          </w:p>
        </w:tc>
        <w:tc>
          <w:tcPr>
            <w:tcW w:w="850" w:type="dxa"/>
            <w:tcBorders>
              <w:top w:val="nil"/>
              <w:left w:val="nil"/>
              <w:bottom w:val="nil"/>
              <w:right w:val="nil"/>
            </w:tcBorders>
            <w:shd w:val="clear" w:color="auto" w:fill="auto"/>
            <w:vAlign w:val="center"/>
          </w:tcPr>
          <w:p w:rsidR="00682CC1" w:rsidRPr="00682CC1" w:rsidRDefault="00682CC1" w:rsidP="009B4A17">
            <w:pPr>
              <w:pStyle w:val="Financials"/>
              <w:jc w:val="right"/>
            </w:pPr>
            <w:r w:rsidRPr="00682CC1">
              <w:t>16</w:t>
            </w:r>
          </w:p>
        </w:tc>
        <w:tc>
          <w:tcPr>
            <w:tcW w:w="1418" w:type="dxa"/>
            <w:tcBorders>
              <w:top w:val="nil"/>
              <w:left w:val="nil"/>
              <w:bottom w:val="nil"/>
              <w:right w:val="nil"/>
            </w:tcBorders>
            <w:shd w:val="clear" w:color="auto" w:fill="E0DCCB" w:themeFill="accent4" w:themeFillTint="66"/>
            <w:vAlign w:val="center"/>
          </w:tcPr>
          <w:p w:rsidR="00682CC1" w:rsidRPr="00682CC1" w:rsidRDefault="00682CC1" w:rsidP="009B4A17">
            <w:pPr>
              <w:pStyle w:val="Financials"/>
              <w:jc w:val="right"/>
            </w:pPr>
            <w:r w:rsidRPr="00682CC1">
              <w:t>50,000</w:t>
            </w:r>
          </w:p>
        </w:tc>
        <w:tc>
          <w:tcPr>
            <w:tcW w:w="1418" w:type="dxa"/>
            <w:tcBorders>
              <w:top w:val="nil"/>
              <w:left w:val="nil"/>
              <w:bottom w:val="nil"/>
              <w:right w:val="nil"/>
            </w:tcBorders>
            <w:shd w:val="clear" w:color="auto" w:fill="auto"/>
            <w:vAlign w:val="center"/>
          </w:tcPr>
          <w:p w:rsidR="00682CC1" w:rsidRPr="00682CC1" w:rsidRDefault="00682CC1" w:rsidP="009B4A17">
            <w:pPr>
              <w:pStyle w:val="Financials"/>
              <w:jc w:val="right"/>
            </w:pPr>
            <w:r w:rsidRPr="00682CC1">
              <w:t>87,000</w:t>
            </w:r>
          </w:p>
        </w:tc>
      </w:tr>
      <w:tr w:rsidR="00682CC1" w:rsidRPr="00A806FE" w:rsidTr="00F92706">
        <w:trPr>
          <w:trHeight w:val="270"/>
        </w:trPr>
        <w:tc>
          <w:tcPr>
            <w:tcW w:w="6096" w:type="dxa"/>
            <w:tcBorders>
              <w:top w:val="nil"/>
              <w:left w:val="nil"/>
              <w:bottom w:val="single" w:sz="4" w:space="0" w:color="E0DCCB" w:themeColor="accent4" w:themeTint="66"/>
              <w:right w:val="nil"/>
            </w:tcBorders>
            <w:shd w:val="clear" w:color="auto" w:fill="auto"/>
            <w:vAlign w:val="center"/>
            <w:hideMark/>
          </w:tcPr>
          <w:p w:rsidR="00682CC1" w:rsidRPr="00682CC1" w:rsidRDefault="00682CC1" w:rsidP="00682CC1">
            <w:pPr>
              <w:pStyle w:val="Financials"/>
            </w:pPr>
            <w:r w:rsidRPr="00682CC1">
              <w:t>Other current assets</w:t>
            </w:r>
          </w:p>
        </w:tc>
        <w:tc>
          <w:tcPr>
            <w:tcW w:w="850" w:type="dxa"/>
            <w:tcBorders>
              <w:top w:val="nil"/>
              <w:left w:val="nil"/>
              <w:bottom w:val="single" w:sz="4" w:space="0" w:color="E0DCCB" w:themeColor="accent4" w:themeTint="66"/>
              <w:right w:val="nil"/>
            </w:tcBorders>
            <w:shd w:val="clear" w:color="auto" w:fill="auto"/>
            <w:vAlign w:val="center"/>
            <w:hideMark/>
          </w:tcPr>
          <w:p w:rsidR="00682CC1" w:rsidRPr="00682CC1" w:rsidRDefault="00682CC1" w:rsidP="009B4A17">
            <w:pPr>
              <w:pStyle w:val="Financials"/>
              <w:jc w:val="right"/>
            </w:pPr>
            <w:r w:rsidRPr="00682CC1">
              <w:t>17</w:t>
            </w:r>
          </w:p>
        </w:tc>
        <w:tc>
          <w:tcPr>
            <w:tcW w:w="1418" w:type="dxa"/>
            <w:tcBorders>
              <w:top w:val="nil"/>
              <w:left w:val="nil"/>
              <w:bottom w:val="single" w:sz="4" w:space="0" w:color="FFFFFF" w:themeColor="background1"/>
              <w:right w:val="nil"/>
            </w:tcBorders>
            <w:shd w:val="clear" w:color="auto" w:fill="E0DCCB" w:themeFill="accent4" w:themeFillTint="66"/>
            <w:vAlign w:val="center"/>
          </w:tcPr>
          <w:p w:rsidR="00682CC1" w:rsidRPr="00682CC1" w:rsidRDefault="00682CC1" w:rsidP="009B4A17">
            <w:pPr>
              <w:pStyle w:val="Financials"/>
              <w:jc w:val="right"/>
            </w:pPr>
            <w:r w:rsidRPr="00682CC1">
              <w:t>31,795</w:t>
            </w:r>
          </w:p>
        </w:tc>
        <w:tc>
          <w:tcPr>
            <w:tcW w:w="1418" w:type="dxa"/>
            <w:tcBorders>
              <w:top w:val="nil"/>
              <w:left w:val="nil"/>
              <w:bottom w:val="single" w:sz="4" w:space="0" w:color="E0DCCB" w:themeColor="accent4" w:themeTint="66"/>
              <w:right w:val="nil"/>
            </w:tcBorders>
            <w:shd w:val="clear" w:color="auto" w:fill="auto"/>
            <w:vAlign w:val="center"/>
            <w:hideMark/>
          </w:tcPr>
          <w:p w:rsidR="00682CC1" w:rsidRPr="00682CC1" w:rsidRDefault="00682CC1" w:rsidP="009B4A17">
            <w:pPr>
              <w:pStyle w:val="Financials"/>
              <w:jc w:val="right"/>
            </w:pPr>
            <w:r w:rsidRPr="00682CC1">
              <w:t>2,376</w:t>
            </w:r>
          </w:p>
        </w:tc>
      </w:tr>
      <w:tr w:rsidR="00682CC1" w:rsidRPr="009B4A17" w:rsidTr="00F92706">
        <w:trPr>
          <w:trHeight w:val="270"/>
        </w:trPr>
        <w:tc>
          <w:tcPr>
            <w:tcW w:w="6096"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682CC1" w:rsidRPr="009B4A17" w:rsidRDefault="00682CC1" w:rsidP="00682CC1">
            <w:pPr>
              <w:pStyle w:val="Financials"/>
              <w:rPr>
                <w:b/>
              </w:rPr>
            </w:pPr>
            <w:r w:rsidRPr="009B4A17">
              <w:rPr>
                <w:b/>
              </w:rPr>
              <w:t>Total Current Assets</w:t>
            </w:r>
          </w:p>
        </w:tc>
        <w:tc>
          <w:tcPr>
            <w:tcW w:w="850"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682CC1" w:rsidRPr="009B4A17" w:rsidRDefault="00682CC1" w:rsidP="009B4A17">
            <w:pPr>
              <w:pStyle w:val="Financials"/>
              <w:jc w:val="right"/>
              <w:rPr>
                <w:b/>
              </w:rPr>
            </w:pPr>
          </w:p>
        </w:tc>
        <w:tc>
          <w:tcPr>
            <w:tcW w:w="1418"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682CC1" w:rsidRPr="009B4A17" w:rsidRDefault="00682CC1" w:rsidP="009B4A17">
            <w:pPr>
              <w:pStyle w:val="Financials"/>
              <w:jc w:val="right"/>
              <w:rPr>
                <w:b/>
              </w:rPr>
            </w:pPr>
            <w:r w:rsidRPr="009B4A17">
              <w:rPr>
                <w:b/>
              </w:rPr>
              <w:fldChar w:fldCharType="begin"/>
            </w:r>
            <w:r w:rsidRPr="009B4A17">
              <w:rPr>
                <w:b/>
              </w:rPr>
              <w:instrText xml:space="preserve"> =SUM(ABOVE) </w:instrText>
            </w:r>
            <w:r w:rsidRPr="009B4A17">
              <w:rPr>
                <w:b/>
              </w:rPr>
              <w:fldChar w:fldCharType="separate"/>
            </w:r>
            <w:r w:rsidRPr="009B4A17">
              <w:rPr>
                <w:b/>
              </w:rPr>
              <w:t>747,506</w:t>
            </w:r>
            <w:r w:rsidRPr="009B4A17">
              <w:rPr>
                <w:b/>
              </w:rPr>
              <w:fldChar w:fldCharType="end"/>
            </w:r>
          </w:p>
        </w:tc>
        <w:tc>
          <w:tcPr>
            <w:tcW w:w="1418"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682CC1" w:rsidRPr="009B4A17" w:rsidRDefault="00682CC1" w:rsidP="009B4A17">
            <w:pPr>
              <w:pStyle w:val="Financials"/>
              <w:jc w:val="right"/>
              <w:rPr>
                <w:b/>
              </w:rPr>
            </w:pPr>
            <w:r w:rsidRPr="009B4A17">
              <w:rPr>
                <w:b/>
              </w:rPr>
              <w:fldChar w:fldCharType="begin"/>
            </w:r>
            <w:r w:rsidRPr="009B4A17">
              <w:rPr>
                <w:b/>
              </w:rPr>
              <w:instrText xml:space="preserve"> =SUM(ABOVE) </w:instrText>
            </w:r>
            <w:r w:rsidRPr="009B4A17">
              <w:rPr>
                <w:b/>
              </w:rPr>
              <w:fldChar w:fldCharType="separate"/>
            </w:r>
            <w:r w:rsidRPr="009B4A17">
              <w:rPr>
                <w:b/>
              </w:rPr>
              <w:t>638,547</w:t>
            </w:r>
            <w:r w:rsidRPr="009B4A17">
              <w:rPr>
                <w:b/>
              </w:rPr>
              <w:fldChar w:fldCharType="end"/>
            </w:r>
          </w:p>
        </w:tc>
      </w:tr>
      <w:tr w:rsidR="00682CC1" w:rsidRPr="00D578E2" w:rsidTr="00F92706">
        <w:trPr>
          <w:trHeight w:val="255"/>
        </w:trPr>
        <w:tc>
          <w:tcPr>
            <w:tcW w:w="6096" w:type="dxa"/>
            <w:tcBorders>
              <w:top w:val="single" w:sz="4" w:space="0" w:color="E0DCCB" w:themeColor="accent4" w:themeTint="66"/>
              <w:left w:val="nil"/>
              <w:bottom w:val="nil"/>
              <w:right w:val="nil"/>
            </w:tcBorders>
            <w:shd w:val="clear" w:color="auto" w:fill="auto"/>
            <w:vAlign w:val="center"/>
            <w:hideMark/>
          </w:tcPr>
          <w:p w:rsidR="00682CC1" w:rsidRPr="00682CC1" w:rsidRDefault="00682CC1" w:rsidP="00682CC1">
            <w:pPr>
              <w:pStyle w:val="Financials"/>
            </w:pPr>
          </w:p>
        </w:tc>
        <w:tc>
          <w:tcPr>
            <w:tcW w:w="850" w:type="dxa"/>
            <w:tcBorders>
              <w:top w:val="single" w:sz="4" w:space="0" w:color="E0DCCB" w:themeColor="accent4" w:themeTint="66"/>
              <w:left w:val="nil"/>
              <w:bottom w:val="nil"/>
              <w:right w:val="nil"/>
            </w:tcBorders>
            <w:shd w:val="clear" w:color="auto" w:fill="auto"/>
            <w:vAlign w:val="center"/>
            <w:hideMark/>
          </w:tcPr>
          <w:p w:rsidR="00682CC1" w:rsidRPr="00682CC1" w:rsidRDefault="00682CC1" w:rsidP="009B4A17">
            <w:pPr>
              <w:pStyle w:val="Financials"/>
              <w:jc w:val="right"/>
            </w:pPr>
          </w:p>
        </w:tc>
        <w:tc>
          <w:tcPr>
            <w:tcW w:w="1418" w:type="dxa"/>
            <w:tcBorders>
              <w:top w:val="single" w:sz="4" w:space="0" w:color="FFFFFF" w:themeColor="background1"/>
              <w:left w:val="nil"/>
              <w:bottom w:val="nil"/>
              <w:right w:val="nil"/>
            </w:tcBorders>
            <w:shd w:val="clear" w:color="auto" w:fill="E0DCCB" w:themeFill="accent4" w:themeFillTint="66"/>
          </w:tcPr>
          <w:p w:rsidR="00682CC1" w:rsidRPr="00682CC1" w:rsidRDefault="00682CC1" w:rsidP="009B4A17">
            <w:pPr>
              <w:pStyle w:val="Financials"/>
              <w:jc w:val="right"/>
            </w:pPr>
          </w:p>
        </w:tc>
        <w:tc>
          <w:tcPr>
            <w:tcW w:w="1418" w:type="dxa"/>
            <w:tcBorders>
              <w:top w:val="single" w:sz="4" w:space="0" w:color="E0DCCB" w:themeColor="accent4" w:themeTint="66"/>
              <w:left w:val="nil"/>
              <w:bottom w:val="nil"/>
              <w:right w:val="nil"/>
            </w:tcBorders>
            <w:shd w:val="clear" w:color="auto" w:fill="auto"/>
            <w:vAlign w:val="center"/>
            <w:hideMark/>
          </w:tcPr>
          <w:p w:rsidR="00682CC1" w:rsidRPr="00682CC1" w:rsidRDefault="00682CC1" w:rsidP="009B4A17">
            <w:pPr>
              <w:pStyle w:val="Financials"/>
              <w:jc w:val="right"/>
            </w:pPr>
          </w:p>
        </w:tc>
      </w:tr>
      <w:tr w:rsidR="00682CC1" w:rsidRPr="009B4A17" w:rsidTr="00F92706">
        <w:trPr>
          <w:trHeight w:val="255"/>
        </w:trPr>
        <w:tc>
          <w:tcPr>
            <w:tcW w:w="6096" w:type="dxa"/>
            <w:tcBorders>
              <w:top w:val="nil"/>
              <w:left w:val="nil"/>
              <w:bottom w:val="nil"/>
              <w:right w:val="nil"/>
            </w:tcBorders>
            <w:shd w:val="clear" w:color="auto" w:fill="auto"/>
            <w:vAlign w:val="center"/>
            <w:hideMark/>
          </w:tcPr>
          <w:p w:rsidR="00682CC1" w:rsidRPr="009B4A17" w:rsidRDefault="00682CC1" w:rsidP="00682CC1">
            <w:pPr>
              <w:pStyle w:val="Financials"/>
              <w:rPr>
                <w:b/>
              </w:rPr>
            </w:pPr>
            <w:r w:rsidRPr="009B4A17">
              <w:rPr>
                <w:b/>
              </w:rPr>
              <w:t>Non-Current Assets</w:t>
            </w:r>
          </w:p>
        </w:tc>
        <w:tc>
          <w:tcPr>
            <w:tcW w:w="850" w:type="dxa"/>
            <w:tcBorders>
              <w:top w:val="nil"/>
              <w:left w:val="nil"/>
              <w:bottom w:val="nil"/>
              <w:right w:val="nil"/>
            </w:tcBorders>
            <w:shd w:val="clear" w:color="auto" w:fill="auto"/>
            <w:vAlign w:val="center"/>
            <w:hideMark/>
          </w:tcPr>
          <w:p w:rsidR="00682CC1" w:rsidRPr="009B4A17" w:rsidRDefault="00682CC1" w:rsidP="009B4A17">
            <w:pPr>
              <w:pStyle w:val="Financials"/>
              <w:jc w:val="right"/>
              <w:rPr>
                <w:b/>
              </w:rPr>
            </w:pPr>
          </w:p>
        </w:tc>
        <w:tc>
          <w:tcPr>
            <w:tcW w:w="1418" w:type="dxa"/>
            <w:tcBorders>
              <w:top w:val="nil"/>
              <w:left w:val="nil"/>
              <w:bottom w:val="nil"/>
              <w:right w:val="nil"/>
            </w:tcBorders>
            <w:shd w:val="clear" w:color="auto" w:fill="E0DCCB" w:themeFill="accent4" w:themeFillTint="66"/>
            <w:vAlign w:val="center"/>
          </w:tcPr>
          <w:p w:rsidR="00682CC1" w:rsidRPr="009B4A17" w:rsidRDefault="00682CC1" w:rsidP="009B4A17">
            <w:pPr>
              <w:pStyle w:val="Financials"/>
              <w:jc w:val="right"/>
              <w:rPr>
                <w:b/>
              </w:rPr>
            </w:pPr>
          </w:p>
        </w:tc>
        <w:tc>
          <w:tcPr>
            <w:tcW w:w="1418" w:type="dxa"/>
            <w:tcBorders>
              <w:top w:val="nil"/>
              <w:left w:val="nil"/>
              <w:bottom w:val="nil"/>
              <w:right w:val="nil"/>
            </w:tcBorders>
            <w:shd w:val="clear" w:color="auto" w:fill="auto"/>
            <w:vAlign w:val="center"/>
            <w:hideMark/>
          </w:tcPr>
          <w:p w:rsidR="00682CC1" w:rsidRPr="009B4A17" w:rsidRDefault="00682CC1" w:rsidP="009B4A17">
            <w:pPr>
              <w:pStyle w:val="Financials"/>
              <w:jc w:val="right"/>
              <w:rPr>
                <w:b/>
              </w:rPr>
            </w:pPr>
          </w:p>
        </w:tc>
      </w:tr>
      <w:tr w:rsidR="00682CC1" w:rsidRPr="007043E4" w:rsidTr="00F92706">
        <w:trPr>
          <w:trHeight w:val="255"/>
        </w:trPr>
        <w:tc>
          <w:tcPr>
            <w:tcW w:w="6096" w:type="dxa"/>
            <w:tcBorders>
              <w:top w:val="nil"/>
              <w:left w:val="nil"/>
              <w:bottom w:val="nil"/>
              <w:right w:val="nil"/>
            </w:tcBorders>
            <w:shd w:val="clear" w:color="auto" w:fill="auto"/>
            <w:vAlign w:val="center"/>
            <w:hideMark/>
          </w:tcPr>
          <w:p w:rsidR="00682CC1" w:rsidRPr="00682CC1" w:rsidRDefault="00682CC1" w:rsidP="00682CC1">
            <w:pPr>
              <w:pStyle w:val="Financials"/>
            </w:pPr>
            <w:r w:rsidRPr="00682CC1">
              <w:t>Restricted cash and cash equivalents</w:t>
            </w:r>
          </w:p>
        </w:tc>
        <w:tc>
          <w:tcPr>
            <w:tcW w:w="850"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r w:rsidRPr="00682CC1">
              <w:t>14, 24</w:t>
            </w:r>
          </w:p>
        </w:tc>
        <w:tc>
          <w:tcPr>
            <w:tcW w:w="1418" w:type="dxa"/>
            <w:tcBorders>
              <w:top w:val="nil"/>
              <w:left w:val="nil"/>
              <w:bottom w:val="nil"/>
              <w:right w:val="nil"/>
            </w:tcBorders>
            <w:shd w:val="clear" w:color="auto" w:fill="E0DCCB" w:themeFill="accent4" w:themeFillTint="66"/>
            <w:vAlign w:val="center"/>
          </w:tcPr>
          <w:p w:rsidR="00682CC1" w:rsidRPr="00682CC1" w:rsidRDefault="00682CC1" w:rsidP="009B4A17">
            <w:pPr>
              <w:pStyle w:val="Financials"/>
              <w:jc w:val="right"/>
            </w:pPr>
            <w:r w:rsidRPr="00682CC1">
              <w:t>-</w:t>
            </w:r>
          </w:p>
        </w:tc>
        <w:tc>
          <w:tcPr>
            <w:tcW w:w="1418"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r w:rsidRPr="00682CC1">
              <w:t>322,771</w:t>
            </w:r>
          </w:p>
        </w:tc>
      </w:tr>
      <w:tr w:rsidR="00682CC1" w:rsidRPr="007043E4" w:rsidTr="00F92706">
        <w:trPr>
          <w:trHeight w:val="270"/>
        </w:trPr>
        <w:tc>
          <w:tcPr>
            <w:tcW w:w="6096" w:type="dxa"/>
            <w:tcBorders>
              <w:left w:val="nil"/>
              <w:right w:val="nil"/>
            </w:tcBorders>
            <w:shd w:val="clear" w:color="auto" w:fill="auto"/>
            <w:vAlign w:val="center"/>
            <w:hideMark/>
          </w:tcPr>
          <w:p w:rsidR="00682CC1" w:rsidRPr="00682CC1" w:rsidRDefault="00682CC1" w:rsidP="00682CC1">
            <w:pPr>
              <w:pStyle w:val="Financials"/>
            </w:pPr>
            <w:r w:rsidRPr="00682CC1">
              <w:t>Amounts receivable for services</w:t>
            </w:r>
          </w:p>
        </w:tc>
        <w:tc>
          <w:tcPr>
            <w:tcW w:w="850" w:type="dxa"/>
            <w:tcBorders>
              <w:left w:val="nil"/>
              <w:right w:val="nil"/>
            </w:tcBorders>
            <w:shd w:val="clear" w:color="auto" w:fill="auto"/>
            <w:vAlign w:val="center"/>
            <w:hideMark/>
          </w:tcPr>
          <w:p w:rsidR="00682CC1" w:rsidRPr="00682CC1" w:rsidRDefault="00682CC1" w:rsidP="009B4A17">
            <w:pPr>
              <w:pStyle w:val="Financials"/>
              <w:jc w:val="right"/>
            </w:pPr>
            <w:r w:rsidRPr="00682CC1">
              <w:t>16</w:t>
            </w:r>
          </w:p>
        </w:tc>
        <w:tc>
          <w:tcPr>
            <w:tcW w:w="1418" w:type="dxa"/>
            <w:tcBorders>
              <w:left w:val="nil"/>
              <w:right w:val="nil"/>
            </w:tcBorders>
            <w:shd w:val="clear" w:color="auto" w:fill="E0DCCB" w:themeFill="accent4" w:themeFillTint="66"/>
            <w:vAlign w:val="center"/>
          </w:tcPr>
          <w:p w:rsidR="00682CC1" w:rsidRPr="00682CC1" w:rsidRDefault="00682CC1" w:rsidP="009B4A17">
            <w:pPr>
              <w:pStyle w:val="Financials"/>
              <w:jc w:val="right"/>
            </w:pPr>
            <w:r w:rsidRPr="00682CC1">
              <w:t>544,000</w:t>
            </w:r>
          </w:p>
        </w:tc>
        <w:tc>
          <w:tcPr>
            <w:tcW w:w="1418" w:type="dxa"/>
            <w:tcBorders>
              <w:left w:val="nil"/>
              <w:right w:val="nil"/>
            </w:tcBorders>
            <w:shd w:val="clear" w:color="auto" w:fill="auto"/>
            <w:vAlign w:val="center"/>
            <w:hideMark/>
          </w:tcPr>
          <w:p w:rsidR="00682CC1" w:rsidRPr="00682CC1" w:rsidRDefault="00682CC1" w:rsidP="009B4A17">
            <w:pPr>
              <w:pStyle w:val="Financials"/>
              <w:jc w:val="right"/>
            </w:pPr>
            <w:r w:rsidRPr="00682CC1">
              <w:t>544,000</w:t>
            </w:r>
          </w:p>
        </w:tc>
      </w:tr>
      <w:tr w:rsidR="00682CC1" w:rsidRPr="007043E4" w:rsidTr="00F92706">
        <w:trPr>
          <w:trHeight w:val="255"/>
        </w:trPr>
        <w:tc>
          <w:tcPr>
            <w:tcW w:w="6096" w:type="dxa"/>
            <w:tcBorders>
              <w:left w:val="nil"/>
              <w:bottom w:val="nil"/>
              <w:right w:val="nil"/>
            </w:tcBorders>
            <w:shd w:val="clear" w:color="auto" w:fill="auto"/>
            <w:vAlign w:val="center"/>
            <w:hideMark/>
          </w:tcPr>
          <w:p w:rsidR="00682CC1" w:rsidRPr="00682CC1" w:rsidRDefault="00682CC1" w:rsidP="00682CC1">
            <w:pPr>
              <w:pStyle w:val="Financials"/>
            </w:pPr>
            <w:r w:rsidRPr="00682CC1">
              <w:t>Plant and equipment</w:t>
            </w:r>
          </w:p>
        </w:tc>
        <w:tc>
          <w:tcPr>
            <w:tcW w:w="850" w:type="dxa"/>
            <w:tcBorders>
              <w:left w:val="nil"/>
              <w:bottom w:val="nil"/>
              <w:right w:val="nil"/>
            </w:tcBorders>
            <w:shd w:val="clear" w:color="auto" w:fill="auto"/>
            <w:vAlign w:val="center"/>
            <w:hideMark/>
          </w:tcPr>
          <w:p w:rsidR="00682CC1" w:rsidRPr="00682CC1" w:rsidRDefault="00682CC1" w:rsidP="009B4A17">
            <w:pPr>
              <w:pStyle w:val="Financials"/>
              <w:jc w:val="right"/>
            </w:pPr>
            <w:r w:rsidRPr="00682CC1">
              <w:t>18</w:t>
            </w:r>
          </w:p>
        </w:tc>
        <w:tc>
          <w:tcPr>
            <w:tcW w:w="1418" w:type="dxa"/>
            <w:tcBorders>
              <w:left w:val="nil"/>
              <w:bottom w:val="nil"/>
              <w:right w:val="nil"/>
            </w:tcBorders>
            <w:shd w:val="clear" w:color="auto" w:fill="E0DCCB" w:themeFill="accent4" w:themeFillTint="66"/>
            <w:vAlign w:val="center"/>
          </w:tcPr>
          <w:p w:rsidR="00682CC1" w:rsidRPr="00682CC1" w:rsidRDefault="00682CC1" w:rsidP="009B4A17">
            <w:pPr>
              <w:pStyle w:val="Financials"/>
              <w:jc w:val="right"/>
            </w:pPr>
            <w:r w:rsidRPr="00682CC1">
              <w:t>162,274</w:t>
            </w:r>
          </w:p>
        </w:tc>
        <w:tc>
          <w:tcPr>
            <w:tcW w:w="1418" w:type="dxa"/>
            <w:tcBorders>
              <w:left w:val="nil"/>
              <w:bottom w:val="nil"/>
              <w:right w:val="nil"/>
            </w:tcBorders>
            <w:shd w:val="clear" w:color="auto" w:fill="auto"/>
            <w:vAlign w:val="center"/>
            <w:hideMark/>
          </w:tcPr>
          <w:p w:rsidR="00682CC1" w:rsidRPr="00682CC1" w:rsidRDefault="00682CC1" w:rsidP="009B4A17">
            <w:pPr>
              <w:pStyle w:val="Financials"/>
              <w:jc w:val="right"/>
            </w:pPr>
            <w:r w:rsidRPr="00682CC1">
              <w:t>313,510</w:t>
            </w:r>
          </w:p>
        </w:tc>
      </w:tr>
      <w:tr w:rsidR="00682CC1" w:rsidRPr="007043E4" w:rsidTr="00F92706">
        <w:trPr>
          <w:trHeight w:val="255"/>
        </w:trPr>
        <w:tc>
          <w:tcPr>
            <w:tcW w:w="6096" w:type="dxa"/>
            <w:tcBorders>
              <w:top w:val="nil"/>
              <w:left w:val="nil"/>
              <w:right w:val="nil"/>
            </w:tcBorders>
            <w:shd w:val="clear" w:color="auto" w:fill="auto"/>
            <w:vAlign w:val="center"/>
            <w:hideMark/>
          </w:tcPr>
          <w:p w:rsidR="00682CC1" w:rsidRPr="00682CC1" w:rsidRDefault="00682CC1" w:rsidP="00682CC1">
            <w:pPr>
              <w:pStyle w:val="Financials"/>
            </w:pPr>
            <w:r w:rsidRPr="00682CC1">
              <w:t>Intangible assets</w:t>
            </w:r>
          </w:p>
        </w:tc>
        <w:tc>
          <w:tcPr>
            <w:tcW w:w="850" w:type="dxa"/>
            <w:tcBorders>
              <w:top w:val="nil"/>
              <w:left w:val="nil"/>
              <w:right w:val="nil"/>
            </w:tcBorders>
            <w:shd w:val="clear" w:color="auto" w:fill="auto"/>
            <w:vAlign w:val="center"/>
            <w:hideMark/>
          </w:tcPr>
          <w:p w:rsidR="00682CC1" w:rsidRPr="00682CC1" w:rsidRDefault="00682CC1" w:rsidP="009B4A17">
            <w:pPr>
              <w:pStyle w:val="Financials"/>
              <w:jc w:val="right"/>
            </w:pPr>
            <w:r w:rsidRPr="00682CC1">
              <w:t>19</w:t>
            </w:r>
          </w:p>
        </w:tc>
        <w:tc>
          <w:tcPr>
            <w:tcW w:w="1418" w:type="dxa"/>
            <w:tcBorders>
              <w:top w:val="nil"/>
              <w:left w:val="nil"/>
              <w:right w:val="nil"/>
            </w:tcBorders>
            <w:shd w:val="clear" w:color="auto" w:fill="E0DCCB" w:themeFill="accent4" w:themeFillTint="66"/>
            <w:vAlign w:val="center"/>
          </w:tcPr>
          <w:p w:rsidR="00682CC1" w:rsidRPr="00682CC1" w:rsidRDefault="00682CC1" w:rsidP="009B4A17">
            <w:pPr>
              <w:pStyle w:val="Financials"/>
              <w:jc w:val="right"/>
            </w:pPr>
            <w:r w:rsidRPr="00682CC1">
              <w:t>155,757</w:t>
            </w:r>
          </w:p>
        </w:tc>
        <w:tc>
          <w:tcPr>
            <w:tcW w:w="1418" w:type="dxa"/>
            <w:tcBorders>
              <w:top w:val="nil"/>
              <w:left w:val="nil"/>
              <w:right w:val="nil"/>
            </w:tcBorders>
            <w:shd w:val="clear" w:color="auto" w:fill="auto"/>
            <w:vAlign w:val="center"/>
            <w:hideMark/>
          </w:tcPr>
          <w:p w:rsidR="00682CC1" w:rsidRPr="00682CC1" w:rsidRDefault="00682CC1" w:rsidP="009B4A17">
            <w:pPr>
              <w:pStyle w:val="Financials"/>
              <w:jc w:val="right"/>
            </w:pPr>
            <w:r w:rsidRPr="00682CC1">
              <w:t>154,833</w:t>
            </w:r>
          </w:p>
        </w:tc>
      </w:tr>
      <w:tr w:rsidR="00682CC1" w:rsidRPr="007043E4" w:rsidTr="00F92706">
        <w:trPr>
          <w:trHeight w:val="270"/>
        </w:trPr>
        <w:tc>
          <w:tcPr>
            <w:tcW w:w="6096" w:type="dxa"/>
            <w:tcBorders>
              <w:top w:val="nil"/>
              <w:left w:val="nil"/>
              <w:bottom w:val="single" w:sz="4" w:space="0" w:color="E0DCCB" w:themeColor="accent4" w:themeTint="66"/>
              <w:right w:val="nil"/>
            </w:tcBorders>
            <w:shd w:val="clear" w:color="auto" w:fill="auto"/>
            <w:vAlign w:val="center"/>
            <w:hideMark/>
          </w:tcPr>
          <w:p w:rsidR="00682CC1" w:rsidRPr="00682CC1" w:rsidRDefault="00682CC1" w:rsidP="00682CC1">
            <w:pPr>
              <w:pStyle w:val="Financials"/>
            </w:pPr>
            <w:r w:rsidRPr="00682CC1">
              <w:t>Total Non-Current Assets</w:t>
            </w:r>
          </w:p>
        </w:tc>
        <w:tc>
          <w:tcPr>
            <w:tcW w:w="850" w:type="dxa"/>
            <w:tcBorders>
              <w:top w:val="nil"/>
              <w:left w:val="nil"/>
              <w:bottom w:val="single" w:sz="4" w:space="0" w:color="E0DCCB" w:themeColor="accent4" w:themeTint="66"/>
              <w:right w:val="nil"/>
            </w:tcBorders>
            <w:shd w:val="clear" w:color="auto" w:fill="auto"/>
            <w:vAlign w:val="center"/>
            <w:hideMark/>
          </w:tcPr>
          <w:p w:rsidR="00682CC1" w:rsidRPr="00682CC1" w:rsidRDefault="00682CC1" w:rsidP="009B4A17">
            <w:pPr>
              <w:pStyle w:val="Financials"/>
              <w:jc w:val="right"/>
            </w:pPr>
          </w:p>
        </w:tc>
        <w:tc>
          <w:tcPr>
            <w:tcW w:w="1418" w:type="dxa"/>
            <w:tcBorders>
              <w:top w:val="nil"/>
              <w:left w:val="nil"/>
              <w:bottom w:val="single" w:sz="4" w:space="0" w:color="FFFFFF" w:themeColor="background1"/>
              <w:right w:val="nil"/>
            </w:tcBorders>
            <w:shd w:val="clear" w:color="auto" w:fill="E0DCCB" w:themeFill="accent4" w:themeFillTint="66"/>
            <w:vAlign w:val="center"/>
          </w:tcPr>
          <w:p w:rsidR="00682CC1" w:rsidRPr="00F92706" w:rsidRDefault="00682CC1" w:rsidP="009B4A17">
            <w:pPr>
              <w:pStyle w:val="Financials"/>
              <w:jc w:val="right"/>
              <w:rPr>
                <w:b/>
              </w:rPr>
            </w:pPr>
            <w:r w:rsidRPr="00F92706">
              <w:rPr>
                <w:b/>
              </w:rPr>
              <w:fldChar w:fldCharType="begin"/>
            </w:r>
            <w:r w:rsidRPr="00F92706">
              <w:rPr>
                <w:b/>
              </w:rPr>
              <w:instrText xml:space="preserve"> =SUM(ABOVE) </w:instrText>
            </w:r>
            <w:r w:rsidRPr="00F92706">
              <w:rPr>
                <w:b/>
              </w:rPr>
              <w:fldChar w:fldCharType="separate"/>
            </w:r>
            <w:r w:rsidRPr="00F92706">
              <w:rPr>
                <w:b/>
              </w:rPr>
              <w:t>862,031</w:t>
            </w:r>
            <w:r w:rsidRPr="00F92706">
              <w:rPr>
                <w:b/>
              </w:rPr>
              <w:fldChar w:fldCharType="end"/>
            </w:r>
          </w:p>
        </w:tc>
        <w:tc>
          <w:tcPr>
            <w:tcW w:w="1418" w:type="dxa"/>
            <w:tcBorders>
              <w:top w:val="nil"/>
              <w:left w:val="nil"/>
              <w:bottom w:val="single" w:sz="4" w:space="0" w:color="E0DCCB" w:themeColor="accent4" w:themeTint="66"/>
              <w:right w:val="nil"/>
            </w:tcBorders>
            <w:shd w:val="clear" w:color="auto" w:fill="auto"/>
            <w:vAlign w:val="center"/>
            <w:hideMark/>
          </w:tcPr>
          <w:p w:rsidR="00682CC1" w:rsidRPr="00F92706" w:rsidRDefault="00682CC1" w:rsidP="009B4A17">
            <w:pPr>
              <w:pStyle w:val="Financials"/>
              <w:jc w:val="right"/>
              <w:rPr>
                <w:b/>
              </w:rPr>
            </w:pPr>
            <w:r w:rsidRPr="00F92706">
              <w:rPr>
                <w:b/>
              </w:rPr>
              <w:fldChar w:fldCharType="begin"/>
            </w:r>
            <w:r w:rsidRPr="00F92706">
              <w:rPr>
                <w:b/>
              </w:rPr>
              <w:instrText xml:space="preserve"> =SUM(ABOVE) </w:instrText>
            </w:r>
            <w:r w:rsidRPr="00F92706">
              <w:rPr>
                <w:b/>
              </w:rPr>
              <w:fldChar w:fldCharType="separate"/>
            </w:r>
            <w:r w:rsidRPr="00F92706">
              <w:rPr>
                <w:b/>
              </w:rPr>
              <w:t>1,335,114</w:t>
            </w:r>
            <w:r w:rsidRPr="00F92706">
              <w:rPr>
                <w:b/>
              </w:rPr>
              <w:fldChar w:fldCharType="end"/>
            </w:r>
          </w:p>
        </w:tc>
      </w:tr>
      <w:tr w:rsidR="00682CC1" w:rsidRPr="009B4A17" w:rsidTr="00F92706">
        <w:trPr>
          <w:trHeight w:val="270"/>
        </w:trPr>
        <w:tc>
          <w:tcPr>
            <w:tcW w:w="6096"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682CC1">
            <w:pPr>
              <w:pStyle w:val="Financials"/>
              <w:rPr>
                <w:b/>
              </w:rPr>
            </w:pPr>
            <w:r w:rsidRPr="009B4A17">
              <w:rPr>
                <w:b/>
              </w:rPr>
              <w:t>TOTAL ASSETS</w:t>
            </w:r>
          </w:p>
        </w:tc>
        <w:tc>
          <w:tcPr>
            <w:tcW w:w="850"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9B4A17">
            <w:pPr>
              <w:pStyle w:val="Financials"/>
              <w:jc w:val="right"/>
              <w:rPr>
                <w:b/>
              </w:rPr>
            </w:pPr>
          </w:p>
        </w:tc>
        <w:tc>
          <w:tcPr>
            <w:tcW w:w="1418"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682CC1" w:rsidRPr="009B4A17" w:rsidRDefault="00682CC1" w:rsidP="009B4A17">
            <w:pPr>
              <w:pStyle w:val="Financials"/>
              <w:jc w:val="right"/>
              <w:rPr>
                <w:b/>
              </w:rPr>
            </w:pPr>
            <w:r w:rsidRPr="009B4A17">
              <w:rPr>
                <w:b/>
              </w:rPr>
              <w:t>1,609,537</w:t>
            </w:r>
          </w:p>
        </w:tc>
        <w:tc>
          <w:tcPr>
            <w:tcW w:w="1418"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9B4A17">
            <w:pPr>
              <w:pStyle w:val="Financials"/>
              <w:jc w:val="right"/>
              <w:rPr>
                <w:b/>
              </w:rPr>
            </w:pPr>
            <w:r w:rsidRPr="009B4A17">
              <w:rPr>
                <w:b/>
              </w:rPr>
              <w:t>1,973,661</w:t>
            </w:r>
          </w:p>
        </w:tc>
      </w:tr>
      <w:tr w:rsidR="00682CC1" w:rsidRPr="00D578E2" w:rsidTr="00F92706">
        <w:trPr>
          <w:trHeight w:val="165"/>
        </w:trPr>
        <w:tc>
          <w:tcPr>
            <w:tcW w:w="6096" w:type="dxa"/>
            <w:tcBorders>
              <w:top w:val="single" w:sz="4" w:space="0" w:color="B2A97E" w:themeColor="accent4"/>
              <w:left w:val="nil"/>
              <w:right w:val="nil"/>
            </w:tcBorders>
            <w:shd w:val="clear" w:color="auto" w:fill="auto"/>
            <w:vAlign w:val="center"/>
          </w:tcPr>
          <w:p w:rsidR="00682CC1" w:rsidRPr="00682CC1" w:rsidRDefault="00682CC1" w:rsidP="00682CC1">
            <w:pPr>
              <w:pStyle w:val="Financials"/>
            </w:pPr>
          </w:p>
        </w:tc>
        <w:tc>
          <w:tcPr>
            <w:tcW w:w="850" w:type="dxa"/>
            <w:tcBorders>
              <w:top w:val="single" w:sz="4" w:space="0" w:color="B2A97E" w:themeColor="accent4"/>
              <w:left w:val="nil"/>
              <w:right w:val="nil"/>
            </w:tcBorders>
            <w:shd w:val="clear" w:color="auto" w:fill="auto"/>
            <w:vAlign w:val="center"/>
          </w:tcPr>
          <w:p w:rsidR="00682CC1" w:rsidRPr="00682CC1" w:rsidRDefault="00682CC1" w:rsidP="009B4A17">
            <w:pPr>
              <w:pStyle w:val="Financials"/>
              <w:jc w:val="right"/>
            </w:pPr>
          </w:p>
        </w:tc>
        <w:tc>
          <w:tcPr>
            <w:tcW w:w="1418" w:type="dxa"/>
            <w:tcBorders>
              <w:top w:val="single" w:sz="4" w:space="0" w:color="B2A97E" w:themeColor="accent4"/>
              <w:left w:val="nil"/>
              <w:right w:val="nil"/>
            </w:tcBorders>
            <w:shd w:val="clear" w:color="auto" w:fill="E0DCCB" w:themeFill="accent4" w:themeFillTint="66"/>
            <w:vAlign w:val="center"/>
          </w:tcPr>
          <w:p w:rsidR="00682CC1" w:rsidRPr="00682CC1" w:rsidRDefault="00682CC1" w:rsidP="009B4A17">
            <w:pPr>
              <w:pStyle w:val="Financials"/>
              <w:jc w:val="right"/>
            </w:pPr>
          </w:p>
        </w:tc>
        <w:tc>
          <w:tcPr>
            <w:tcW w:w="1418" w:type="dxa"/>
            <w:tcBorders>
              <w:top w:val="single" w:sz="4" w:space="0" w:color="B2A97E" w:themeColor="accent4"/>
              <w:left w:val="nil"/>
              <w:right w:val="nil"/>
            </w:tcBorders>
            <w:shd w:val="clear" w:color="auto" w:fill="auto"/>
            <w:vAlign w:val="center"/>
          </w:tcPr>
          <w:p w:rsidR="00682CC1" w:rsidRPr="00682CC1" w:rsidRDefault="00682CC1" w:rsidP="009B4A17">
            <w:pPr>
              <w:pStyle w:val="Financials"/>
              <w:jc w:val="right"/>
            </w:pPr>
          </w:p>
        </w:tc>
      </w:tr>
      <w:tr w:rsidR="00682CC1" w:rsidRPr="007043E4" w:rsidTr="00F92706">
        <w:trPr>
          <w:trHeight w:val="270"/>
        </w:trPr>
        <w:tc>
          <w:tcPr>
            <w:tcW w:w="6096" w:type="dxa"/>
            <w:tcBorders>
              <w:left w:val="nil"/>
              <w:bottom w:val="nil"/>
              <w:right w:val="nil"/>
            </w:tcBorders>
            <w:shd w:val="clear" w:color="auto" w:fill="auto"/>
            <w:vAlign w:val="center"/>
            <w:hideMark/>
          </w:tcPr>
          <w:p w:rsidR="00682CC1" w:rsidRPr="009B4A17" w:rsidRDefault="00682CC1" w:rsidP="00682CC1">
            <w:pPr>
              <w:pStyle w:val="Financials"/>
              <w:rPr>
                <w:b/>
              </w:rPr>
            </w:pPr>
            <w:r w:rsidRPr="009B4A17">
              <w:rPr>
                <w:b/>
              </w:rPr>
              <w:t>LIABILITIES</w:t>
            </w:r>
          </w:p>
        </w:tc>
        <w:tc>
          <w:tcPr>
            <w:tcW w:w="850" w:type="dxa"/>
            <w:tcBorders>
              <w:left w:val="nil"/>
              <w:bottom w:val="nil"/>
              <w:right w:val="nil"/>
            </w:tcBorders>
            <w:shd w:val="clear" w:color="auto" w:fill="auto"/>
            <w:vAlign w:val="center"/>
            <w:hideMark/>
          </w:tcPr>
          <w:p w:rsidR="00682CC1" w:rsidRPr="00682CC1" w:rsidRDefault="00682CC1" w:rsidP="009B4A17">
            <w:pPr>
              <w:pStyle w:val="Financials"/>
              <w:jc w:val="right"/>
            </w:pPr>
          </w:p>
        </w:tc>
        <w:tc>
          <w:tcPr>
            <w:tcW w:w="1418" w:type="dxa"/>
            <w:tcBorders>
              <w:left w:val="nil"/>
              <w:bottom w:val="nil"/>
              <w:right w:val="nil"/>
            </w:tcBorders>
            <w:shd w:val="clear" w:color="auto" w:fill="E0DCCB" w:themeFill="accent4" w:themeFillTint="66"/>
            <w:vAlign w:val="center"/>
          </w:tcPr>
          <w:p w:rsidR="00682CC1" w:rsidRPr="00682CC1" w:rsidRDefault="00682CC1" w:rsidP="009B4A17">
            <w:pPr>
              <w:pStyle w:val="Financials"/>
              <w:jc w:val="right"/>
            </w:pPr>
          </w:p>
        </w:tc>
        <w:tc>
          <w:tcPr>
            <w:tcW w:w="1418" w:type="dxa"/>
            <w:tcBorders>
              <w:left w:val="nil"/>
              <w:bottom w:val="nil"/>
              <w:right w:val="nil"/>
            </w:tcBorders>
            <w:shd w:val="clear" w:color="auto" w:fill="auto"/>
            <w:vAlign w:val="center"/>
            <w:hideMark/>
          </w:tcPr>
          <w:p w:rsidR="00682CC1" w:rsidRPr="00682CC1" w:rsidRDefault="00682CC1" w:rsidP="009B4A17">
            <w:pPr>
              <w:pStyle w:val="Financials"/>
              <w:jc w:val="right"/>
            </w:pPr>
          </w:p>
        </w:tc>
      </w:tr>
      <w:tr w:rsidR="00682CC1" w:rsidRPr="009B4A17" w:rsidTr="00F92706">
        <w:trPr>
          <w:trHeight w:val="255"/>
        </w:trPr>
        <w:tc>
          <w:tcPr>
            <w:tcW w:w="6096" w:type="dxa"/>
            <w:tcBorders>
              <w:top w:val="nil"/>
              <w:left w:val="nil"/>
              <w:bottom w:val="nil"/>
              <w:right w:val="nil"/>
            </w:tcBorders>
            <w:shd w:val="clear" w:color="auto" w:fill="auto"/>
            <w:vAlign w:val="center"/>
            <w:hideMark/>
          </w:tcPr>
          <w:p w:rsidR="00682CC1" w:rsidRPr="009B4A17" w:rsidRDefault="00682CC1" w:rsidP="00682CC1">
            <w:pPr>
              <w:pStyle w:val="Financials"/>
              <w:rPr>
                <w:b/>
              </w:rPr>
            </w:pPr>
            <w:r w:rsidRPr="009B4A17">
              <w:rPr>
                <w:b/>
              </w:rPr>
              <w:t>Current Liabilities</w:t>
            </w:r>
          </w:p>
        </w:tc>
        <w:tc>
          <w:tcPr>
            <w:tcW w:w="850" w:type="dxa"/>
            <w:tcBorders>
              <w:top w:val="nil"/>
              <w:left w:val="nil"/>
              <w:bottom w:val="nil"/>
              <w:right w:val="nil"/>
            </w:tcBorders>
            <w:shd w:val="clear" w:color="auto" w:fill="auto"/>
            <w:vAlign w:val="center"/>
            <w:hideMark/>
          </w:tcPr>
          <w:p w:rsidR="00682CC1" w:rsidRPr="009B4A17" w:rsidRDefault="00682CC1" w:rsidP="009B4A17">
            <w:pPr>
              <w:pStyle w:val="Financials"/>
              <w:jc w:val="right"/>
              <w:rPr>
                <w:b/>
              </w:rPr>
            </w:pPr>
          </w:p>
        </w:tc>
        <w:tc>
          <w:tcPr>
            <w:tcW w:w="1418" w:type="dxa"/>
            <w:tcBorders>
              <w:top w:val="nil"/>
              <w:left w:val="nil"/>
              <w:bottom w:val="nil"/>
              <w:right w:val="nil"/>
            </w:tcBorders>
            <w:shd w:val="clear" w:color="auto" w:fill="E0DCCB" w:themeFill="accent4" w:themeFillTint="66"/>
            <w:vAlign w:val="center"/>
          </w:tcPr>
          <w:p w:rsidR="00682CC1" w:rsidRPr="009B4A17" w:rsidRDefault="00682CC1" w:rsidP="009B4A17">
            <w:pPr>
              <w:pStyle w:val="Financials"/>
              <w:jc w:val="right"/>
              <w:rPr>
                <w:b/>
              </w:rPr>
            </w:pPr>
          </w:p>
        </w:tc>
        <w:tc>
          <w:tcPr>
            <w:tcW w:w="1418" w:type="dxa"/>
            <w:tcBorders>
              <w:top w:val="nil"/>
              <w:left w:val="nil"/>
              <w:bottom w:val="nil"/>
              <w:right w:val="nil"/>
            </w:tcBorders>
            <w:shd w:val="clear" w:color="auto" w:fill="auto"/>
            <w:vAlign w:val="center"/>
            <w:hideMark/>
          </w:tcPr>
          <w:p w:rsidR="00682CC1" w:rsidRPr="009B4A17" w:rsidRDefault="00682CC1" w:rsidP="009B4A17">
            <w:pPr>
              <w:pStyle w:val="Financials"/>
              <w:jc w:val="right"/>
              <w:rPr>
                <w:b/>
              </w:rPr>
            </w:pPr>
          </w:p>
        </w:tc>
      </w:tr>
      <w:tr w:rsidR="00682CC1" w:rsidRPr="008B6259" w:rsidTr="00F92706">
        <w:trPr>
          <w:trHeight w:val="255"/>
        </w:trPr>
        <w:tc>
          <w:tcPr>
            <w:tcW w:w="6096" w:type="dxa"/>
            <w:tcBorders>
              <w:top w:val="nil"/>
              <w:left w:val="nil"/>
              <w:bottom w:val="nil"/>
              <w:right w:val="nil"/>
            </w:tcBorders>
            <w:shd w:val="clear" w:color="auto" w:fill="auto"/>
            <w:vAlign w:val="center"/>
            <w:hideMark/>
          </w:tcPr>
          <w:p w:rsidR="00682CC1" w:rsidRPr="00682CC1" w:rsidRDefault="00682CC1" w:rsidP="00682CC1">
            <w:pPr>
              <w:pStyle w:val="Financials"/>
            </w:pPr>
            <w:r w:rsidRPr="00682CC1">
              <w:t>Payables</w:t>
            </w:r>
          </w:p>
        </w:tc>
        <w:tc>
          <w:tcPr>
            <w:tcW w:w="850"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r w:rsidRPr="00682CC1">
              <w:t>21</w:t>
            </w:r>
          </w:p>
        </w:tc>
        <w:tc>
          <w:tcPr>
            <w:tcW w:w="1418" w:type="dxa"/>
            <w:tcBorders>
              <w:top w:val="nil"/>
              <w:left w:val="nil"/>
              <w:bottom w:val="nil"/>
              <w:right w:val="nil"/>
            </w:tcBorders>
            <w:shd w:val="clear" w:color="auto" w:fill="E0DCCB" w:themeFill="accent4" w:themeFillTint="66"/>
            <w:vAlign w:val="center"/>
          </w:tcPr>
          <w:p w:rsidR="00682CC1" w:rsidRPr="00682CC1" w:rsidRDefault="00682CC1" w:rsidP="009B4A17">
            <w:pPr>
              <w:pStyle w:val="Financials"/>
              <w:jc w:val="right"/>
            </w:pPr>
            <w:r w:rsidRPr="00682CC1">
              <w:t>423,643</w:t>
            </w:r>
          </w:p>
        </w:tc>
        <w:tc>
          <w:tcPr>
            <w:tcW w:w="1418" w:type="dxa"/>
            <w:tcBorders>
              <w:top w:val="nil"/>
              <w:left w:val="nil"/>
              <w:bottom w:val="nil"/>
              <w:right w:val="nil"/>
            </w:tcBorders>
            <w:shd w:val="clear" w:color="auto" w:fill="auto"/>
            <w:vAlign w:val="center"/>
            <w:hideMark/>
          </w:tcPr>
          <w:p w:rsidR="00682CC1" w:rsidRPr="00682CC1" w:rsidRDefault="00682CC1" w:rsidP="009B4A17">
            <w:pPr>
              <w:pStyle w:val="Financials"/>
              <w:jc w:val="right"/>
            </w:pPr>
            <w:r w:rsidRPr="00682CC1">
              <w:t>974,116</w:t>
            </w:r>
          </w:p>
        </w:tc>
      </w:tr>
      <w:tr w:rsidR="00682CC1" w:rsidRPr="008B6259" w:rsidTr="00F92706">
        <w:trPr>
          <w:trHeight w:val="255"/>
        </w:trPr>
        <w:tc>
          <w:tcPr>
            <w:tcW w:w="6096" w:type="dxa"/>
            <w:tcBorders>
              <w:top w:val="nil"/>
              <w:left w:val="nil"/>
              <w:right w:val="nil"/>
            </w:tcBorders>
            <w:shd w:val="clear" w:color="auto" w:fill="auto"/>
            <w:vAlign w:val="center"/>
            <w:hideMark/>
          </w:tcPr>
          <w:p w:rsidR="00682CC1" w:rsidRPr="00682CC1" w:rsidRDefault="00682CC1" w:rsidP="00682CC1">
            <w:pPr>
              <w:pStyle w:val="Financials"/>
            </w:pPr>
            <w:r w:rsidRPr="00682CC1">
              <w:t>Provisions</w:t>
            </w:r>
          </w:p>
        </w:tc>
        <w:tc>
          <w:tcPr>
            <w:tcW w:w="850" w:type="dxa"/>
            <w:tcBorders>
              <w:top w:val="nil"/>
              <w:left w:val="nil"/>
              <w:right w:val="nil"/>
            </w:tcBorders>
            <w:shd w:val="clear" w:color="auto" w:fill="auto"/>
            <w:vAlign w:val="center"/>
            <w:hideMark/>
          </w:tcPr>
          <w:p w:rsidR="00682CC1" w:rsidRPr="00682CC1" w:rsidRDefault="00682CC1" w:rsidP="009B4A17">
            <w:pPr>
              <w:pStyle w:val="Financials"/>
              <w:jc w:val="right"/>
            </w:pPr>
            <w:r w:rsidRPr="00682CC1">
              <w:t>22</w:t>
            </w:r>
          </w:p>
        </w:tc>
        <w:tc>
          <w:tcPr>
            <w:tcW w:w="1418" w:type="dxa"/>
            <w:tcBorders>
              <w:top w:val="nil"/>
              <w:left w:val="nil"/>
              <w:right w:val="nil"/>
            </w:tcBorders>
            <w:shd w:val="clear" w:color="auto" w:fill="E0DCCB" w:themeFill="accent4" w:themeFillTint="66"/>
            <w:vAlign w:val="center"/>
          </w:tcPr>
          <w:p w:rsidR="00682CC1" w:rsidRPr="00682CC1" w:rsidRDefault="00682CC1" w:rsidP="009B4A17">
            <w:pPr>
              <w:pStyle w:val="Financials"/>
              <w:jc w:val="right"/>
            </w:pPr>
            <w:r w:rsidRPr="00682CC1">
              <w:t>1,851,511</w:t>
            </w:r>
          </w:p>
        </w:tc>
        <w:tc>
          <w:tcPr>
            <w:tcW w:w="1418" w:type="dxa"/>
            <w:tcBorders>
              <w:top w:val="nil"/>
              <w:left w:val="nil"/>
              <w:right w:val="nil"/>
            </w:tcBorders>
            <w:shd w:val="clear" w:color="auto" w:fill="auto"/>
            <w:vAlign w:val="center"/>
            <w:hideMark/>
          </w:tcPr>
          <w:p w:rsidR="00682CC1" w:rsidRPr="00682CC1" w:rsidRDefault="00682CC1" w:rsidP="009B4A17">
            <w:pPr>
              <w:pStyle w:val="Financials"/>
              <w:jc w:val="right"/>
            </w:pPr>
            <w:r w:rsidRPr="00682CC1">
              <w:t>2,013,053</w:t>
            </w:r>
          </w:p>
        </w:tc>
      </w:tr>
      <w:tr w:rsidR="00682CC1" w:rsidRPr="009B4A17" w:rsidTr="00F92706">
        <w:trPr>
          <w:trHeight w:val="270"/>
        </w:trPr>
        <w:tc>
          <w:tcPr>
            <w:tcW w:w="6096" w:type="dxa"/>
            <w:tcBorders>
              <w:top w:val="nil"/>
              <w:left w:val="nil"/>
              <w:bottom w:val="single" w:sz="4" w:space="0" w:color="E0DCCB" w:themeColor="accent4" w:themeTint="66"/>
              <w:right w:val="nil"/>
            </w:tcBorders>
            <w:shd w:val="clear" w:color="auto" w:fill="auto"/>
            <w:vAlign w:val="center"/>
            <w:hideMark/>
          </w:tcPr>
          <w:p w:rsidR="00682CC1" w:rsidRPr="009B4A17" w:rsidRDefault="00682CC1" w:rsidP="00F92706">
            <w:pPr>
              <w:pStyle w:val="Financials"/>
              <w:rPr>
                <w:b/>
              </w:rPr>
            </w:pPr>
            <w:r w:rsidRPr="009B4A17">
              <w:rPr>
                <w:b/>
              </w:rPr>
              <w:t>Total Current Liabilities</w:t>
            </w:r>
          </w:p>
        </w:tc>
        <w:tc>
          <w:tcPr>
            <w:tcW w:w="850" w:type="dxa"/>
            <w:tcBorders>
              <w:top w:val="nil"/>
              <w:left w:val="nil"/>
              <w:bottom w:val="single" w:sz="4" w:space="0" w:color="E0DCCB" w:themeColor="accent4" w:themeTint="66"/>
              <w:right w:val="nil"/>
            </w:tcBorders>
            <w:shd w:val="clear" w:color="auto" w:fill="auto"/>
            <w:vAlign w:val="center"/>
            <w:hideMark/>
          </w:tcPr>
          <w:p w:rsidR="00682CC1" w:rsidRPr="009B4A17" w:rsidRDefault="00682CC1" w:rsidP="00F92706">
            <w:pPr>
              <w:spacing w:after="0" w:line="240" w:lineRule="auto"/>
              <w:jc w:val="right"/>
              <w:rPr>
                <w:b/>
                <w:sz w:val="22"/>
              </w:rPr>
            </w:pPr>
          </w:p>
        </w:tc>
        <w:tc>
          <w:tcPr>
            <w:tcW w:w="1418" w:type="dxa"/>
            <w:tcBorders>
              <w:top w:val="nil"/>
              <w:left w:val="nil"/>
              <w:bottom w:val="single" w:sz="4" w:space="0" w:color="FFFFFF" w:themeColor="background1"/>
              <w:right w:val="nil"/>
            </w:tcBorders>
            <w:shd w:val="clear" w:color="auto" w:fill="E0DCCB" w:themeFill="accent4" w:themeFillTint="66"/>
            <w:vAlign w:val="center"/>
          </w:tcPr>
          <w:p w:rsidR="00682CC1" w:rsidRPr="009B4A17" w:rsidRDefault="00682CC1" w:rsidP="00F92706">
            <w:pPr>
              <w:spacing w:after="0" w:line="240" w:lineRule="auto"/>
              <w:jc w:val="right"/>
              <w:rPr>
                <w:b/>
                <w:sz w:val="22"/>
              </w:rPr>
            </w:pPr>
            <w:r w:rsidRPr="009B4A17">
              <w:rPr>
                <w:b/>
                <w:sz w:val="22"/>
              </w:rPr>
              <w:fldChar w:fldCharType="begin"/>
            </w:r>
            <w:r w:rsidRPr="009B4A17">
              <w:rPr>
                <w:b/>
                <w:sz w:val="22"/>
              </w:rPr>
              <w:instrText xml:space="preserve"> =SUM(ABOVE) </w:instrText>
            </w:r>
            <w:r w:rsidRPr="009B4A17">
              <w:rPr>
                <w:b/>
                <w:sz w:val="22"/>
              </w:rPr>
              <w:fldChar w:fldCharType="separate"/>
            </w:r>
            <w:r w:rsidRPr="009B4A17">
              <w:rPr>
                <w:b/>
                <w:sz w:val="22"/>
              </w:rPr>
              <w:t>2,275,154</w:t>
            </w:r>
            <w:r w:rsidRPr="009B4A17">
              <w:rPr>
                <w:b/>
                <w:sz w:val="22"/>
              </w:rPr>
              <w:fldChar w:fldCharType="end"/>
            </w:r>
          </w:p>
        </w:tc>
        <w:tc>
          <w:tcPr>
            <w:tcW w:w="1418" w:type="dxa"/>
            <w:tcBorders>
              <w:top w:val="nil"/>
              <w:left w:val="nil"/>
              <w:bottom w:val="single" w:sz="4" w:space="0" w:color="E0DCCB" w:themeColor="accent4" w:themeTint="66"/>
              <w:right w:val="nil"/>
            </w:tcBorders>
            <w:shd w:val="clear" w:color="auto" w:fill="auto"/>
            <w:vAlign w:val="center"/>
            <w:hideMark/>
          </w:tcPr>
          <w:p w:rsidR="00682CC1" w:rsidRPr="009B4A17" w:rsidRDefault="00682CC1" w:rsidP="00F92706">
            <w:pPr>
              <w:spacing w:after="0" w:line="240" w:lineRule="auto"/>
              <w:jc w:val="right"/>
              <w:rPr>
                <w:b/>
                <w:sz w:val="22"/>
              </w:rPr>
            </w:pPr>
            <w:r w:rsidRPr="009B4A17">
              <w:rPr>
                <w:b/>
                <w:sz w:val="22"/>
              </w:rPr>
              <w:fldChar w:fldCharType="begin"/>
            </w:r>
            <w:r w:rsidRPr="009B4A17">
              <w:rPr>
                <w:b/>
                <w:sz w:val="22"/>
              </w:rPr>
              <w:instrText xml:space="preserve"> =SUM(ABOVE) </w:instrText>
            </w:r>
            <w:r w:rsidRPr="009B4A17">
              <w:rPr>
                <w:b/>
                <w:sz w:val="22"/>
              </w:rPr>
              <w:fldChar w:fldCharType="separate"/>
            </w:r>
            <w:r w:rsidRPr="009B4A17">
              <w:rPr>
                <w:b/>
                <w:sz w:val="22"/>
              </w:rPr>
              <w:t>2,987,169</w:t>
            </w:r>
            <w:r w:rsidRPr="009B4A17">
              <w:rPr>
                <w:b/>
                <w:sz w:val="22"/>
              </w:rPr>
              <w:fldChar w:fldCharType="end"/>
            </w:r>
          </w:p>
        </w:tc>
      </w:tr>
      <w:tr w:rsidR="00682CC1" w:rsidRPr="00D578E2" w:rsidTr="00F92706">
        <w:trPr>
          <w:trHeight w:val="270"/>
        </w:trPr>
        <w:tc>
          <w:tcPr>
            <w:tcW w:w="6096" w:type="dxa"/>
            <w:tcBorders>
              <w:top w:val="single" w:sz="4" w:space="0" w:color="E0DCCB" w:themeColor="accent4" w:themeTint="66"/>
              <w:left w:val="nil"/>
              <w:right w:val="nil"/>
            </w:tcBorders>
            <w:shd w:val="clear" w:color="auto" w:fill="auto"/>
            <w:vAlign w:val="center"/>
            <w:hideMark/>
          </w:tcPr>
          <w:p w:rsidR="00682CC1" w:rsidRPr="00682CC1" w:rsidRDefault="00682CC1" w:rsidP="00682CC1">
            <w:pPr>
              <w:pStyle w:val="Financials"/>
            </w:pPr>
          </w:p>
        </w:tc>
        <w:tc>
          <w:tcPr>
            <w:tcW w:w="850" w:type="dxa"/>
            <w:tcBorders>
              <w:top w:val="single" w:sz="4" w:space="0" w:color="E0DCCB" w:themeColor="accent4" w:themeTint="66"/>
              <w:left w:val="nil"/>
              <w:right w:val="nil"/>
            </w:tcBorders>
            <w:shd w:val="clear" w:color="auto" w:fill="auto"/>
            <w:vAlign w:val="center"/>
            <w:hideMark/>
          </w:tcPr>
          <w:p w:rsidR="00682CC1" w:rsidRPr="00682CC1" w:rsidRDefault="00682CC1" w:rsidP="009B4A17">
            <w:pPr>
              <w:pStyle w:val="Financials"/>
              <w:jc w:val="right"/>
            </w:pPr>
          </w:p>
        </w:tc>
        <w:tc>
          <w:tcPr>
            <w:tcW w:w="1418" w:type="dxa"/>
            <w:tcBorders>
              <w:top w:val="single" w:sz="4" w:space="0" w:color="FFFFFF" w:themeColor="background1"/>
              <w:left w:val="nil"/>
              <w:right w:val="nil"/>
            </w:tcBorders>
            <w:shd w:val="clear" w:color="auto" w:fill="E0DCCB" w:themeFill="accent4" w:themeFillTint="66"/>
            <w:vAlign w:val="center"/>
          </w:tcPr>
          <w:p w:rsidR="00682CC1" w:rsidRPr="00682CC1" w:rsidRDefault="00682CC1" w:rsidP="009B4A17">
            <w:pPr>
              <w:pStyle w:val="Financials"/>
              <w:jc w:val="right"/>
            </w:pPr>
          </w:p>
        </w:tc>
        <w:tc>
          <w:tcPr>
            <w:tcW w:w="1418" w:type="dxa"/>
            <w:tcBorders>
              <w:top w:val="single" w:sz="4" w:space="0" w:color="E0DCCB" w:themeColor="accent4" w:themeTint="66"/>
              <w:left w:val="nil"/>
              <w:right w:val="nil"/>
            </w:tcBorders>
            <w:shd w:val="clear" w:color="auto" w:fill="auto"/>
            <w:vAlign w:val="center"/>
            <w:hideMark/>
          </w:tcPr>
          <w:p w:rsidR="00682CC1" w:rsidRPr="00682CC1" w:rsidRDefault="00682CC1" w:rsidP="009B4A17">
            <w:pPr>
              <w:pStyle w:val="Financials"/>
              <w:jc w:val="right"/>
            </w:pPr>
          </w:p>
        </w:tc>
      </w:tr>
      <w:tr w:rsidR="00682CC1" w:rsidRPr="007043E4" w:rsidTr="00F92706">
        <w:trPr>
          <w:trHeight w:val="270"/>
        </w:trPr>
        <w:tc>
          <w:tcPr>
            <w:tcW w:w="6096" w:type="dxa"/>
            <w:tcBorders>
              <w:left w:val="nil"/>
              <w:right w:val="nil"/>
            </w:tcBorders>
            <w:shd w:val="clear" w:color="auto" w:fill="auto"/>
            <w:vAlign w:val="center"/>
            <w:hideMark/>
          </w:tcPr>
          <w:p w:rsidR="00682CC1" w:rsidRPr="009B4A17" w:rsidRDefault="00682CC1" w:rsidP="00682CC1">
            <w:pPr>
              <w:pStyle w:val="Financials"/>
              <w:rPr>
                <w:b/>
              </w:rPr>
            </w:pPr>
            <w:r w:rsidRPr="009B4A17">
              <w:rPr>
                <w:b/>
              </w:rPr>
              <w:t>Non-Current Liabilities</w:t>
            </w:r>
          </w:p>
        </w:tc>
        <w:tc>
          <w:tcPr>
            <w:tcW w:w="850" w:type="dxa"/>
            <w:tcBorders>
              <w:left w:val="nil"/>
              <w:right w:val="nil"/>
            </w:tcBorders>
            <w:shd w:val="clear" w:color="auto" w:fill="auto"/>
            <w:vAlign w:val="center"/>
            <w:hideMark/>
          </w:tcPr>
          <w:p w:rsidR="00682CC1" w:rsidRPr="00682CC1" w:rsidRDefault="00682CC1" w:rsidP="009B4A17">
            <w:pPr>
              <w:pStyle w:val="Financials"/>
              <w:jc w:val="right"/>
            </w:pPr>
          </w:p>
        </w:tc>
        <w:tc>
          <w:tcPr>
            <w:tcW w:w="1418" w:type="dxa"/>
            <w:tcBorders>
              <w:left w:val="nil"/>
              <w:right w:val="nil"/>
            </w:tcBorders>
            <w:shd w:val="clear" w:color="auto" w:fill="E0DCCB" w:themeFill="accent4" w:themeFillTint="66"/>
            <w:vAlign w:val="center"/>
          </w:tcPr>
          <w:p w:rsidR="00682CC1" w:rsidRPr="00682CC1" w:rsidRDefault="00682CC1" w:rsidP="009B4A17">
            <w:pPr>
              <w:pStyle w:val="Financials"/>
              <w:jc w:val="right"/>
            </w:pPr>
          </w:p>
        </w:tc>
        <w:tc>
          <w:tcPr>
            <w:tcW w:w="1418" w:type="dxa"/>
            <w:tcBorders>
              <w:left w:val="nil"/>
              <w:right w:val="nil"/>
            </w:tcBorders>
            <w:shd w:val="clear" w:color="auto" w:fill="auto"/>
            <w:vAlign w:val="center"/>
            <w:hideMark/>
          </w:tcPr>
          <w:p w:rsidR="00682CC1" w:rsidRPr="00682CC1" w:rsidRDefault="00682CC1" w:rsidP="009B4A17">
            <w:pPr>
              <w:pStyle w:val="Financials"/>
              <w:jc w:val="right"/>
            </w:pPr>
          </w:p>
        </w:tc>
      </w:tr>
      <w:tr w:rsidR="00682CC1" w:rsidRPr="008B6259" w:rsidTr="00F92706">
        <w:trPr>
          <w:trHeight w:val="285"/>
        </w:trPr>
        <w:tc>
          <w:tcPr>
            <w:tcW w:w="6096" w:type="dxa"/>
            <w:tcBorders>
              <w:left w:val="nil"/>
              <w:right w:val="nil"/>
            </w:tcBorders>
            <w:shd w:val="clear" w:color="auto" w:fill="auto"/>
            <w:vAlign w:val="center"/>
            <w:hideMark/>
          </w:tcPr>
          <w:p w:rsidR="00682CC1" w:rsidRPr="00682CC1" w:rsidRDefault="00682CC1" w:rsidP="00682CC1">
            <w:pPr>
              <w:pStyle w:val="Financials"/>
            </w:pPr>
            <w:r w:rsidRPr="00682CC1">
              <w:t>Provisions</w:t>
            </w:r>
          </w:p>
        </w:tc>
        <w:tc>
          <w:tcPr>
            <w:tcW w:w="850" w:type="dxa"/>
            <w:tcBorders>
              <w:left w:val="nil"/>
              <w:right w:val="nil"/>
            </w:tcBorders>
            <w:shd w:val="clear" w:color="auto" w:fill="auto"/>
            <w:vAlign w:val="center"/>
            <w:hideMark/>
          </w:tcPr>
          <w:p w:rsidR="00682CC1" w:rsidRPr="00682CC1" w:rsidRDefault="00682CC1" w:rsidP="009B4A17">
            <w:pPr>
              <w:pStyle w:val="Financials"/>
              <w:jc w:val="right"/>
            </w:pPr>
            <w:r w:rsidRPr="00682CC1">
              <w:t>22</w:t>
            </w:r>
          </w:p>
        </w:tc>
        <w:tc>
          <w:tcPr>
            <w:tcW w:w="1418" w:type="dxa"/>
            <w:tcBorders>
              <w:left w:val="nil"/>
              <w:right w:val="nil"/>
            </w:tcBorders>
            <w:shd w:val="clear" w:color="auto" w:fill="E0DCCB" w:themeFill="accent4" w:themeFillTint="66"/>
            <w:vAlign w:val="center"/>
          </w:tcPr>
          <w:p w:rsidR="00682CC1" w:rsidRPr="00682CC1" w:rsidRDefault="00682CC1" w:rsidP="009B4A17">
            <w:pPr>
              <w:pStyle w:val="Financials"/>
              <w:jc w:val="right"/>
            </w:pPr>
            <w:r w:rsidRPr="00682CC1">
              <w:t>658,550</w:t>
            </w:r>
          </w:p>
        </w:tc>
        <w:tc>
          <w:tcPr>
            <w:tcW w:w="1418" w:type="dxa"/>
            <w:tcBorders>
              <w:left w:val="nil"/>
              <w:right w:val="nil"/>
            </w:tcBorders>
            <w:shd w:val="clear" w:color="auto" w:fill="auto"/>
            <w:vAlign w:val="center"/>
            <w:hideMark/>
          </w:tcPr>
          <w:p w:rsidR="00682CC1" w:rsidRPr="00682CC1" w:rsidRDefault="00682CC1" w:rsidP="009B4A17">
            <w:pPr>
              <w:pStyle w:val="Financials"/>
              <w:jc w:val="right"/>
            </w:pPr>
            <w:r w:rsidRPr="00682CC1">
              <w:t>813,706</w:t>
            </w:r>
          </w:p>
        </w:tc>
      </w:tr>
      <w:tr w:rsidR="00682CC1" w:rsidRPr="007043E4" w:rsidTr="00F92706">
        <w:trPr>
          <w:trHeight w:val="285"/>
        </w:trPr>
        <w:tc>
          <w:tcPr>
            <w:tcW w:w="6096" w:type="dxa"/>
            <w:tcBorders>
              <w:left w:val="nil"/>
              <w:bottom w:val="single" w:sz="4" w:space="0" w:color="E0DCCB" w:themeColor="accent4" w:themeTint="66"/>
              <w:right w:val="nil"/>
            </w:tcBorders>
            <w:shd w:val="clear" w:color="auto" w:fill="auto"/>
            <w:vAlign w:val="center"/>
          </w:tcPr>
          <w:p w:rsidR="00682CC1" w:rsidRPr="00F92706" w:rsidRDefault="00682CC1" w:rsidP="00682CC1">
            <w:pPr>
              <w:pStyle w:val="Financials"/>
              <w:rPr>
                <w:b/>
              </w:rPr>
            </w:pPr>
            <w:r w:rsidRPr="00F92706">
              <w:rPr>
                <w:b/>
              </w:rPr>
              <w:t>Total Non-Current Liabilities</w:t>
            </w:r>
          </w:p>
        </w:tc>
        <w:tc>
          <w:tcPr>
            <w:tcW w:w="850" w:type="dxa"/>
            <w:tcBorders>
              <w:left w:val="nil"/>
              <w:bottom w:val="single" w:sz="4" w:space="0" w:color="E0DCCB" w:themeColor="accent4" w:themeTint="66"/>
              <w:right w:val="nil"/>
            </w:tcBorders>
            <w:shd w:val="clear" w:color="auto" w:fill="auto"/>
            <w:vAlign w:val="center"/>
          </w:tcPr>
          <w:p w:rsidR="00682CC1" w:rsidRPr="00682CC1" w:rsidRDefault="00682CC1" w:rsidP="009B4A17">
            <w:pPr>
              <w:pStyle w:val="Financials"/>
              <w:jc w:val="right"/>
            </w:pPr>
          </w:p>
        </w:tc>
        <w:tc>
          <w:tcPr>
            <w:tcW w:w="1418" w:type="dxa"/>
            <w:tcBorders>
              <w:left w:val="nil"/>
              <w:bottom w:val="single" w:sz="4" w:space="0" w:color="FFFFFF" w:themeColor="background1"/>
              <w:right w:val="nil"/>
            </w:tcBorders>
            <w:shd w:val="clear" w:color="auto" w:fill="E0DCCB" w:themeFill="accent4" w:themeFillTint="66"/>
            <w:vAlign w:val="center"/>
          </w:tcPr>
          <w:p w:rsidR="00682CC1" w:rsidRPr="00F92706" w:rsidRDefault="00682CC1" w:rsidP="009B4A17">
            <w:pPr>
              <w:pStyle w:val="Financials"/>
              <w:jc w:val="right"/>
              <w:rPr>
                <w:b/>
              </w:rPr>
            </w:pPr>
            <w:r w:rsidRPr="00F92706">
              <w:rPr>
                <w:b/>
              </w:rPr>
              <w:fldChar w:fldCharType="begin"/>
            </w:r>
            <w:r w:rsidRPr="00F92706">
              <w:rPr>
                <w:b/>
              </w:rPr>
              <w:instrText xml:space="preserve"> =SUM(ABOVE) </w:instrText>
            </w:r>
            <w:r w:rsidRPr="00F92706">
              <w:rPr>
                <w:b/>
              </w:rPr>
              <w:fldChar w:fldCharType="separate"/>
            </w:r>
            <w:r w:rsidRPr="00F92706">
              <w:rPr>
                <w:b/>
              </w:rPr>
              <w:t>658,550</w:t>
            </w:r>
            <w:r w:rsidRPr="00F92706">
              <w:rPr>
                <w:b/>
              </w:rPr>
              <w:fldChar w:fldCharType="end"/>
            </w:r>
          </w:p>
        </w:tc>
        <w:tc>
          <w:tcPr>
            <w:tcW w:w="1418" w:type="dxa"/>
            <w:tcBorders>
              <w:left w:val="nil"/>
              <w:bottom w:val="single" w:sz="4" w:space="0" w:color="E0DCCB" w:themeColor="accent4" w:themeTint="66"/>
              <w:right w:val="nil"/>
            </w:tcBorders>
            <w:shd w:val="clear" w:color="auto" w:fill="auto"/>
            <w:vAlign w:val="center"/>
          </w:tcPr>
          <w:p w:rsidR="00682CC1" w:rsidRPr="00F92706" w:rsidRDefault="00682CC1" w:rsidP="009B4A17">
            <w:pPr>
              <w:pStyle w:val="Financials"/>
              <w:jc w:val="right"/>
              <w:rPr>
                <w:b/>
              </w:rPr>
            </w:pPr>
            <w:r w:rsidRPr="00F92706">
              <w:rPr>
                <w:b/>
              </w:rPr>
              <w:fldChar w:fldCharType="begin"/>
            </w:r>
            <w:r w:rsidRPr="00F92706">
              <w:rPr>
                <w:b/>
              </w:rPr>
              <w:instrText xml:space="preserve"> =SUM(ABOVE) </w:instrText>
            </w:r>
            <w:r w:rsidRPr="00F92706">
              <w:rPr>
                <w:b/>
              </w:rPr>
              <w:fldChar w:fldCharType="separate"/>
            </w:r>
            <w:r w:rsidRPr="00F92706">
              <w:rPr>
                <w:b/>
              </w:rPr>
              <w:t>813,706</w:t>
            </w:r>
            <w:r w:rsidRPr="00F92706">
              <w:rPr>
                <w:b/>
              </w:rPr>
              <w:fldChar w:fldCharType="end"/>
            </w:r>
          </w:p>
        </w:tc>
      </w:tr>
      <w:tr w:rsidR="00682CC1" w:rsidRPr="009B4A17" w:rsidTr="00F92706">
        <w:trPr>
          <w:trHeight w:val="285"/>
        </w:trPr>
        <w:tc>
          <w:tcPr>
            <w:tcW w:w="6096"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682CC1">
            <w:pPr>
              <w:pStyle w:val="Financials"/>
              <w:rPr>
                <w:b/>
              </w:rPr>
            </w:pPr>
            <w:r w:rsidRPr="009B4A17">
              <w:rPr>
                <w:b/>
              </w:rPr>
              <w:t>TOTAL LIABILITIES</w:t>
            </w:r>
          </w:p>
        </w:tc>
        <w:tc>
          <w:tcPr>
            <w:tcW w:w="850"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9B4A17">
            <w:pPr>
              <w:pStyle w:val="Financials"/>
              <w:jc w:val="right"/>
              <w:rPr>
                <w:b/>
              </w:rPr>
            </w:pPr>
          </w:p>
        </w:tc>
        <w:tc>
          <w:tcPr>
            <w:tcW w:w="1418"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682CC1" w:rsidRPr="009B4A17" w:rsidRDefault="00682CC1" w:rsidP="009B4A17">
            <w:pPr>
              <w:pStyle w:val="Financials"/>
              <w:jc w:val="right"/>
              <w:rPr>
                <w:b/>
              </w:rPr>
            </w:pPr>
            <w:r w:rsidRPr="009B4A17">
              <w:rPr>
                <w:b/>
              </w:rPr>
              <w:t>2,933,704</w:t>
            </w:r>
          </w:p>
        </w:tc>
        <w:tc>
          <w:tcPr>
            <w:tcW w:w="1418"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9B4A17">
            <w:pPr>
              <w:pStyle w:val="Financials"/>
              <w:jc w:val="right"/>
              <w:rPr>
                <w:b/>
              </w:rPr>
            </w:pPr>
            <w:r w:rsidRPr="009B4A17">
              <w:rPr>
                <w:b/>
              </w:rPr>
              <w:t>3,800,875</w:t>
            </w:r>
          </w:p>
        </w:tc>
      </w:tr>
      <w:tr w:rsidR="00682CC1" w:rsidRPr="007043E4" w:rsidTr="00F92706">
        <w:trPr>
          <w:trHeight w:val="285"/>
        </w:trPr>
        <w:tc>
          <w:tcPr>
            <w:tcW w:w="6096" w:type="dxa"/>
            <w:tcBorders>
              <w:top w:val="single" w:sz="4" w:space="0" w:color="B2A97E" w:themeColor="accent4"/>
              <w:left w:val="nil"/>
              <w:bottom w:val="single" w:sz="4" w:space="0" w:color="E0DCCB" w:themeColor="accent4" w:themeTint="66"/>
              <w:right w:val="nil"/>
            </w:tcBorders>
            <w:shd w:val="clear" w:color="auto" w:fill="auto"/>
            <w:vAlign w:val="center"/>
          </w:tcPr>
          <w:p w:rsidR="00682CC1" w:rsidRPr="00682CC1" w:rsidRDefault="00682CC1" w:rsidP="00682CC1">
            <w:pPr>
              <w:pStyle w:val="Financials"/>
            </w:pPr>
          </w:p>
        </w:tc>
        <w:tc>
          <w:tcPr>
            <w:tcW w:w="850" w:type="dxa"/>
            <w:tcBorders>
              <w:top w:val="single" w:sz="4" w:space="0" w:color="B2A97E" w:themeColor="accent4"/>
              <w:left w:val="nil"/>
              <w:bottom w:val="single" w:sz="4" w:space="0" w:color="E0DCCB" w:themeColor="accent4" w:themeTint="66"/>
              <w:right w:val="nil"/>
            </w:tcBorders>
            <w:shd w:val="clear" w:color="auto" w:fill="auto"/>
            <w:vAlign w:val="center"/>
          </w:tcPr>
          <w:p w:rsidR="00682CC1" w:rsidRPr="00682CC1" w:rsidRDefault="00682CC1" w:rsidP="009B4A17">
            <w:pPr>
              <w:pStyle w:val="Financials"/>
              <w:jc w:val="right"/>
            </w:pPr>
          </w:p>
        </w:tc>
        <w:tc>
          <w:tcPr>
            <w:tcW w:w="1418" w:type="dxa"/>
            <w:tcBorders>
              <w:top w:val="single" w:sz="4" w:space="0" w:color="B2A97E" w:themeColor="accent4"/>
              <w:left w:val="nil"/>
              <w:bottom w:val="single" w:sz="4" w:space="0" w:color="FFFFFF" w:themeColor="background1"/>
              <w:right w:val="nil"/>
            </w:tcBorders>
            <w:shd w:val="clear" w:color="auto" w:fill="E0DCCB" w:themeFill="accent4" w:themeFillTint="66"/>
            <w:vAlign w:val="center"/>
          </w:tcPr>
          <w:p w:rsidR="00682CC1" w:rsidRPr="00682CC1" w:rsidRDefault="00682CC1" w:rsidP="009B4A17">
            <w:pPr>
              <w:pStyle w:val="Financials"/>
              <w:jc w:val="right"/>
            </w:pPr>
          </w:p>
        </w:tc>
        <w:tc>
          <w:tcPr>
            <w:tcW w:w="1418" w:type="dxa"/>
            <w:tcBorders>
              <w:top w:val="single" w:sz="4" w:space="0" w:color="B2A97E" w:themeColor="accent4"/>
              <w:left w:val="nil"/>
              <w:bottom w:val="single" w:sz="4" w:space="0" w:color="E0DCCB" w:themeColor="accent4" w:themeTint="66"/>
              <w:right w:val="nil"/>
            </w:tcBorders>
            <w:shd w:val="clear" w:color="auto" w:fill="auto"/>
            <w:vAlign w:val="center"/>
          </w:tcPr>
          <w:p w:rsidR="00682CC1" w:rsidRPr="00682CC1" w:rsidRDefault="00682CC1" w:rsidP="009B4A17">
            <w:pPr>
              <w:pStyle w:val="Financials"/>
              <w:jc w:val="right"/>
            </w:pPr>
          </w:p>
        </w:tc>
      </w:tr>
      <w:tr w:rsidR="00682CC1" w:rsidRPr="009B4A17" w:rsidTr="00F92706">
        <w:trPr>
          <w:trHeight w:val="285"/>
        </w:trPr>
        <w:tc>
          <w:tcPr>
            <w:tcW w:w="6096"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682CC1">
            <w:pPr>
              <w:pStyle w:val="Financials"/>
              <w:rPr>
                <w:b/>
              </w:rPr>
            </w:pPr>
            <w:r w:rsidRPr="009B4A17">
              <w:rPr>
                <w:b/>
              </w:rPr>
              <w:t>NET ASSETS</w:t>
            </w:r>
          </w:p>
        </w:tc>
        <w:tc>
          <w:tcPr>
            <w:tcW w:w="850"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9B4A17">
            <w:pPr>
              <w:pStyle w:val="Financials"/>
              <w:jc w:val="right"/>
              <w:rPr>
                <w:b/>
              </w:rPr>
            </w:pPr>
          </w:p>
        </w:tc>
        <w:tc>
          <w:tcPr>
            <w:tcW w:w="1418"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682CC1" w:rsidRPr="009B4A17" w:rsidRDefault="00682CC1" w:rsidP="009B4A17">
            <w:pPr>
              <w:pStyle w:val="Financials"/>
              <w:jc w:val="right"/>
              <w:rPr>
                <w:b/>
              </w:rPr>
            </w:pPr>
            <w:r w:rsidRPr="009B4A17">
              <w:rPr>
                <w:b/>
              </w:rPr>
              <w:t>(1,324,167)</w:t>
            </w:r>
          </w:p>
        </w:tc>
        <w:tc>
          <w:tcPr>
            <w:tcW w:w="1418"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9B4A17">
            <w:pPr>
              <w:pStyle w:val="Financials"/>
              <w:jc w:val="right"/>
              <w:rPr>
                <w:b/>
              </w:rPr>
            </w:pPr>
            <w:r w:rsidRPr="009B4A17">
              <w:rPr>
                <w:b/>
              </w:rPr>
              <w:t>(1,827,214)</w:t>
            </w:r>
          </w:p>
        </w:tc>
      </w:tr>
      <w:tr w:rsidR="00682CC1" w:rsidRPr="00CE4DA4" w:rsidTr="00F92706">
        <w:trPr>
          <w:trHeight w:val="285"/>
        </w:trPr>
        <w:tc>
          <w:tcPr>
            <w:tcW w:w="6096" w:type="dxa"/>
            <w:tcBorders>
              <w:top w:val="single" w:sz="4" w:space="0" w:color="B2A97E" w:themeColor="accent4"/>
              <w:left w:val="nil"/>
              <w:right w:val="nil"/>
            </w:tcBorders>
            <w:shd w:val="clear" w:color="auto" w:fill="auto"/>
            <w:vAlign w:val="center"/>
          </w:tcPr>
          <w:p w:rsidR="00682CC1" w:rsidRPr="00682CC1" w:rsidRDefault="00682CC1" w:rsidP="00682CC1">
            <w:pPr>
              <w:pStyle w:val="Financials"/>
            </w:pPr>
          </w:p>
        </w:tc>
        <w:tc>
          <w:tcPr>
            <w:tcW w:w="850" w:type="dxa"/>
            <w:tcBorders>
              <w:top w:val="single" w:sz="4" w:space="0" w:color="B2A97E" w:themeColor="accent4"/>
              <w:left w:val="nil"/>
              <w:right w:val="nil"/>
            </w:tcBorders>
            <w:shd w:val="clear" w:color="auto" w:fill="auto"/>
            <w:vAlign w:val="center"/>
          </w:tcPr>
          <w:p w:rsidR="00682CC1" w:rsidRPr="00682CC1" w:rsidRDefault="00682CC1" w:rsidP="009B4A17">
            <w:pPr>
              <w:pStyle w:val="Financials"/>
              <w:jc w:val="right"/>
            </w:pPr>
          </w:p>
        </w:tc>
        <w:tc>
          <w:tcPr>
            <w:tcW w:w="1418" w:type="dxa"/>
            <w:tcBorders>
              <w:top w:val="single" w:sz="4" w:space="0" w:color="B2A97E" w:themeColor="accent4"/>
              <w:left w:val="nil"/>
              <w:right w:val="nil"/>
            </w:tcBorders>
            <w:shd w:val="clear" w:color="auto" w:fill="E0DCCB" w:themeFill="accent4" w:themeFillTint="66"/>
            <w:vAlign w:val="center"/>
          </w:tcPr>
          <w:p w:rsidR="00682CC1" w:rsidRPr="00682CC1" w:rsidRDefault="00682CC1" w:rsidP="009B4A17">
            <w:pPr>
              <w:pStyle w:val="Financials"/>
              <w:jc w:val="right"/>
            </w:pPr>
          </w:p>
        </w:tc>
        <w:tc>
          <w:tcPr>
            <w:tcW w:w="1418" w:type="dxa"/>
            <w:tcBorders>
              <w:top w:val="single" w:sz="4" w:space="0" w:color="B2A97E" w:themeColor="accent4"/>
              <w:left w:val="nil"/>
              <w:right w:val="nil"/>
            </w:tcBorders>
            <w:shd w:val="clear" w:color="auto" w:fill="auto"/>
            <w:vAlign w:val="center"/>
          </w:tcPr>
          <w:p w:rsidR="00682CC1" w:rsidRPr="00682CC1" w:rsidRDefault="00682CC1" w:rsidP="009B4A17">
            <w:pPr>
              <w:pStyle w:val="Financials"/>
              <w:jc w:val="right"/>
            </w:pPr>
          </w:p>
        </w:tc>
      </w:tr>
      <w:tr w:rsidR="00682CC1" w:rsidRPr="009B4A17" w:rsidTr="00F92706">
        <w:trPr>
          <w:trHeight w:val="285"/>
        </w:trPr>
        <w:tc>
          <w:tcPr>
            <w:tcW w:w="6096" w:type="dxa"/>
            <w:tcBorders>
              <w:left w:val="nil"/>
              <w:right w:val="nil"/>
            </w:tcBorders>
            <w:shd w:val="clear" w:color="auto" w:fill="auto"/>
            <w:vAlign w:val="center"/>
          </w:tcPr>
          <w:p w:rsidR="00682CC1" w:rsidRPr="009B4A17" w:rsidRDefault="00682CC1" w:rsidP="00682CC1">
            <w:pPr>
              <w:pStyle w:val="Financials"/>
              <w:rPr>
                <w:b/>
              </w:rPr>
            </w:pPr>
            <w:r w:rsidRPr="009B4A17">
              <w:rPr>
                <w:b/>
              </w:rPr>
              <w:t>EQUITY</w:t>
            </w:r>
          </w:p>
        </w:tc>
        <w:tc>
          <w:tcPr>
            <w:tcW w:w="850" w:type="dxa"/>
            <w:tcBorders>
              <w:left w:val="nil"/>
              <w:right w:val="nil"/>
            </w:tcBorders>
            <w:shd w:val="clear" w:color="auto" w:fill="auto"/>
            <w:vAlign w:val="center"/>
          </w:tcPr>
          <w:p w:rsidR="00682CC1" w:rsidRPr="009B4A17" w:rsidRDefault="00682CC1" w:rsidP="009B4A17">
            <w:pPr>
              <w:pStyle w:val="Financials"/>
              <w:jc w:val="right"/>
            </w:pPr>
            <w:r w:rsidRPr="009B4A17">
              <w:t>23</w:t>
            </w:r>
          </w:p>
        </w:tc>
        <w:tc>
          <w:tcPr>
            <w:tcW w:w="1418" w:type="dxa"/>
            <w:tcBorders>
              <w:left w:val="nil"/>
              <w:right w:val="nil"/>
            </w:tcBorders>
            <w:shd w:val="clear" w:color="auto" w:fill="E0DCCB" w:themeFill="accent4" w:themeFillTint="66"/>
            <w:vAlign w:val="center"/>
          </w:tcPr>
          <w:p w:rsidR="00682CC1" w:rsidRPr="009B4A17" w:rsidRDefault="00682CC1" w:rsidP="009B4A17">
            <w:pPr>
              <w:pStyle w:val="Financials"/>
              <w:jc w:val="right"/>
            </w:pPr>
          </w:p>
        </w:tc>
        <w:tc>
          <w:tcPr>
            <w:tcW w:w="1418" w:type="dxa"/>
            <w:tcBorders>
              <w:left w:val="nil"/>
              <w:right w:val="nil"/>
            </w:tcBorders>
            <w:shd w:val="clear" w:color="auto" w:fill="auto"/>
            <w:vAlign w:val="center"/>
          </w:tcPr>
          <w:p w:rsidR="00682CC1" w:rsidRPr="009B4A17" w:rsidRDefault="00682CC1" w:rsidP="009B4A17">
            <w:pPr>
              <w:pStyle w:val="Financials"/>
              <w:jc w:val="right"/>
            </w:pPr>
          </w:p>
        </w:tc>
      </w:tr>
      <w:tr w:rsidR="00682CC1" w:rsidRPr="007043E4" w:rsidTr="00F92706">
        <w:trPr>
          <w:trHeight w:val="285"/>
        </w:trPr>
        <w:tc>
          <w:tcPr>
            <w:tcW w:w="6096" w:type="dxa"/>
            <w:tcBorders>
              <w:left w:val="nil"/>
              <w:right w:val="nil"/>
            </w:tcBorders>
            <w:shd w:val="clear" w:color="auto" w:fill="auto"/>
            <w:vAlign w:val="center"/>
          </w:tcPr>
          <w:p w:rsidR="00682CC1" w:rsidRPr="00682CC1" w:rsidRDefault="00682CC1" w:rsidP="00682CC1">
            <w:pPr>
              <w:pStyle w:val="Financials"/>
            </w:pPr>
            <w:r w:rsidRPr="00682CC1">
              <w:t>Contributed equity</w:t>
            </w:r>
          </w:p>
        </w:tc>
        <w:tc>
          <w:tcPr>
            <w:tcW w:w="850" w:type="dxa"/>
            <w:tcBorders>
              <w:left w:val="nil"/>
              <w:right w:val="nil"/>
            </w:tcBorders>
            <w:shd w:val="clear" w:color="auto" w:fill="auto"/>
            <w:vAlign w:val="center"/>
          </w:tcPr>
          <w:p w:rsidR="00682CC1" w:rsidRPr="00682CC1" w:rsidRDefault="00682CC1" w:rsidP="009B4A17">
            <w:pPr>
              <w:pStyle w:val="Financials"/>
              <w:jc w:val="right"/>
            </w:pPr>
          </w:p>
        </w:tc>
        <w:tc>
          <w:tcPr>
            <w:tcW w:w="1418" w:type="dxa"/>
            <w:tcBorders>
              <w:left w:val="nil"/>
              <w:right w:val="nil"/>
            </w:tcBorders>
            <w:shd w:val="clear" w:color="auto" w:fill="E0DCCB" w:themeFill="accent4" w:themeFillTint="66"/>
            <w:vAlign w:val="center"/>
          </w:tcPr>
          <w:p w:rsidR="00682CC1" w:rsidRPr="00682CC1" w:rsidRDefault="00682CC1" w:rsidP="009B4A17">
            <w:pPr>
              <w:pStyle w:val="Financials"/>
              <w:jc w:val="right"/>
            </w:pPr>
            <w:r w:rsidRPr="00682CC1">
              <w:t>402,675</w:t>
            </w:r>
          </w:p>
        </w:tc>
        <w:tc>
          <w:tcPr>
            <w:tcW w:w="1418" w:type="dxa"/>
            <w:tcBorders>
              <w:left w:val="nil"/>
              <w:right w:val="nil"/>
            </w:tcBorders>
            <w:shd w:val="clear" w:color="auto" w:fill="auto"/>
            <w:vAlign w:val="center"/>
          </w:tcPr>
          <w:p w:rsidR="00682CC1" w:rsidRPr="00682CC1" w:rsidRDefault="00682CC1" w:rsidP="009B4A17">
            <w:pPr>
              <w:pStyle w:val="Financials"/>
              <w:jc w:val="right"/>
            </w:pPr>
            <w:r w:rsidRPr="00682CC1">
              <w:t>443,675</w:t>
            </w:r>
          </w:p>
        </w:tc>
      </w:tr>
      <w:tr w:rsidR="00682CC1" w:rsidRPr="007043E4" w:rsidTr="00F92706">
        <w:trPr>
          <w:trHeight w:val="285"/>
        </w:trPr>
        <w:tc>
          <w:tcPr>
            <w:tcW w:w="6096" w:type="dxa"/>
            <w:tcBorders>
              <w:left w:val="nil"/>
              <w:bottom w:val="single" w:sz="4" w:space="0" w:color="E0DCCB" w:themeColor="accent4" w:themeTint="66"/>
              <w:right w:val="nil"/>
            </w:tcBorders>
            <w:shd w:val="clear" w:color="auto" w:fill="auto"/>
            <w:vAlign w:val="center"/>
          </w:tcPr>
          <w:p w:rsidR="00682CC1" w:rsidRPr="00682CC1" w:rsidRDefault="00682CC1" w:rsidP="00682CC1">
            <w:pPr>
              <w:pStyle w:val="Financials"/>
            </w:pPr>
            <w:r w:rsidRPr="00682CC1">
              <w:t>Accumulated surplus/(deficit)</w:t>
            </w:r>
          </w:p>
        </w:tc>
        <w:tc>
          <w:tcPr>
            <w:tcW w:w="850" w:type="dxa"/>
            <w:tcBorders>
              <w:left w:val="nil"/>
              <w:bottom w:val="single" w:sz="4" w:space="0" w:color="E0DCCB" w:themeColor="accent4" w:themeTint="66"/>
              <w:right w:val="nil"/>
            </w:tcBorders>
            <w:shd w:val="clear" w:color="auto" w:fill="auto"/>
            <w:vAlign w:val="center"/>
          </w:tcPr>
          <w:p w:rsidR="00682CC1" w:rsidRPr="00682CC1" w:rsidRDefault="00682CC1" w:rsidP="009B4A17">
            <w:pPr>
              <w:pStyle w:val="Financials"/>
              <w:jc w:val="right"/>
            </w:pPr>
          </w:p>
        </w:tc>
        <w:tc>
          <w:tcPr>
            <w:tcW w:w="1418" w:type="dxa"/>
            <w:tcBorders>
              <w:left w:val="nil"/>
              <w:bottom w:val="single" w:sz="4" w:space="0" w:color="FFFFFF" w:themeColor="background1"/>
              <w:right w:val="nil"/>
            </w:tcBorders>
            <w:shd w:val="clear" w:color="auto" w:fill="E0DCCB" w:themeFill="accent4" w:themeFillTint="66"/>
            <w:vAlign w:val="center"/>
          </w:tcPr>
          <w:p w:rsidR="00682CC1" w:rsidRPr="00682CC1" w:rsidRDefault="00682CC1" w:rsidP="009B4A17">
            <w:pPr>
              <w:pStyle w:val="Financials"/>
              <w:jc w:val="right"/>
            </w:pPr>
            <w:r w:rsidRPr="00682CC1">
              <w:t>(1,726,842)</w:t>
            </w:r>
          </w:p>
        </w:tc>
        <w:tc>
          <w:tcPr>
            <w:tcW w:w="1418" w:type="dxa"/>
            <w:tcBorders>
              <w:left w:val="nil"/>
              <w:bottom w:val="single" w:sz="4" w:space="0" w:color="E0DCCB" w:themeColor="accent4" w:themeTint="66"/>
              <w:right w:val="nil"/>
            </w:tcBorders>
            <w:shd w:val="clear" w:color="auto" w:fill="auto"/>
            <w:vAlign w:val="center"/>
          </w:tcPr>
          <w:p w:rsidR="00682CC1" w:rsidRPr="00682CC1" w:rsidRDefault="00682CC1" w:rsidP="009B4A17">
            <w:pPr>
              <w:pStyle w:val="Financials"/>
              <w:jc w:val="right"/>
            </w:pPr>
            <w:r w:rsidRPr="00682CC1">
              <w:t>(2,270,889)</w:t>
            </w:r>
          </w:p>
        </w:tc>
      </w:tr>
      <w:tr w:rsidR="00682CC1" w:rsidRPr="009B4A17" w:rsidTr="00F92706">
        <w:trPr>
          <w:trHeight w:val="285"/>
        </w:trPr>
        <w:tc>
          <w:tcPr>
            <w:tcW w:w="6096"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682CC1">
            <w:pPr>
              <w:pStyle w:val="Financials"/>
              <w:rPr>
                <w:b/>
              </w:rPr>
            </w:pPr>
            <w:r w:rsidRPr="009B4A17">
              <w:rPr>
                <w:b/>
              </w:rPr>
              <w:t>TOTAL EQUITY</w:t>
            </w:r>
          </w:p>
        </w:tc>
        <w:tc>
          <w:tcPr>
            <w:tcW w:w="850"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9B4A17">
            <w:pPr>
              <w:pStyle w:val="Financials"/>
              <w:jc w:val="right"/>
              <w:rPr>
                <w:b/>
              </w:rPr>
            </w:pPr>
          </w:p>
        </w:tc>
        <w:tc>
          <w:tcPr>
            <w:tcW w:w="1418"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682CC1" w:rsidRPr="009B4A17" w:rsidRDefault="00682CC1" w:rsidP="009B4A17">
            <w:pPr>
              <w:pStyle w:val="Financials"/>
              <w:jc w:val="right"/>
              <w:rPr>
                <w:b/>
              </w:rPr>
            </w:pPr>
            <w:r w:rsidRPr="009B4A17">
              <w:rPr>
                <w:b/>
              </w:rPr>
              <w:fldChar w:fldCharType="begin"/>
            </w:r>
            <w:r w:rsidRPr="009B4A17">
              <w:rPr>
                <w:b/>
              </w:rPr>
              <w:instrText xml:space="preserve"> =SUM(ABOVE) </w:instrText>
            </w:r>
            <w:r w:rsidRPr="009B4A17">
              <w:rPr>
                <w:b/>
              </w:rPr>
              <w:fldChar w:fldCharType="separate"/>
            </w:r>
            <w:r w:rsidRPr="009B4A17">
              <w:rPr>
                <w:b/>
              </w:rPr>
              <w:t>(1,324,167)</w:t>
            </w:r>
            <w:r w:rsidRPr="009B4A17">
              <w:rPr>
                <w:b/>
              </w:rPr>
              <w:fldChar w:fldCharType="end"/>
            </w:r>
          </w:p>
        </w:tc>
        <w:tc>
          <w:tcPr>
            <w:tcW w:w="1418" w:type="dxa"/>
            <w:tcBorders>
              <w:top w:val="single" w:sz="4" w:space="0" w:color="E0DCCB" w:themeColor="accent4" w:themeTint="66"/>
              <w:left w:val="nil"/>
              <w:bottom w:val="single" w:sz="4" w:space="0" w:color="B2A97E" w:themeColor="accent4"/>
              <w:right w:val="nil"/>
            </w:tcBorders>
            <w:shd w:val="clear" w:color="auto" w:fill="auto"/>
            <w:vAlign w:val="center"/>
          </w:tcPr>
          <w:p w:rsidR="00682CC1" w:rsidRPr="009B4A17" w:rsidRDefault="00682CC1" w:rsidP="009B4A17">
            <w:pPr>
              <w:pStyle w:val="Financials"/>
              <w:jc w:val="right"/>
              <w:rPr>
                <w:b/>
              </w:rPr>
            </w:pPr>
            <w:r w:rsidRPr="009B4A17">
              <w:rPr>
                <w:b/>
              </w:rPr>
              <w:t>(1,827,214)</w:t>
            </w:r>
          </w:p>
        </w:tc>
      </w:tr>
    </w:tbl>
    <w:p w:rsidR="009A5B6D" w:rsidRDefault="009A5B6D" w:rsidP="00087037"/>
    <w:p w:rsidR="009B4A17" w:rsidRPr="00B856E3" w:rsidRDefault="009B4A17" w:rsidP="009B4A17">
      <w:pPr>
        <w:spacing w:after="0" w:line="240" w:lineRule="auto"/>
        <w:rPr>
          <w:sz w:val="20"/>
          <w:szCs w:val="20"/>
        </w:rPr>
      </w:pPr>
      <w:r w:rsidRPr="00B856E3">
        <w:rPr>
          <w:sz w:val="20"/>
          <w:szCs w:val="20"/>
        </w:rPr>
        <w:t>See also the ‘Schedule of Assets and Liabilities by Service’.</w:t>
      </w:r>
    </w:p>
    <w:p w:rsidR="009A5B6D" w:rsidRPr="00B856E3" w:rsidRDefault="009B4A17" w:rsidP="009B4A17">
      <w:pPr>
        <w:spacing w:after="0" w:line="240" w:lineRule="auto"/>
        <w:rPr>
          <w:sz w:val="20"/>
          <w:szCs w:val="20"/>
        </w:rPr>
      </w:pPr>
      <w:r w:rsidRPr="00B856E3">
        <w:rPr>
          <w:sz w:val="20"/>
          <w:szCs w:val="20"/>
        </w:rPr>
        <w:t>The Statement of Financial Position should be read in conjunction with the accompanying notes.</w:t>
      </w:r>
    </w:p>
    <w:p w:rsidR="009A5B6D" w:rsidRDefault="009A5B6D" w:rsidP="00087037"/>
    <w:p w:rsidR="00771BEF" w:rsidRDefault="00771BEF" w:rsidP="00C67976">
      <w:pPr>
        <w:pStyle w:val="Financialsheading1"/>
      </w:pPr>
      <w:bookmarkStart w:id="91" w:name="_Toc425254037"/>
      <w:bookmarkStart w:id="92" w:name="_Toc428279205"/>
      <w:r>
        <w:t>Statement of Changes in Equity</w:t>
      </w:r>
      <w:bookmarkEnd w:id="91"/>
      <w:bookmarkEnd w:id="92"/>
    </w:p>
    <w:p w:rsidR="009A5B6D" w:rsidRDefault="00771BEF" w:rsidP="00C67976">
      <w:pPr>
        <w:pStyle w:val="Financialsheading2"/>
      </w:pPr>
      <w:bookmarkStart w:id="93" w:name="_Toc425254038"/>
      <w:r>
        <w:t>For the year ended 30 June 2015</w:t>
      </w:r>
      <w:bookmarkEnd w:id="93"/>
    </w:p>
    <w:tbl>
      <w:tblPr>
        <w:tblW w:w="9271" w:type="dxa"/>
        <w:tblInd w:w="108" w:type="dxa"/>
        <w:tblLayout w:type="fixed"/>
        <w:tblCellMar>
          <w:top w:w="28" w:type="dxa"/>
          <w:bottom w:w="28" w:type="dxa"/>
        </w:tblCellMar>
        <w:tblLook w:val="04A0" w:firstRow="1" w:lastRow="0" w:firstColumn="1" w:lastColumn="0" w:noHBand="0" w:noVBand="1"/>
      </w:tblPr>
      <w:tblGrid>
        <w:gridCol w:w="3828"/>
        <w:gridCol w:w="850"/>
        <w:gridCol w:w="1559"/>
        <w:gridCol w:w="1616"/>
        <w:gridCol w:w="1418"/>
      </w:tblGrid>
      <w:tr w:rsidR="00771BEF" w:rsidRPr="007043E4" w:rsidTr="00771BEF">
        <w:trPr>
          <w:trHeight w:val="255"/>
        </w:trPr>
        <w:tc>
          <w:tcPr>
            <w:tcW w:w="3828" w:type="dxa"/>
            <w:tcBorders>
              <w:top w:val="nil"/>
              <w:left w:val="nil"/>
              <w:bottom w:val="nil"/>
              <w:right w:val="nil"/>
            </w:tcBorders>
            <w:shd w:val="clear" w:color="auto" w:fill="E0DCCB" w:themeFill="accent4" w:themeFillTint="66"/>
            <w:vAlign w:val="center"/>
            <w:hideMark/>
          </w:tcPr>
          <w:p w:rsidR="00771BEF" w:rsidRPr="007043E4" w:rsidRDefault="00771BEF" w:rsidP="00771BEF">
            <w:pPr>
              <w:pStyle w:val="Financials"/>
              <w:rPr>
                <w:lang w:eastAsia="en-AU"/>
              </w:rPr>
            </w:pPr>
          </w:p>
        </w:tc>
        <w:tc>
          <w:tcPr>
            <w:tcW w:w="850" w:type="dxa"/>
            <w:tcBorders>
              <w:top w:val="nil"/>
              <w:left w:val="nil"/>
              <w:bottom w:val="nil"/>
              <w:right w:val="nil"/>
            </w:tcBorders>
            <w:shd w:val="clear" w:color="auto" w:fill="E0DCCB" w:themeFill="accent4" w:themeFillTint="66"/>
            <w:vAlign w:val="center"/>
            <w:hideMark/>
          </w:tcPr>
          <w:p w:rsidR="00771BEF" w:rsidRPr="007043E4" w:rsidRDefault="00771BEF" w:rsidP="00771BEF">
            <w:pPr>
              <w:pStyle w:val="Financials"/>
              <w:jc w:val="center"/>
              <w:rPr>
                <w:b/>
                <w:bCs/>
                <w:lang w:eastAsia="en-AU"/>
              </w:rPr>
            </w:pPr>
            <w:r w:rsidRPr="007043E4">
              <w:rPr>
                <w:b/>
                <w:bCs/>
                <w:lang w:eastAsia="en-AU"/>
              </w:rPr>
              <w:t>Note</w:t>
            </w:r>
          </w:p>
        </w:tc>
        <w:tc>
          <w:tcPr>
            <w:tcW w:w="1559" w:type="dxa"/>
            <w:tcBorders>
              <w:top w:val="nil"/>
              <w:left w:val="nil"/>
              <w:bottom w:val="nil"/>
              <w:right w:val="nil"/>
            </w:tcBorders>
            <w:shd w:val="clear" w:color="auto" w:fill="E0DCCB" w:themeFill="accent4" w:themeFillTint="66"/>
          </w:tcPr>
          <w:p w:rsidR="00771BEF" w:rsidRPr="007043E4" w:rsidRDefault="00771BEF" w:rsidP="00771BEF">
            <w:pPr>
              <w:pStyle w:val="Financials"/>
              <w:jc w:val="center"/>
              <w:rPr>
                <w:b/>
                <w:bCs/>
                <w:lang w:eastAsia="en-AU"/>
              </w:rPr>
            </w:pPr>
            <w:r>
              <w:rPr>
                <w:b/>
                <w:bCs/>
                <w:lang w:eastAsia="en-AU"/>
              </w:rPr>
              <w:t>Contributed equity</w:t>
            </w:r>
          </w:p>
        </w:tc>
        <w:tc>
          <w:tcPr>
            <w:tcW w:w="1616" w:type="dxa"/>
            <w:tcBorders>
              <w:top w:val="nil"/>
              <w:left w:val="nil"/>
              <w:bottom w:val="nil"/>
              <w:right w:val="nil"/>
            </w:tcBorders>
            <w:shd w:val="clear" w:color="auto" w:fill="E0DCCB" w:themeFill="accent4" w:themeFillTint="66"/>
            <w:vAlign w:val="center"/>
          </w:tcPr>
          <w:p w:rsidR="00771BEF" w:rsidRPr="007043E4" w:rsidRDefault="00771BEF" w:rsidP="00771BEF">
            <w:pPr>
              <w:pStyle w:val="Financials"/>
              <w:jc w:val="center"/>
              <w:rPr>
                <w:b/>
                <w:bCs/>
                <w:lang w:eastAsia="en-AU"/>
              </w:rPr>
            </w:pPr>
            <w:r>
              <w:rPr>
                <w:b/>
                <w:bCs/>
                <w:lang w:eastAsia="en-AU"/>
              </w:rPr>
              <w:t>Accumulated surplus</w:t>
            </w:r>
          </w:p>
        </w:tc>
        <w:tc>
          <w:tcPr>
            <w:tcW w:w="1418" w:type="dxa"/>
            <w:tcBorders>
              <w:top w:val="nil"/>
              <w:left w:val="nil"/>
              <w:bottom w:val="nil"/>
              <w:right w:val="nil"/>
            </w:tcBorders>
            <w:shd w:val="clear" w:color="auto" w:fill="E0DCCB" w:themeFill="accent4" w:themeFillTint="66"/>
            <w:vAlign w:val="center"/>
            <w:hideMark/>
          </w:tcPr>
          <w:p w:rsidR="00771BEF" w:rsidRPr="007043E4" w:rsidRDefault="00771BEF" w:rsidP="00771BEF">
            <w:pPr>
              <w:pStyle w:val="Financials"/>
              <w:jc w:val="center"/>
              <w:rPr>
                <w:b/>
                <w:bCs/>
                <w:lang w:eastAsia="en-AU"/>
              </w:rPr>
            </w:pPr>
            <w:r>
              <w:rPr>
                <w:b/>
                <w:bCs/>
                <w:lang w:eastAsia="en-AU"/>
              </w:rPr>
              <w:t>Total equity</w:t>
            </w:r>
          </w:p>
        </w:tc>
      </w:tr>
      <w:tr w:rsidR="00771BEF" w:rsidRPr="007043E4" w:rsidTr="00771BEF">
        <w:trPr>
          <w:trHeight w:val="255"/>
        </w:trPr>
        <w:tc>
          <w:tcPr>
            <w:tcW w:w="3828" w:type="dxa"/>
            <w:tcBorders>
              <w:top w:val="nil"/>
              <w:left w:val="nil"/>
              <w:bottom w:val="nil"/>
              <w:right w:val="nil"/>
            </w:tcBorders>
            <w:shd w:val="clear" w:color="auto" w:fill="E0DCCB" w:themeFill="accent4" w:themeFillTint="66"/>
            <w:vAlign w:val="center"/>
            <w:hideMark/>
          </w:tcPr>
          <w:p w:rsidR="00771BEF" w:rsidRPr="007043E4" w:rsidRDefault="00771BEF" w:rsidP="00771BEF">
            <w:pPr>
              <w:pStyle w:val="Financials"/>
              <w:rPr>
                <w:lang w:eastAsia="en-AU"/>
              </w:rPr>
            </w:pPr>
          </w:p>
        </w:tc>
        <w:tc>
          <w:tcPr>
            <w:tcW w:w="850" w:type="dxa"/>
            <w:tcBorders>
              <w:top w:val="nil"/>
              <w:left w:val="nil"/>
              <w:bottom w:val="nil"/>
              <w:right w:val="nil"/>
            </w:tcBorders>
            <w:shd w:val="clear" w:color="auto" w:fill="E0DCCB" w:themeFill="accent4" w:themeFillTint="66"/>
            <w:vAlign w:val="center"/>
            <w:hideMark/>
          </w:tcPr>
          <w:p w:rsidR="00771BEF" w:rsidRPr="007043E4" w:rsidRDefault="00771BEF" w:rsidP="00771BEF">
            <w:pPr>
              <w:pStyle w:val="Financials"/>
              <w:jc w:val="center"/>
              <w:rPr>
                <w:b/>
                <w:bCs/>
                <w:lang w:eastAsia="en-AU"/>
              </w:rPr>
            </w:pPr>
          </w:p>
        </w:tc>
        <w:tc>
          <w:tcPr>
            <w:tcW w:w="1559" w:type="dxa"/>
            <w:tcBorders>
              <w:top w:val="nil"/>
              <w:left w:val="nil"/>
              <w:bottom w:val="nil"/>
              <w:right w:val="nil"/>
            </w:tcBorders>
            <w:shd w:val="clear" w:color="auto" w:fill="E0DCCB" w:themeFill="accent4" w:themeFillTint="66"/>
          </w:tcPr>
          <w:p w:rsidR="00771BEF" w:rsidRPr="007043E4" w:rsidRDefault="00771BEF" w:rsidP="00771BEF">
            <w:pPr>
              <w:pStyle w:val="Financials"/>
              <w:jc w:val="center"/>
              <w:rPr>
                <w:b/>
                <w:bCs/>
                <w:lang w:eastAsia="en-AU"/>
              </w:rPr>
            </w:pPr>
            <w:r>
              <w:rPr>
                <w:b/>
                <w:bCs/>
                <w:lang w:eastAsia="en-AU"/>
              </w:rPr>
              <w:t>$</w:t>
            </w:r>
          </w:p>
        </w:tc>
        <w:tc>
          <w:tcPr>
            <w:tcW w:w="1616" w:type="dxa"/>
            <w:tcBorders>
              <w:top w:val="nil"/>
              <w:left w:val="nil"/>
              <w:bottom w:val="nil"/>
              <w:right w:val="nil"/>
            </w:tcBorders>
            <w:shd w:val="clear" w:color="auto" w:fill="E0DCCB" w:themeFill="accent4" w:themeFillTint="66"/>
            <w:vAlign w:val="center"/>
          </w:tcPr>
          <w:p w:rsidR="00771BEF" w:rsidRPr="007043E4" w:rsidRDefault="00771BEF" w:rsidP="00771BEF">
            <w:pPr>
              <w:pStyle w:val="Financials"/>
              <w:jc w:val="center"/>
              <w:rPr>
                <w:b/>
                <w:bCs/>
                <w:lang w:eastAsia="en-AU"/>
              </w:rPr>
            </w:pPr>
            <w:r w:rsidRPr="007043E4">
              <w:rPr>
                <w:b/>
                <w:bCs/>
                <w:lang w:eastAsia="en-AU"/>
              </w:rPr>
              <w:t>$</w:t>
            </w:r>
          </w:p>
        </w:tc>
        <w:tc>
          <w:tcPr>
            <w:tcW w:w="1418" w:type="dxa"/>
            <w:tcBorders>
              <w:top w:val="nil"/>
              <w:left w:val="nil"/>
              <w:bottom w:val="nil"/>
              <w:right w:val="nil"/>
            </w:tcBorders>
            <w:shd w:val="clear" w:color="auto" w:fill="E0DCCB" w:themeFill="accent4" w:themeFillTint="66"/>
            <w:vAlign w:val="center"/>
            <w:hideMark/>
          </w:tcPr>
          <w:p w:rsidR="00771BEF" w:rsidRPr="007043E4" w:rsidRDefault="00771BEF" w:rsidP="00771BEF">
            <w:pPr>
              <w:pStyle w:val="Financials"/>
              <w:jc w:val="center"/>
              <w:rPr>
                <w:b/>
                <w:bCs/>
                <w:lang w:eastAsia="en-AU"/>
              </w:rPr>
            </w:pPr>
            <w:r w:rsidRPr="007043E4">
              <w:rPr>
                <w:b/>
                <w:bCs/>
                <w:lang w:eastAsia="en-AU"/>
              </w:rPr>
              <w:t>$</w:t>
            </w:r>
          </w:p>
        </w:tc>
      </w:tr>
      <w:tr w:rsidR="00771BEF" w:rsidRPr="007043E4" w:rsidTr="00771BEF">
        <w:trPr>
          <w:trHeight w:val="255"/>
        </w:trPr>
        <w:tc>
          <w:tcPr>
            <w:tcW w:w="3828" w:type="dxa"/>
            <w:tcBorders>
              <w:top w:val="nil"/>
              <w:left w:val="nil"/>
              <w:bottom w:val="nil"/>
              <w:right w:val="nil"/>
            </w:tcBorders>
            <w:shd w:val="clear" w:color="auto" w:fill="auto"/>
            <w:vAlign w:val="center"/>
          </w:tcPr>
          <w:p w:rsidR="00771BEF" w:rsidRPr="007043E4" w:rsidRDefault="00771BEF" w:rsidP="00771BEF">
            <w:pPr>
              <w:pStyle w:val="Financials"/>
              <w:rPr>
                <w:b/>
                <w:bCs/>
                <w:lang w:eastAsia="en-AU"/>
              </w:rPr>
            </w:pPr>
            <w:r w:rsidRPr="005D6BC7">
              <w:rPr>
                <w:b/>
                <w:bCs/>
                <w:lang w:eastAsia="en-AU"/>
              </w:rPr>
              <w:t>Balance at 1 July 201</w:t>
            </w:r>
            <w:r>
              <w:rPr>
                <w:b/>
                <w:bCs/>
                <w:lang w:eastAsia="en-AU"/>
              </w:rPr>
              <w:t>3</w:t>
            </w:r>
          </w:p>
        </w:tc>
        <w:tc>
          <w:tcPr>
            <w:tcW w:w="850" w:type="dxa"/>
            <w:tcBorders>
              <w:top w:val="nil"/>
              <w:left w:val="nil"/>
              <w:bottom w:val="nil"/>
              <w:right w:val="nil"/>
            </w:tcBorders>
            <w:shd w:val="clear" w:color="auto" w:fill="auto"/>
            <w:vAlign w:val="center"/>
          </w:tcPr>
          <w:p w:rsidR="00771BEF" w:rsidRPr="007043E4" w:rsidRDefault="00771BEF" w:rsidP="00771BEF">
            <w:pPr>
              <w:pStyle w:val="Financials"/>
              <w:jc w:val="right"/>
              <w:rPr>
                <w:lang w:eastAsia="en-AU"/>
              </w:rPr>
            </w:pPr>
            <w:r>
              <w:rPr>
                <w:lang w:eastAsia="en-AU"/>
              </w:rPr>
              <w:t>23</w:t>
            </w:r>
          </w:p>
        </w:tc>
        <w:tc>
          <w:tcPr>
            <w:tcW w:w="1559" w:type="dxa"/>
            <w:tcBorders>
              <w:top w:val="nil"/>
              <w:left w:val="nil"/>
              <w:bottom w:val="nil"/>
              <w:right w:val="nil"/>
            </w:tcBorders>
            <w:vAlign w:val="center"/>
          </w:tcPr>
          <w:p w:rsidR="00771BEF" w:rsidRDefault="00771BEF" w:rsidP="00771BEF">
            <w:pPr>
              <w:pStyle w:val="Financials"/>
              <w:jc w:val="right"/>
              <w:rPr>
                <w:lang w:eastAsia="en-AU"/>
              </w:rPr>
            </w:pPr>
            <w:r w:rsidRPr="005D6BC7">
              <w:rPr>
                <w:lang w:eastAsia="en-AU"/>
              </w:rPr>
              <w:t>443,675</w:t>
            </w:r>
          </w:p>
        </w:tc>
        <w:tc>
          <w:tcPr>
            <w:tcW w:w="1616" w:type="dxa"/>
            <w:tcBorders>
              <w:top w:val="nil"/>
              <w:left w:val="nil"/>
              <w:bottom w:val="nil"/>
              <w:right w:val="nil"/>
            </w:tcBorders>
            <w:shd w:val="clear" w:color="auto" w:fill="auto"/>
            <w:vAlign w:val="center"/>
          </w:tcPr>
          <w:p w:rsidR="00771BEF" w:rsidRPr="007043E4" w:rsidRDefault="00771BEF" w:rsidP="00771BEF">
            <w:pPr>
              <w:pStyle w:val="Financials"/>
              <w:jc w:val="right"/>
              <w:rPr>
                <w:highlight w:val="yellow"/>
                <w:lang w:eastAsia="en-AU"/>
              </w:rPr>
            </w:pPr>
            <w:r w:rsidRPr="005D6BC7">
              <w:rPr>
                <w:lang w:eastAsia="en-AU"/>
              </w:rPr>
              <w:t>(1,338,506)</w:t>
            </w:r>
          </w:p>
        </w:tc>
        <w:tc>
          <w:tcPr>
            <w:tcW w:w="1418" w:type="dxa"/>
            <w:tcBorders>
              <w:top w:val="nil"/>
              <w:left w:val="nil"/>
              <w:bottom w:val="nil"/>
              <w:right w:val="nil"/>
            </w:tcBorders>
            <w:shd w:val="clear" w:color="auto" w:fill="E0DCCB" w:themeFill="accent4" w:themeFillTint="66"/>
            <w:vAlign w:val="center"/>
          </w:tcPr>
          <w:p w:rsidR="00771BEF" w:rsidRPr="007043E4" w:rsidRDefault="00771BEF" w:rsidP="00771BEF">
            <w:pPr>
              <w:pStyle w:val="Financials"/>
              <w:jc w:val="right"/>
              <w:rPr>
                <w:lang w:eastAsia="en-AU"/>
              </w:rPr>
            </w:pPr>
            <w:r w:rsidRPr="005D6BC7">
              <w:rPr>
                <w:lang w:eastAsia="en-AU"/>
              </w:rPr>
              <w:t>(894,831)</w:t>
            </w:r>
          </w:p>
        </w:tc>
      </w:tr>
      <w:tr w:rsidR="00771BEF" w:rsidRPr="009D56AA" w:rsidTr="00771BEF">
        <w:trPr>
          <w:trHeight w:val="255"/>
        </w:trPr>
        <w:tc>
          <w:tcPr>
            <w:tcW w:w="3828" w:type="dxa"/>
            <w:tcBorders>
              <w:top w:val="nil"/>
              <w:left w:val="nil"/>
              <w:bottom w:val="nil"/>
              <w:right w:val="nil"/>
            </w:tcBorders>
            <w:shd w:val="clear" w:color="auto" w:fill="auto"/>
            <w:vAlign w:val="center"/>
          </w:tcPr>
          <w:p w:rsidR="00771BEF" w:rsidRPr="009D56AA" w:rsidRDefault="00771BEF" w:rsidP="00771BEF">
            <w:pPr>
              <w:pStyle w:val="Financials"/>
              <w:rPr>
                <w:bCs/>
                <w:lang w:eastAsia="en-AU"/>
              </w:rPr>
            </w:pPr>
            <w:r w:rsidRPr="009D56AA">
              <w:rPr>
                <w:bCs/>
                <w:lang w:eastAsia="en-AU"/>
              </w:rPr>
              <w:t>Surplus/(deficit)</w:t>
            </w:r>
          </w:p>
        </w:tc>
        <w:tc>
          <w:tcPr>
            <w:tcW w:w="850" w:type="dxa"/>
            <w:tcBorders>
              <w:top w:val="nil"/>
              <w:left w:val="nil"/>
              <w:bottom w:val="nil"/>
              <w:right w:val="nil"/>
            </w:tcBorders>
            <w:shd w:val="clear" w:color="auto" w:fill="auto"/>
            <w:vAlign w:val="center"/>
          </w:tcPr>
          <w:p w:rsidR="00771BEF" w:rsidRPr="009D56AA" w:rsidRDefault="00771BEF" w:rsidP="00771BEF">
            <w:pPr>
              <w:pStyle w:val="Financials"/>
              <w:jc w:val="right"/>
              <w:rPr>
                <w:lang w:eastAsia="en-AU"/>
              </w:rPr>
            </w:pPr>
          </w:p>
        </w:tc>
        <w:tc>
          <w:tcPr>
            <w:tcW w:w="1559" w:type="dxa"/>
            <w:tcBorders>
              <w:top w:val="nil"/>
              <w:left w:val="nil"/>
              <w:bottom w:val="nil"/>
              <w:right w:val="nil"/>
            </w:tcBorders>
          </w:tcPr>
          <w:p w:rsidR="00771BEF" w:rsidRPr="009D56AA" w:rsidRDefault="00771BEF" w:rsidP="00771BEF">
            <w:pPr>
              <w:pStyle w:val="Financials"/>
              <w:jc w:val="right"/>
              <w:rPr>
                <w:lang w:eastAsia="en-AU"/>
              </w:rPr>
            </w:pPr>
            <w:r>
              <w:rPr>
                <w:lang w:eastAsia="en-AU"/>
              </w:rPr>
              <w:t>-</w:t>
            </w:r>
          </w:p>
        </w:tc>
        <w:tc>
          <w:tcPr>
            <w:tcW w:w="1616" w:type="dxa"/>
            <w:tcBorders>
              <w:top w:val="nil"/>
              <w:left w:val="nil"/>
              <w:bottom w:val="nil"/>
              <w:right w:val="nil"/>
            </w:tcBorders>
            <w:shd w:val="clear" w:color="auto" w:fill="auto"/>
            <w:vAlign w:val="center"/>
          </w:tcPr>
          <w:p w:rsidR="00771BEF" w:rsidRPr="007043E4" w:rsidRDefault="00771BEF" w:rsidP="00771BEF">
            <w:pPr>
              <w:pStyle w:val="Financials"/>
              <w:jc w:val="right"/>
              <w:rPr>
                <w:b/>
                <w:bCs/>
                <w:highlight w:val="yellow"/>
                <w:lang w:eastAsia="en-AU"/>
              </w:rPr>
            </w:pPr>
            <w:r>
              <w:rPr>
                <w:lang w:eastAsia="en-AU"/>
              </w:rPr>
              <w:t>(932,383)</w:t>
            </w:r>
          </w:p>
        </w:tc>
        <w:tc>
          <w:tcPr>
            <w:tcW w:w="1418" w:type="dxa"/>
            <w:tcBorders>
              <w:top w:val="nil"/>
              <w:left w:val="nil"/>
              <w:bottom w:val="nil"/>
              <w:right w:val="nil"/>
            </w:tcBorders>
            <w:shd w:val="clear" w:color="auto" w:fill="E0DCCB" w:themeFill="accent4" w:themeFillTint="66"/>
            <w:vAlign w:val="center"/>
          </w:tcPr>
          <w:p w:rsidR="00771BEF" w:rsidRPr="007043E4" w:rsidRDefault="00771BEF" w:rsidP="00771BEF">
            <w:pPr>
              <w:pStyle w:val="Financials"/>
              <w:jc w:val="right"/>
              <w:rPr>
                <w:b/>
                <w:bCs/>
                <w:lang w:eastAsia="en-AU"/>
              </w:rPr>
            </w:pPr>
            <w:r>
              <w:rPr>
                <w:lang w:eastAsia="en-AU"/>
              </w:rPr>
              <w:t>(932,383)</w:t>
            </w:r>
          </w:p>
        </w:tc>
      </w:tr>
      <w:tr w:rsidR="00771BEF" w:rsidRPr="007043E4" w:rsidTr="00771BEF">
        <w:trPr>
          <w:trHeight w:val="255"/>
        </w:trPr>
        <w:tc>
          <w:tcPr>
            <w:tcW w:w="3828" w:type="dxa"/>
            <w:tcBorders>
              <w:top w:val="nil"/>
              <w:left w:val="nil"/>
              <w:bottom w:val="nil"/>
              <w:right w:val="nil"/>
            </w:tcBorders>
            <w:shd w:val="clear" w:color="auto" w:fill="auto"/>
            <w:vAlign w:val="center"/>
          </w:tcPr>
          <w:p w:rsidR="00771BEF" w:rsidRPr="007043E4" w:rsidRDefault="00771BEF" w:rsidP="00771BEF">
            <w:pPr>
              <w:pStyle w:val="Financials"/>
              <w:rPr>
                <w:lang w:eastAsia="en-AU"/>
              </w:rPr>
            </w:pPr>
            <w:r w:rsidRPr="005D6BC7">
              <w:rPr>
                <w:lang w:eastAsia="en-AU"/>
              </w:rPr>
              <w:t>Transactions with owners in their capacity as owners:</w:t>
            </w:r>
          </w:p>
        </w:tc>
        <w:tc>
          <w:tcPr>
            <w:tcW w:w="850" w:type="dxa"/>
            <w:tcBorders>
              <w:top w:val="nil"/>
              <w:left w:val="nil"/>
              <w:bottom w:val="nil"/>
              <w:right w:val="nil"/>
            </w:tcBorders>
            <w:shd w:val="clear" w:color="auto" w:fill="auto"/>
            <w:vAlign w:val="center"/>
          </w:tcPr>
          <w:p w:rsidR="00771BEF" w:rsidRPr="007043E4" w:rsidRDefault="00771BEF" w:rsidP="00771BEF">
            <w:pPr>
              <w:pStyle w:val="Financials"/>
              <w:jc w:val="right"/>
              <w:rPr>
                <w:lang w:eastAsia="en-AU"/>
              </w:rPr>
            </w:pPr>
          </w:p>
        </w:tc>
        <w:tc>
          <w:tcPr>
            <w:tcW w:w="1559" w:type="dxa"/>
            <w:tcBorders>
              <w:top w:val="nil"/>
              <w:left w:val="nil"/>
              <w:bottom w:val="nil"/>
              <w:right w:val="nil"/>
            </w:tcBorders>
          </w:tcPr>
          <w:p w:rsidR="00771BEF" w:rsidRDefault="00771BEF" w:rsidP="00771BEF">
            <w:pPr>
              <w:pStyle w:val="Financials"/>
              <w:jc w:val="right"/>
              <w:rPr>
                <w:lang w:eastAsia="en-AU"/>
              </w:rPr>
            </w:pPr>
            <w:r>
              <w:rPr>
                <w:lang w:eastAsia="en-AU"/>
              </w:rPr>
              <w:t>-</w:t>
            </w:r>
          </w:p>
        </w:tc>
        <w:tc>
          <w:tcPr>
            <w:tcW w:w="1616" w:type="dxa"/>
            <w:tcBorders>
              <w:top w:val="nil"/>
              <w:left w:val="nil"/>
              <w:bottom w:val="nil"/>
              <w:right w:val="nil"/>
            </w:tcBorders>
            <w:shd w:val="clear" w:color="auto" w:fill="auto"/>
            <w:vAlign w:val="center"/>
          </w:tcPr>
          <w:p w:rsidR="00771BEF" w:rsidRPr="007043E4" w:rsidRDefault="00771BEF" w:rsidP="00771BEF">
            <w:pPr>
              <w:pStyle w:val="Financials"/>
              <w:jc w:val="right"/>
              <w:rPr>
                <w:highlight w:val="yellow"/>
                <w:lang w:eastAsia="en-AU"/>
              </w:rPr>
            </w:pPr>
            <w:r w:rsidRPr="009D56AA">
              <w:rPr>
                <w:lang w:eastAsia="en-AU"/>
              </w:rPr>
              <w:t>-</w:t>
            </w:r>
          </w:p>
        </w:tc>
        <w:tc>
          <w:tcPr>
            <w:tcW w:w="1418" w:type="dxa"/>
            <w:tcBorders>
              <w:top w:val="nil"/>
              <w:left w:val="nil"/>
              <w:bottom w:val="nil"/>
              <w:right w:val="nil"/>
            </w:tcBorders>
            <w:shd w:val="clear" w:color="auto" w:fill="E0DCCB" w:themeFill="accent4" w:themeFillTint="66"/>
            <w:vAlign w:val="center"/>
          </w:tcPr>
          <w:p w:rsidR="00771BEF" w:rsidRPr="007043E4" w:rsidRDefault="00771BEF" w:rsidP="00771BEF">
            <w:pPr>
              <w:pStyle w:val="Financials"/>
              <w:jc w:val="right"/>
              <w:rPr>
                <w:lang w:eastAsia="en-AU"/>
              </w:rPr>
            </w:pPr>
            <w:r>
              <w:rPr>
                <w:lang w:eastAsia="en-AU"/>
              </w:rPr>
              <w:t>-</w:t>
            </w:r>
          </w:p>
        </w:tc>
      </w:tr>
      <w:tr w:rsidR="00771BEF" w:rsidRPr="007043E4" w:rsidTr="00C67976">
        <w:trPr>
          <w:trHeight w:val="255"/>
        </w:trPr>
        <w:tc>
          <w:tcPr>
            <w:tcW w:w="3828" w:type="dxa"/>
            <w:tcBorders>
              <w:top w:val="nil"/>
              <w:left w:val="nil"/>
              <w:bottom w:val="single" w:sz="4" w:space="0" w:color="B2A97E" w:themeColor="accent4"/>
              <w:right w:val="nil"/>
            </w:tcBorders>
            <w:shd w:val="clear" w:color="auto" w:fill="auto"/>
            <w:vAlign w:val="center"/>
          </w:tcPr>
          <w:p w:rsidR="00771BEF" w:rsidRPr="007043E4" w:rsidRDefault="00771BEF" w:rsidP="00771BEF">
            <w:pPr>
              <w:pStyle w:val="Financials"/>
              <w:rPr>
                <w:lang w:eastAsia="en-AU"/>
              </w:rPr>
            </w:pPr>
            <w:r w:rsidRPr="005D6BC7">
              <w:rPr>
                <w:lang w:eastAsia="en-AU"/>
              </w:rPr>
              <w:t>Capital appropriations</w:t>
            </w:r>
          </w:p>
        </w:tc>
        <w:tc>
          <w:tcPr>
            <w:tcW w:w="850" w:type="dxa"/>
            <w:tcBorders>
              <w:top w:val="nil"/>
              <w:left w:val="nil"/>
              <w:bottom w:val="single" w:sz="4" w:space="0" w:color="B2A97E" w:themeColor="accent4"/>
              <w:right w:val="nil"/>
            </w:tcBorders>
            <w:shd w:val="clear" w:color="auto" w:fill="auto"/>
            <w:vAlign w:val="center"/>
          </w:tcPr>
          <w:p w:rsidR="00771BEF" w:rsidRPr="007043E4" w:rsidRDefault="00771BEF" w:rsidP="00771BEF">
            <w:pPr>
              <w:pStyle w:val="Financials"/>
              <w:jc w:val="right"/>
              <w:rPr>
                <w:lang w:eastAsia="en-AU"/>
              </w:rPr>
            </w:pPr>
          </w:p>
        </w:tc>
        <w:tc>
          <w:tcPr>
            <w:tcW w:w="1559" w:type="dxa"/>
            <w:tcBorders>
              <w:top w:val="nil"/>
              <w:left w:val="nil"/>
              <w:bottom w:val="single" w:sz="4" w:space="0" w:color="B2A97E" w:themeColor="accent4"/>
              <w:right w:val="nil"/>
            </w:tcBorders>
            <w:vAlign w:val="center"/>
          </w:tcPr>
          <w:p w:rsidR="00771BEF" w:rsidRDefault="00771BEF" w:rsidP="00771BEF">
            <w:pPr>
              <w:pStyle w:val="Financials"/>
              <w:jc w:val="right"/>
              <w:rPr>
                <w:lang w:eastAsia="en-AU"/>
              </w:rPr>
            </w:pPr>
            <w:r>
              <w:rPr>
                <w:lang w:eastAsia="en-AU"/>
              </w:rPr>
              <w:t>-</w:t>
            </w:r>
          </w:p>
        </w:tc>
        <w:tc>
          <w:tcPr>
            <w:tcW w:w="1616" w:type="dxa"/>
            <w:tcBorders>
              <w:top w:val="nil"/>
              <w:left w:val="nil"/>
              <w:bottom w:val="single" w:sz="4" w:space="0" w:color="B2A97E" w:themeColor="accent4"/>
              <w:right w:val="nil"/>
            </w:tcBorders>
            <w:shd w:val="clear" w:color="auto" w:fill="auto"/>
            <w:vAlign w:val="center"/>
          </w:tcPr>
          <w:p w:rsidR="00771BEF" w:rsidRPr="007043E4" w:rsidRDefault="00771BEF" w:rsidP="00771BEF">
            <w:pPr>
              <w:pStyle w:val="Financials"/>
              <w:jc w:val="right"/>
              <w:rPr>
                <w:lang w:eastAsia="en-AU"/>
              </w:rPr>
            </w:pPr>
            <w:r w:rsidRPr="005D6BC7">
              <w:rPr>
                <w:lang w:eastAsia="en-AU"/>
              </w:rPr>
              <w:t>-</w:t>
            </w:r>
          </w:p>
        </w:tc>
        <w:tc>
          <w:tcPr>
            <w:tcW w:w="1418" w:type="dxa"/>
            <w:tcBorders>
              <w:top w:val="nil"/>
              <w:left w:val="nil"/>
              <w:bottom w:val="single" w:sz="4" w:space="0" w:color="FFFFFF" w:themeColor="background1"/>
              <w:right w:val="nil"/>
            </w:tcBorders>
            <w:shd w:val="clear" w:color="auto" w:fill="E0DCCB" w:themeFill="accent4" w:themeFillTint="66"/>
            <w:vAlign w:val="center"/>
          </w:tcPr>
          <w:p w:rsidR="00771BEF" w:rsidRPr="007043E4" w:rsidRDefault="00771BEF" w:rsidP="00771BEF">
            <w:pPr>
              <w:pStyle w:val="Financials"/>
              <w:jc w:val="right"/>
              <w:rPr>
                <w:lang w:eastAsia="en-AU"/>
              </w:rPr>
            </w:pPr>
            <w:r>
              <w:rPr>
                <w:lang w:eastAsia="en-AU"/>
              </w:rPr>
              <w:t>-</w:t>
            </w:r>
          </w:p>
        </w:tc>
      </w:tr>
      <w:tr w:rsidR="00771BEF" w:rsidRPr="007043E4" w:rsidTr="00C67976">
        <w:trPr>
          <w:trHeight w:val="255"/>
        </w:trPr>
        <w:tc>
          <w:tcPr>
            <w:tcW w:w="3828" w:type="dxa"/>
            <w:tcBorders>
              <w:top w:val="single" w:sz="4" w:space="0" w:color="B2A97E" w:themeColor="accent4"/>
              <w:left w:val="nil"/>
              <w:bottom w:val="single" w:sz="4" w:space="0" w:color="B2A97E" w:themeColor="accent4"/>
              <w:right w:val="nil"/>
            </w:tcBorders>
            <w:shd w:val="clear" w:color="auto" w:fill="auto"/>
            <w:vAlign w:val="center"/>
          </w:tcPr>
          <w:p w:rsidR="00771BEF" w:rsidRPr="001C2850" w:rsidRDefault="00771BEF" w:rsidP="00771BEF">
            <w:pPr>
              <w:pStyle w:val="Financials"/>
              <w:rPr>
                <w:b/>
                <w:bCs/>
                <w:lang w:eastAsia="en-AU"/>
              </w:rPr>
            </w:pPr>
            <w:r w:rsidRPr="005D6BC7">
              <w:rPr>
                <w:b/>
                <w:bCs/>
                <w:lang w:eastAsia="en-AU"/>
              </w:rPr>
              <w:t>Balance at 30 June 201</w:t>
            </w:r>
            <w:r>
              <w:rPr>
                <w:b/>
                <w:bCs/>
                <w:lang w:eastAsia="en-AU"/>
              </w:rPr>
              <w:t>4</w:t>
            </w:r>
          </w:p>
        </w:tc>
        <w:tc>
          <w:tcPr>
            <w:tcW w:w="850" w:type="dxa"/>
            <w:tcBorders>
              <w:top w:val="single" w:sz="4" w:space="0" w:color="B2A97E" w:themeColor="accent4"/>
              <w:left w:val="nil"/>
              <w:bottom w:val="single" w:sz="4" w:space="0" w:color="B2A97E" w:themeColor="accent4"/>
              <w:right w:val="nil"/>
            </w:tcBorders>
            <w:shd w:val="clear" w:color="auto" w:fill="auto"/>
            <w:vAlign w:val="center"/>
          </w:tcPr>
          <w:p w:rsidR="00771BEF" w:rsidRPr="001C2850" w:rsidRDefault="00771BEF" w:rsidP="00771BEF">
            <w:pPr>
              <w:pStyle w:val="Financials"/>
              <w:jc w:val="right"/>
              <w:rPr>
                <w:b/>
                <w:bCs/>
                <w:lang w:eastAsia="en-AU"/>
              </w:rPr>
            </w:pPr>
          </w:p>
        </w:tc>
        <w:tc>
          <w:tcPr>
            <w:tcW w:w="1559" w:type="dxa"/>
            <w:tcBorders>
              <w:top w:val="single" w:sz="4" w:space="0" w:color="B2A97E" w:themeColor="accent4"/>
              <w:left w:val="nil"/>
              <w:bottom w:val="single" w:sz="4" w:space="0" w:color="B2A97E" w:themeColor="accent4"/>
              <w:right w:val="nil"/>
            </w:tcBorders>
            <w:vAlign w:val="center"/>
          </w:tcPr>
          <w:p w:rsidR="00771BEF" w:rsidRDefault="00771BEF" w:rsidP="00771BEF">
            <w:pPr>
              <w:pStyle w:val="Financials"/>
              <w:jc w:val="right"/>
              <w:rPr>
                <w:lang w:eastAsia="en-AU"/>
              </w:rPr>
            </w:pPr>
            <w:r w:rsidRPr="005D6BC7">
              <w:rPr>
                <w:b/>
                <w:bCs/>
                <w:lang w:eastAsia="en-AU"/>
              </w:rPr>
              <w:t>443,675</w:t>
            </w:r>
          </w:p>
        </w:tc>
        <w:tc>
          <w:tcPr>
            <w:tcW w:w="1616" w:type="dxa"/>
            <w:tcBorders>
              <w:top w:val="single" w:sz="4" w:space="0" w:color="B2A97E" w:themeColor="accent4"/>
              <w:left w:val="nil"/>
              <w:bottom w:val="single" w:sz="4" w:space="0" w:color="B2A97E" w:themeColor="accent4"/>
              <w:right w:val="nil"/>
            </w:tcBorders>
            <w:shd w:val="clear" w:color="auto" w:fill="auto"/>
            <w:vAlign w:val="center"/>
          </w:tcPr>
          <w:p w:rsidR="00771BEF" w:rsidRPr="007043E4" w:rsidRDefault="00771BEF" w:rsidP="00771BEF">
            <w:pPr>
              <w:pStyle w:val="Financials"/>
              <w:jc w:val="right"/>
              <w:rPr>
                <w:lang w:eastAsia="en-AU"/>
              </w:rPr>
            </w:pPr>
            <w:r w:rsidRPr="005D6BC7">
              <w:rPr>
                <w:b/>
                <w:bCs/>
                <w:lang w:eastAsia="en-AU"/>
              </w:rPr>
              <w:t>(</w:t>
            </w:r>
            <w:r>
              <w:rPr>
                <w:b/>
                <w:bCs/>
                <w:lang w:eastAsia="en-AU"/>
              </w:rPr>
              <w:t>2,270,889</w:t>
            </w:r>
            <w:r w:rsidRPr="005D6BC7">
              <w:rPr>
                <w:b/>
                <w:bCs/>
                <w:lang w:eastAsia="en-AU"/>
              </w:rPr>
              <w:t>)</w:t>
            </w:r>
          </w:p>
        </w:tc>
        <w:tc>
          <w:tcPr>
            <w:tcW w:w="1418"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771BEF" w:rsidRPr="007043E4" w:rsidRDefault="00771BEF" w:rsidP="00771BEF">
            <w:pPr>
              <w:pStyle w:val="Financials"/>
              <w:jc w:val="right"/>
              <w:rPr>
                <w:lang w:eastAsia="en-AU"/>
              </w:rPr>
            </w:pPr>
            <w:r>
              <w:rPr>
                <w:b/>
                <w:bCs/>
                <w:lang w:eastAsia="en-AU"/>
              </w:rPr>
              <w:fldChar w:fldCharType="begin"/>
            </w:r>
            <w:r>
              <w:rPr>
                <w:b/>
                <w:bCs/>
                <w:lang w:eastAsia="en-AU"/>
              </w:rPr>
              <w:instrText xml:space="preserve"> =SUM(left) </w:instrText>
            </w:r>
            <w:r>
              <w:rPr>
                <w:b/>
                <w:bCs/>
                <w:lang w:eastAsia="en-AU"/>
              </w:rPr>
              <w:fldChar w:fldCharType="separate"/>
            </w:r>
            <w:r>
              <w:rPr>
                <w:b/>
                <w:bCs/>
                <w:noProof/>
                <w:lang w:eastAsia="en-AU"/>
              </w:rPr>
              <w:t>(1,827,214)</w:t>
            </w:r>
            <w:r>
              <w:rPr>
                <w:b/>
                <w:bCs/>
                <w:lang w:eastAsia="en-AU"/>
              </w:rPr>
              <w:fldChar w:fldCharType="end"/>
            </w:r>
          </w:p>
        </w:tc>
      </w:tr>
      <w:tr w:rsidR="00771BEF" w:rsidRPr="007043E4" w:rsidTr="00C67976">
        <w:trPr>
          <w:trHeight w:val="270"/>
        </w:trPr>
        <w:tc>
          <w:tcPr>
            <w:tcW w:w="3828" w:type="dxa"/>
            <w:tcBorders>
              <w:top w:val="single" w:sz="4" w:space="0" w:color="B2A97E" w:themeColor="accent4"/>
              <w:left w:val="nil"/>
              <w:bottom w:val="nil"/>
              <w:right w:val="nil"/>
            </w:tcBorders>
            <w:shd w:val="clear" w:color="auto" w:fill="auto"/>
            <w:vAlign w:val="center"/>
          </w:tcPr>
          <w:p w:rsidR="00771BEF" w:rsidRPr="007043E4" w:rsidRDefault="00771BEF" w:rsidP="00771BEF">
            <w:pPr>
              <w:pStyle w:val="Financials"/>
              <w:rPr>
                <w:lang w:eastAsia="en-AU"/>
              </w:rPr>
            </w:pPr>
          </w:p>
        </w:tc>
        <w:tc>
          <w:tcPr>
            <w:tcW w:w="850" w:type="dxa"/>
            <w:tcBorders>
              <w:top w:val="single" w:sz="4" w:space="0" w:color="B2A97E" w:themeColor="accent4"/>
              <w:left w:val="nil"/>
              <w:bottom w:val="nil"/>
              <w:right w:val="nil"/>
            </w:tcBorders>
            <w:shd w:val="clear" w:color="auto" w:fill="auto"/>
            <w:vAlign w:val="center"/>
          </w:tcPr>
          <w:p w:rsidR="00771BEF" w:rsidRPr="007043E4" w:rsidRDefault="00771BEF" w:rsidP="00771BEF">
            <w:pPr>
              <w:pStyle w:val="Financials"/>
              <w:jc w:val="right"/>
              <w:rPr>
                <w:lang w:eastAsia="en-AU"/>
              </w:rPr>
            </w:pPr>
          </w:p>
        </w:tc>
        <w:tc>
          <w:tcPr>
            <w:tcW w:w="1559" w:type="dxa"/>
            <w:tcBorders>
              <w:top w:val="single" w:sz="4" w:space="0" w:color="B2A97E" w:themeColor="accent4"/>
              <w:left w:val="nil"/>
              <w:bottom w:val="nil"/>
              <w:right w:val="nil"/>
            </w:tcBorders>
          </w:tcPr>
          <w:p w:rsidR="00771BEF" w:rsidRDefault="00771BEF" w:rsidP="00771BEF">
            <w:pPr>
              <w:pStyle w:val="Financials"/>
              <w:jc w:val="right"/>
              <w:rPr>
                <w:lang w:eastAsia="en-AU"/>
              </w:rPr>
            </w:pPr>
          </w:p>
        </w:tc>
        <w:tc>
          <w:tcPr>
            <w:tcW w:w="1616" w:type="dxa"/>
            <w:tcBorders>
              <w:top w:val="single" w:sz="4" w:space="0" w:color="B2A97E" w:themeColor="accent4"/>
              <w:left w:val="nil"/>
              <w:bottom w:val="nil"/>
              <w:right w:val="nil"/>
            </w:tcBorders>
            <w:shd w:val="clear" w:color="auto" w:fill="auto"/>
            <w:vAlign w:val="center"/>
          </w:tcPr>
          <w:p w:rsidR="00771BEF" w:rsidRPr="007043E4" w:rsidRDefault="00771BEF" w:rsidP="00771BEF">
            <w:pPr>
              <w:pStyle w:val="Financials"/>
              <w:jc w:val="right"/>
              <w:rPr>
                <w:lang w:eastAsia="en-AU"/>
              </w:rPr>
            </w:pPr>
          </w:p>
        </w:tc>
        <w:tc>
          <w:tcPr>
            <w:tcW w:w="1418" w:type="dxa"/>
            <w:tcBorders>
              <w:top w:val="single" w:sz="4" w:space="0" w:color="FFFFFF" w:themeColor="background1"/>
              <w:left w:val="nil"/>
              <w:bottom w:val="nil"/>
              <w:right w:val="nil"/>
            </w:tcBorders>
            <w:shd w:val="clear" w:color="auto" w:fill="E0DCCB" w:themeFill="accent4" w:themeFillTint="66"/>
            <w:vAlign w:val="center"/>
          </w:tcPr>
          <w:p w:rsidR="00771BEF" w:rsidRPr="007043E4" w:rsidRDefault="00771BEF" w:rsidP="00771BEF">
            <w:pPr>
              <w:pStyle w:val="Financials"/>
              <w:jc w:val="right"/>
              <w:rPr>
                <w:lang w:eastAsia="en-AU"/>
              </w:rPr>
            </w:pPr>
          </w:p>
        </w:tc>
      </w:tr>
      <w:tr w:rsidR="00771BEF" w:rsidRPr="007043E4" w:rsidTr="00771BEF">
        <w:trPr>
          <w:trHeight w:val="270"/>
        </w:trPr>
        <w:tc>
          <w:tcPr>
            <w:tcW w:w="3828" w:type="dxa"/>
            <w:tcBorders>
              <w:top w:val="nil"/>
              <w:left w:val="nil"/>
              <w:right w:val="nil"/>
            </w:tcBorders>
            <w:shd w:val="clear" w:color="auto" w:fill="auto"/>
            <w:vAlign w:val="center"/>
          </w:tcPr>
          <w:p w:rsidR="00771BEF" w:rsidRPr="007043E4" w:rsidRDefault="00771BEF" w:rsidP="00771BEF">
            <w:pPr>
              <w:pStyle w:val="Financials"/>
              <w:rPr>
                <w:lang w:eastAsia="en-AU"/>
              </w:rPr>
            </w:pPr>
            <w:r w:rsidRPr="005D6BC7">
              <w:rPr>
                <w:b/>
                <w:bCs/>
                <w:lang w:eastAsia="en-AU"/>
              </w:rPr>
              <w:t>Balance at 1 July 201</w:t>
            </w:r>
            <w:r>
              <w:rPr>
                <w:b/>
                <w:bCs/>
                <w:lang w:eastAsia="en-AU"/>
              </w:rPr>
              <w:t>4</w:t>
            </w:r>
          </w:p>
        </w:tc>
        <w:tc>
          <w:tcPr>
            <w:tcW w:w="850" w:type="dxa"/>
            <w:tcBorders>
              <w:top w:val="nil"/>
              <w:left w:val="nil"/>
              <w:right w:val="nil"/>
            </w:tcBorders>
            <w:shd w:val="clear" w:color="auto" w:fill="auto"/>
            <w:vAlign w:val="center"/>
          </w:tcPr>
          <w:p w:rsidR="00771BEF" w:rsidRPr="007043E4" w:rsidRDefault="00771BEF" w:rsidP="00771BEF">
            <w:pPr>
              <w:pStyle w:val="Financials"/>
              <w:jc w:val="right"/>
              <w:rPr>
                <w:lang w:eastAsia="en-AU"/>
              </w:rPr>
            </w:pPr>
          </w:p>
        </w:tc>
        <w:tc>
          <w:tcPr>
            <w:tcW w:w="1559" w:type="dxa"/>
            <w:tcBorders>
              <w:top w:val="nil"/>
              <w:left w:val="nil"/>
              <w:right w:val="nil"/>
            </w:tcBorders>
            <w:vAlign w:val="center"/>
          </w:tcPr>
          <w:p w:rsidR="00771BEF" w:rsidRDefault="00771BEF" w:rsidP="00771BEF">
            <w:pPr>
              <w:pStyle w:val="Financials"/>
              <w:jc w:val="right"/>
              <w:rPr>
                <w:lang w:eastAsia="en-AU"/>
              </w:rPr>
            </w:pPr>
            <w:r w:rsidRPr="005D6BC7">
              <w:rPr>
                <w:lang w:eastAsia="en-AU"/>
              </w:rPr>
              <w:t>443,675</w:t>
            </w:r>
          </w:p>
        </w:tc>
        <w:tc>
          <w:tcPr>
            <w:tcW w:w="1616" w:type="dxa"/>
            <w:tcBorders>
              <w:top w:val="nil"/>
              <w:left w:val="nil"/>
              <w:right w:val="nil"/>
            </w:tcBorders>
            <w:shd w:val="clear" w:color="auto" w:fill="auto"/>
            <w:vAlign w:val="center"/>
          </w:tcPr>
          <w:p w:rsidR="00771BEF" w:rsidRPr="007043E4" w:rsidRDefault="00771BEF" w:rsidP="00771BEF">
            <w:pPr>
              <w:pStyle w:val="Financials"/>
              <w:jc w:val="right"/>
              <w:rPr>
                <w:highlight w:val="yellow"/>
                <w:lang w:eastAsia="en-AU"/>
              </w:rPr>
            </w:pPr>
            <w:r w:rsidRPr="005D6BC7">
              <w:rPr>
                <w:lang w:eastAsia="en-AU"/>
              </w:rPr>
              <w:t>(</w:t>
            </w:r>
            <w:r>
              <w:rPr>
                <w:lang w:eastAsia="en-AU"/>
              </w:rPr>
              <w:t>2,270,889</w:t>
            </w:r>
            <w:r w:rsidRPr="005D6BC7">
              <w:rPr>
                <w:lang w:eastAsia="en-AU"/>
              </w:rPr>
              <w:t>)</w:t>
            </w:r>
          </w:p>
        </w:tc>
        <w:tc>
          <w:tcPr>
            <w:tcW w:w="1418" w:type="dxa"/>
            <w:tcBorders>
              <w:top w:val="nil"/>
              <w:left w:val="nil"/>
              <w:right w:val="nil"/>
            </w:tcBorders>
            <w:shd w:val="clear" w:color="auto" w:fill="E0DCCB" w:themeFill="accent4" w:themeFillTint="66"/>
            <w:vAlign w:val="center"/>
          </w:tcPr>
          <w:p w:rsidR="00771BEF" w:rsidRPr="007043E4" w:rsidRDefault="00771BEF" w:rsidP="00771BEF">
            <w:pPr>
              <w:pStyle w:val="Financials"/>
              <w:jc w:val="right"/>
              <w:rPr>
                <w:lang w:eastAsia="en-AU"/>
              </w:rPr>
            </w:pPr>
            <w:r w:rsidRPr="005D6BC7">
              <w:rPr>
                <w:lang w:eastAsia="en-AU"/>
              </w:rPr>
              <w:t>(</w:t>
            </w:r>
            <w:r>
              <w:rPr>
                <w:lang w:eastAsia="en-AU"/>
              </w:rPr>
              <w:t>1,827,214</w:t>
            </w:r>
            <w:r w:rsidRPr="005D6BC7">
              <w:rPr>
                <w:lang w:eastAsia="en-AU"/>
              </w:rPr>
              <w:t>)</w:t>
            </w:r>
          </w:p>
        </w:tc>
      </w:tr>
      <w:tr w:rsidR="00771BEF" w:rsidRPr="007043E4" w:rsidTr="00771BEF">
        <w:trPr>
          <w:trHeight w:val="270"/>
        </w:trPr>
        <w:tc>
          <w:tcPr>
            <w:tcW w:w="3828" w:type="dxa"/>
            <w:tcBorders>
              <w:left w:val="nil"/>
              <w:right w:val="nil"/>
            </w:tcBorders>
            <w:shd w:val="clear" w:color="auto" w:fill="auto"/>
            <w:vAlign w:val="center"/>
          </w:tcPr>
          <w:p w:rsidR="00771BEF" w:rsidRPr="007043E4" w:rsidRDefault="00771BEF" w:rsidP="00771BEF">
            <w:pPr>
              <w:pStyle w:val="Financials"/>
              <w:rPr>
                <w:b/>
                <w:bCs/>
                <w:lang w:eastAsia="en-AU"/>
              </w:rPr>
            </w:pPr>
            <w:r w:rsidRPr="005D6BC7">
              <w:rPr>
                <w:lang w:eastAsia="en-AU"/>
              </w:rPr>
              <w:t>Surplus/(deficit)</w:t>
            </w:r>
          </w:p>
        </w:tc>
        <w:tc>
          <w:tcPr>
            <w:tcW w:w="850" w:type="dxa"/>
            <w:tcBorders>
              <w:left w:val="nil"/>
              <w:right w:val="nil"/>
            </w:tcBorders>
            <w:shd w:val="clear" w:color="auto" w:fill="auto"/>
            <w:vAlign w:val="center"/>
          </w:tcPr>
          <w:p w:rsidR="00771BEF" w:rsidRPr="007043E4" w:rsidRDefault="00771BEF" w:rsidP="00771BEF">
            <w:pPr>
              <w:pStyle w:val="Financials"/>
              <w:jc w:val="right"/>
              <w:rPr>
                <w:lang w:eastAsia="en-AU"/>
              </w:rPr>
            </w:pPr>
          </w:p>
        </w:tc>
        <w:tc>
          <w:tcPr>
            <w:tcW w:w="1559" w:type="dxa"/>
            <w:tcBorders>
              <w:left w:val="nil"/>
              <w:right w:val="nil"/>
            </w:tcBorders>
            <w:vAlign w:val="center"/>
          </w:tcPr>
          <w:p w:rsidR="00771BEF" w:rsidRDefault="002A720F" w:rsidP="00771BEF">
            <w:pPr>
              <w:pStyle w:val="Financials"/>
              <w:jc w:val="right"/>
              <w:rPr>
                <w:b/>
                <w:bCs/>
                <w:lang w:eastAsia="en-AU"/>
              </w:rPr>
            </w:pPr>
            <w:r>
              <w:rPr>
                <w:b/>
                <w:bCs/>
                <w:lang w:eastAsia="en-AU"/>
              </w:rPr>
              <w:t>-</w:t>
            </w:r>
          </w:p>
        </w:tc>
        <w:tc>
          <w:tcPr>
            <w:tcW w:w="1616" w:type="dxa"/>
            <w:tcBorders>
              <w:left w:val="nil"/>
              <w:right w:val="nil"/>
            </w:tcBorders>
            <w:shd w:val="clear" w:color="auto" w:fill="auto"/>
            <w:vAlign w:val="center"/>
          </w:tcPr>
          <w:p w:rsidR="00771BEF" w:rsidRPr="007043E4" w:rsidRDefault="00771BEF" w:rsidP="00771BEF">
            <w:pPr>
              <w:pStyle w:val="Financials"/>
              <w:jc w:val="right"/>
              <w:rPr>
                <w:b/>
                <w:bCs/>
                <w:highlight w:val="yellow"/>
                <w:lang w:eastAsia="en-AU"/>
              </w:rPr>
            </w:pPr>
            <w:r>
              <w:rPr>
                <w:lang w:eastAsia="en-AU"/>
              </w:rPr>
              <w:t>544,047</w:t>
            </w:r>
          </w:p>
        </w:tc>
        <w:tc>
          <w:tcPr>
            <w:tcW w:w="1418" w:type="dxa"/>
            <w:tcBorders>
              <w:left w:val="nil"/>
              <w:right w:val="nil"/>
            </w:tcBorders>
            <w:shd w:val="clear" w:color="auto" w:fill="E0DCCB" w:themeFill="accent4" w:themeFillTint="66"/>
            <w:vAlign w:val="center"/>
          </w:tcPr>
          <w:p w:rsidR="00771BEF" w:rsidRPr="007043E4" w:rsidRDefault="00771BEF" w:rsidP="00771BEF">
            <w:pPr>
              <w:pStyle w:val="Financials"/>
              <w:jc w:val="right"/>
              <w:rPr>
                <w:b/>
                <w:bCs/>
                <w:lang w:eastAsia="en-AU"/>
              </w:rPr>
            </w:pPr>
            <w:r>
              <w:rPr>
                <w:lang w:eastAsia="en-AU"/>
              </w:rPr>
              <w:t>544,047</w:t>
            </w:r>
          </w:p>
        </w:tc>
      </w:tr>
      <w:tr w:rsidR="00771BEF" w:rsidRPr="00D578E2" w:rsidTr="00771BEF">
        <w:trPr>
          <w:trHeight w:val="255"/>
        </w:trPr>
        <w:tc>
          <w:tcPr>
            <w:tcW w:w="3828" w:type="dxa"/>
            <w:tcBorders>
              <w:left w:val="nil"/>
              <w:bottom w:val="nil"/>
              <w:right w:val="nil"/>
            </w:tcBorders>
            <w:shd w:val="clear" w:color="auto" w:fill="auto"/>
            <w:vAlign w:val="center"/>
          </w:tcPr>
          <w:p w:rsidR="00771BEF" w:rsidRPr="00D578E2" w:rsidRDefault="00771BEF" w:rsidP="00771BEF">
            <w:pPr>
              <w:pStyle w:val="Financials"/>
              <w:rPr>
                <w:sz w:val="8"/>
                <w:szCs w:val="8"/>
                <w:lang w:eastAsia="en-AU"/>
              </w:rPr>
            </w:pPr>
            <w:r w:rsidRPr="005D6BC7">
              <w:rPr>
                <w:lang w:eastAsia="en-AU"/>
              </w:rPr>
              <w:t>Transactions with owners in their capacity as owners:</w:t>
            </w:r>
          </w:p>
        </w:tc>
        <w:tc>
          <w:tcPr>
            <w:tcW w:w="850" w:type="dxa"/>
            <w:tcBorders>
              <w:left w:val="nil"/>
              <w:bottom w:val="nil"/>
              <w:right w:val="nil"/>
            </w:tcBorders>
            <w:shd w:val="clear" w:color="auto" w:fill="auto"/>
            <w:vAlign w:val="center"/>
          </w:tcPr>
          <w:p w:rsidR="00771BEF" w:rsidRPr="00D578E2" w:rsidRDefault="00771BEF" w:rsidP="00771BEF">
            <w:pPr>
              <w:pStyle w:val="Financials"/>
              <w:jc w:val="right"/>
              <w:rPr>
                <w:sz w:val="8"/>
                <w:szCs w:val="8"/>
                <w:lang w:eastAsia="en-AU"/>
              </w:rPr>
            </w:pPr>
          </w:p>
        </w:tc>
        <w:tc>
          <w:tcPr>
            <w:tcW w:w="1559" w:type="dxa"/>
            <w:tcBorders>
              <w:left w:val="nil"/>
              <w:bottom w:val="nil"/>
              <w:right w:val="nil"/>
            </w:tcBorders>
            <w:vAlign w:val="center"/>
          </w:tcPr>
          <w:p w:rsidR="00771BEF" w:rsidRPr="00D578E2" w:rsidRDefault="00771BEF" w:rsidP="00771BEF">
            <w:pPr>
              <w:pStyle w:val="Financials"/>
              <w:jc w:val="right"/>
              <w:rPr>
                <w:sz w:val="8"/>
                <w:szCs w:val="8"/>
                <w:lang w:eastAsia="en-AU"/>
              </w:rPr>
            </w:pPr>
          </w:p>
        </w:tc>
        <w:tc>
          <w:tcPr>
            <w:tcW w:w="1616" w:type="dxa"/>
            <w:tcBorders>
              <w:left w:val="nil"/>
              <w:bottom w:val="nil"/>
              <w:right w:val="nil"/>
            </w:tcBorders>
            <w:shd w:val="clear" w:color="auto" w:fill="auto"/>
            <w:vAlign w:val="center"/>
          </w:tcPr>
          <w:p w:rsidR="00771BEF" w:rsidRPr="00D578E2" w:rsidRDefault="00771BEF" w:rsidP="00771BEF">
            <w:pPr>
              <w:pStyle w:val="Financials"/>
              <w:jc w:val="right"/>
              <w:rPr>
                <w:sz w:val="8"/>
                <w:szCs w:val="8"/>
                <w:lang w:eastAsia="en-AU"/>
              </w:rPr>
            </w:pPr>
          </w:p>
        </w:tc>
        <w:tc>
          <w:tcPr>
            <w:tcW w:w="1418" w:type="dxa"/>
            <w:tcBorders>
              <w:left w:val="nil"/>
              <w:bottom w:val="nil"/>
              <w:right w:val="nil"/>
            </w:tcBorders>
            <w:shd w:val="clear" w:color="auto" w:fill="E0DCCB" w:themeFill="accent4" w:themeFillTint="66"/>
            <w:vAlign w:val="center"/>
          </w:tcPr>
          <w:p w:rsidR="00771BEF" w:rsidRPr="00D578E2" w:rsidRDefault="00771BEF" w:rsidP="00771BEF">
            <w:pPr>
              <w:pStyle w:val="Financials"/>
              <w:jc w:val="right"/>
              <w:rPr>
                <w:sz w:val="8"/>
                <w:szCs w:val="8"/>
                <w:lang w:eastAsia="en-AU"/>
              </w:rPr>
            </w:pPr>
          </w:p>
        </w:tc>
      </w:tr>
      <w:tr w:rsidR="00771BEF" w:rsidRPr="007043E4" w:rsidTr="00771BEF">
        <w:trPr>
          <w:trHeight w:val="255"/>
        </w:trPr>
        <w:tc>
          <w:tcPr>
            <w:tcW w:w="3828" w:type="dxa"/>
            <w:tcBorders>
              <w:top w:val="nil"/>
              <w:left w:val="nil"/>
              <w:right w:val="nil"/>
            </w:tcBorders>
            <w:shd w:val="clear" w:color="auto" w:fill="auto"/>
            <w:vAlign w:val="center"/>
          </w:tcPr>
          <w:p w:rsidR="00771BEF" w:rsidRPr="007043E4" w:rsidRDefault="00771BEF" w:rsidP="00771BEF">
            <w:pPr>
              <w:pStyle w:val="Financials"/>
              <w:rPr>
                <w:b/>
                <w:bCs/>
                <w:lang w:eastAsia="en-AU"/>
              </w:rPr>
            </w:pPr>
            <w:r w:rsidRPr="005D6BC7">
              <w:rPr>
                <w:lang w:eastAsia="en-AU"/>
              </w:rPr>
              <w:t>Capital appropriations</w:t>
            </w:r>
          </w:p>
        </w:tc>
        <w:tc>
          <w:tcPr>
            <w:tcW w:w="850" w:type="dxa"/>
            <w:tcBorders>
              <w:top w:val="nil"/>
              <w:left w:val="nil"/>
              <w:right w:val="nil"/>
            </w:tcBorders>
            <w:shd w:val="clear" w:color="auto" w:fill="auto"/>
            <w:vAlign w:val="center"/>
          </w:tcPr>
          <w:p w:rsidR="00771BEF" w:rsidRPr="007043E4" w:rsidRDefault="00771BEF" w:rsidP="00771BEF">
            <w:pPr>
              <w:pStyle w:val="Financials"/>
              <w:jc w:val="right"/>
              <w:rPr>
                <w:lang w:eastAsia="en-AU"/>
              </w:rPr>
            </w:pPr>
          </w:p>
        </w:tc>
        <w:tc>
          <w:tcPr>
            <w:tcW w:w="1559" w:type="dxa"/>
            <w:tcBorders>
              <w:top w:val="nil"/>
              <w:left w:val="nil"/>
              <w:right w:val="nil"/>
            </w:tcBorders>
            <w:vAlign w:val="center"/>
          </w:tcPr>
          <w:p w:rsidR="00771BEF" w:rsidRPr="007043E4" w:rsidRDefault="00771BEF" w:rsidP="00771BEF">
            <w:pPr>
              <w:pStyle w:val="Financials"/>
              <w:jc w:val="right"/>
              <w:rPr>
                <w:lang w:eastAsia="en-AU"/>
              </w:rPr>
            </w:pPr>
            <w:r>
              <w:rPr>
                <w:lang w:eastAsia="en-AU"/>
              </w:rPr>
              <w:t>59,000</w:t>
            </w:r>
          </w:p>
        </w:tc>
        <w:tc>
          <w:tcPr>
            <w:tcW w:w="1616" w:type="dxa"/>
            <w:tcBorders>
              <w:top w:val="nil"/>
              <w:left w:val="nil"/>
              <w:right w:val="nil"/>
            </w:tcBorders>
            <w:shd w:val="clear" w:color="auto" w:fill="auto"/>
            <w:vAlign w:val="center"/>
          </w:tcPr>
          <w:p w:rsidR="00771BEF" w:rsidRPr="007043E4" w:rsidRDefault="00771BEF" w:rsidP="00771BEF">
            <w:pPr>
              <w:pStyle w:val="Financials"/>
              <w:jc w:val="right"/>
              <w:rPr>
                <w:lang w:eastAsia="en-AU"/>
              </w:rPr>
            </w:pPr>
            <w:r w:rsidRPr="005D6BC7">
              <w:rPr>
                <w:bCs/>
                <w:lang w:eastAsia="en-AU"/>
              </w:rPr>
              <w:t>-</w:t>
            </w:r>
          </w:p>
        </w:tc>
        <w:tc>
          <w:tcPr>
            <w:tcW w:w="1418" w:type="dxa"/>
            <w:tcBorders>
              <w:top w:val="nil"/>
              <w:left w:val="nil"/>
              <w:right w:val="nil"/>
            </w:tcBorders>
            <w:shd w:val="clear" w:color="auto" w:fill="E0DCCB" w:themeFill="accent4" w:themeFillTint="66"/>
            <w:vAlign w:val="center"/>
          </w:tcPr>
          <w:p w:rsidR="00771BEF" w:rsidRPr="007043E4" w:rsidRDefault="00771BEF" w:rsidP="00771BEF">
            <w:pPr>
              <w:pStyle w:val="Financials"/>
              <w:jc w:val="right"/>
              <w:rPr>
                <w:lang w:eastAsia="en-AU"/>
              </w:rPr>
            </w:pPr>
            <w:r>
              <w:rPr>
                <w:lang w:eastAsia="en-AU"/>
              </w:rPr>
              <w:t>59,000</w:t>
            </w:r>
          </w:p>
        </w:tc>
      </w:tr>
      <w:tr w:rsidR="00771BEF" w:rsidRPr="007043E4" w:rsidTr="00C67976">
        <w:trPr>
          <w:trHeight w:val="255"/>
        </w:trPr>
        <w:tc>
          <w:tcPr>
            <w:tcW w:w="3828" w:type="dxa"/>
            <w:tcBorders>
              <w:top w:val="nil"/>
              <w:left w:val="nil"/>
              <w:bottom w:val="single" w:sz="4" w:space="0" w:color="B2A97E" w:themeColor="accent4"/>
              <w:right w:val="nil"/>
            </w:tcBorders>
            <w:shd w:val="clear" w:color="auto" w:fill="auto"/>
            <w:vAlign w:val="center"/>
          </w:tcPr>
          <w:p w:rsidR="00771BEF" w:rsidRPr="005D6BC7" w:rsidRDefault="00771BEF" w:rsidP="00771BEF">
            <w:pPr>
              <w:pStyle w:val="Financials"/>
              <w:rPr>
                <w:lang w:eastAsia="en-AU"/>
              </w:rPr>
            </w:pPr>
            <w:r>
              <w:rPr>
                <w:lang w:eastAsia="en-AU"/>
              </w:rPr>
              <w:t>Distributions to owners</w:t>
            </w:r>
          </w:p>
        </w:tc>
        <w:tc>
          <w:tcPr>
            <w:tcW w:w="850" w:type="dxa"/>
            <w:tcBorders>
              <w:top w:val="nil"/>
              <w:left w:val="nil"/>
              <w:bottom w:val="single" w:sz="4" w:space="0" w:color="B2A97E" w:themeColor="accent4"/>
              <w:right w:val="nil"/>
            </w:tcBorders>
            <w:shd w:val="clear" w:color="auto" w:fill="auto"/>
            <w:vAlign w:val="center"/>
          </w:tcPr>
          <w:p w:rsidR="00771BEF" w:rsidRPr="007043E4" w:rsidRDefault="00771BEF" w:rsidP="00771BEF">
            <w:pPr>
              <w:pStyle w:val="Financials"/>
              <w:jc w:val="right"/>
              <w:rPr>
                <w:lang w:eastAsia="en-AU"/>
              </w:rPr>
            </w:pPr>
          </w:p>
        </w:tc>
        <w:tc>
          <w:tcPr>
            <w:tcW w:w="1559" w:type="dxa"/>
            <w:tcBorders>
              <w:top w:val="nil"/>
              <w:left w:val="nil"/>
              <w:bottom w:val="single" w:sz="4" w:space="0" w:color="B2A97E" w:themeColor="accent4"/>
              <w:right w:val="nil"/>
            </w:tcBorders>
            <w:vAlign w:val="center"/>
          </w:tcPr>
          <w:p w:rsidR="00771BEF" w:rsidRPr="005D6BC7" w:rsidRDefault="00771BEF" w:rsidP="00771BEF">
            <w:pPr>
              <w:pStyle w:val="Financials"/>
              <w:jc w:val="right"/>
              <w:rPr>
                <w:lang w:eastAsia="en-AU"/>
              </w:rPr>
            </w:pPr>
            <w:r>
              <w:rPr>
                <w:lang w:eastAsia="en-AU"/>
              </w:rPr>
              <w:t>(100,000)</w:t>
            </w:r>
          </w:p>
        </w:tc>
        <w:tc>
          <w:tcPr>
            <w:tcW w:w="1616" w:type="dxa"/>
            <w:tcBorders>
              <w:top w:val="nil"/>
              <w:left w:val="nil"/>
              <w:bottom w:val="single" w:sz="4" w:space="0" w:color="B2A97E" w:themeColor="accent4"/>
              <w:right w:val="nil"/>
            </w:tcBorders>
            <w:shd w:val="clear" w:color="auto" w:fill="auto"/>
            <w:vAlign w:val="center"/>
          </w:tcPr>
          <w:p w:rsidR="00771BEF" w:rsidRPr="005D6BC7" w:rsidRDefault="002A720F" w:rsidP="00771BEF">
            <w:pPr>
              <w:pStyle w:val="Financials"/>
              <w:jc w:val="right"/>
              <w:rPr>
                <w:bCs/>
                <w:lang w:eastAsia="en-AU"/>
              </w:rPr>
            </w:pPr>
            <w:r>
              <w:rPr>
                <w:bCs/>
                <w:lang w:eastAsia="en-AU"/>
              </w:rPr>
              <w:t>-</w:t>
            </w:r>
          </w:p>
        </w:tc>
        <w:tc>
          <w:tcPr>
            <w:tcW w:w="1418" w:type="dxa"/>
            <w:tcBorders>
              <w:top w:val="nil"/>
              <w:left w:val="nil"/>
              <w:bottom w:val="single" w:sz="4" w:space="0" w:color="FFFFFF" w:themeColor="background1"/>
              <w:right w:val="nil"/>
            </w:tcBorders>
            <w:shd w:val="clear" w:color="auto" w:fill="E0DCCB" w:themeFill="accent4" w:themeFillTint="66"/>
            <w:vAlign w:val="center"/>
          </w:tcPr>
          <w:p w:rsidR="00771BEF" w:rsidRPr="005D6BC7" w:rsidRDefault="00771BEF" w:rsidP="00771BEF">
            <w:pPr>
              <w:pStyle w:val="Financials"/>
              <w:jc w:val="right"/>
              <w:rPr>
                <w:lang w:eastAsia="en-AU"/>
              </w:rPr>
            </w:pPr>
            <w:r>
              <w:rPr>
                <w:lang w:eastAsia="en-AU"/>
              </w:rPr>
              <w:t>(100,000)</w:t>
            </w:r>
          </w:p>
        </w:tc>
      </w:tr>
      <w:tr w:rsidR="00771BEF" w:rsidRPr="007043E4" w:rsidTr="00C67976">
        <w:trPr>
          <w:trHeight w:val="255"/>
        </w:trPr>
        <w:tc>
          <w:tcPr>
            <w:tcW w:w="3828" w:type="dxa"/>
            <w:tcBorders>
              <w:top w:val="single" w:sz="4" w:space="0" w:color="B2A97E" w:themeColor="accent4"/>
              <w:left w:val="nil"/>
              <w:bottom w:val="single" w:sz="6" w:space="0" w:color="B2A97E" w:themeColor="accent4"/>
              <w:right w:val="nil"/>
            </w:tcBorders>
            <w:shd w:val="clear" w:color="auto" w:fill="auto"/>
            <w:vAlign w:val="center"/>
          </w:tcPr>
          <w:p w:rsidR="00771BEF" w:rsidRPr="007043E4" w:rsidRDefault="00771BEF" w:rsidP="00771BEF">
            <w:pPr>
              <w:pStyle w:val="Financials"/>
              <w:rPr>
                <w:i/>
                <w:iCs/>
                <w:lang w:eastAsia="en-AU"/>
              </w:rPr>
            </w:pPr>
            <w:r w:rsidRPr="005D6BC7">
              <w:rPr>
                <w:b/>
                <w:bCs/>
                <w:lang w:eastAsia="en-AU"/>
              </w:rPr>
              <w:t>Balance at 30 June 201</w:t>
            </w:r>
            <w:r>
              <w:rPr>
                <w:b/>
                <w:bCs/>
                <w:lang w:eastAsia="en-AU"/>
              </w:rPr>
              <w:t>5</w:t>
            </w:r>
          </w:p>
        </w:tc>
        <w:tc>
          <w:tcPr>
            <w:tcW w:w="850" w:type="dxa"/>
            <w:tcBorders>
              <w:top w:val="single" w:sz="4" w:space="0" w:color="B2A97E" w:themeColor="accent4"/>
              <w:left w:val="nil"/>
              <w:bottom w:val="single" w:sz="6" w:space="0" w:color="B2A97E" w:themeColor="accent4"/>
              <w:right w:val="nil"/>
            </w:tcBorders>
            <w:shd w:val="clear" w:color="auto" w:fill="auto"/>
            <w:vAlign w:val="center"/>
          </w:tcPr>
          <w:p w:rsidR="00771BEF" w:rsidRPr="007043E4" w:rsidRDefault="00771BEF" w:rsidP="00771BEF">
            <w:pPr>
              <w:pStyle w:val="Financials"/>
              <w:jc w:val="right"/>
              <w:rPr>
                <w:lang w:eastAsia="en-AU"/>
              </w:rPr>
            </w:pPr>
          </w:p>
        </w:tc>
        <w:tc>
          <w:tcPr>
            <w:tcW w:w="1559" w:type="dxa"/>
            <w:tcBorders>
              <w:top w:val="single" w:sz="4" w:space="0" w:color="B2A97E" w:themeColor="accent4"/>
              <w:left w:val="nil"/>
              <w:bottom w:val="single" w:sz="6" w:space="0" w:color="B2A97E" w:themeColor="accent4"/>
              <w:right w:val="nil"/>
            </w:tcBorders>
            <w:vAlign w:val="center"/>
          </w:tcPr>
          <w:p w:rsidR="00771BEF" w:rsidRDefault="00771BEF" w:rsidP="00771BEF">
            <w:pPr>
              <w:pStyle w:val="Financials"/>
              <w:jc w:val="right"/>
              <w:rPr>
                <w:lang w:eastAsia="en-AU"/>
              </w:rPr>
            </w:pPr>
            <w:r>
              <w:rPr>
                <w:b/>
                <w:bCs/>
                <w:lang w:eastAsia="en-AU"/>
              </w:rPr>
              <w:t>402,675</w:t>
            </w:r>
          </w:p>
        </w:tc>
        <w:tc>
          <w:tcPr>
            <w:tcW w:w="1616" w:type="dxa"/>
            <w:tcBorders>
              <w:top w:val="single" w:sz="4" w:space="0" w:color="B2A97E" w:themeColor="accent4"/>
              <w:left w:val="nil"/>
              <w:bottom w:val="single" w:sz="6" w:space="0" w:color="B2A97E" w:themeColor="accent4"/>
              <w:right w:val="nil"/>
            </w:tcBorders>
            <w:shd w:val="clear" w:color="auto" w:fill="auto"/>
            <w:vAlign w:val="center"/>
          </w:tcPr>
          <w:p w:rsidR="00771BEF" w:rsidRPr="007043E4" w:rsidRDefault="00771BEF" w:rsidP="00771BEF">
            <w:pPr>
              <w:pStyle w:val="Financials"/>
              <w:jc w:val="right"/>
              <w:rPr>
                <w:lang w:eastAsia="en-AU"/>
              </w:rPr>
            </w:pPr>
            <w:r w:rsidRPr="005D6BC7">
              <w:rPr>
                <w:b/>
                <w:bCs/>
                <w:lang w:eastAsia="en-AU"/>
              </w:rPr>
              <w:t>(</w:t>
            </w:r>
            <w:r>
              <w:rPr>
                <w:b/>
                <w:bCs/>
                <w:lang w:eastAsia="en-AU"/>
              </w:rPr>
              <w:t>1,726,842</w:t>
            </w:r>
            <w:r w:rsidRPr="005D6BC7">
              <w:rPr>
                <w:b/>
                <w:bCs/>
                <w:lang w:eastAsia="en-AU"/>
              </w:rPr>
              <w:t>)</w:t>
            </w:r>
          </w:p>
        </w:tc>
        <w:tc>
          <w:tcPr>
            <w:tcW w:w="1418"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771BEF" w:rsidRPr="007043E4" w:rsidRDefault="00771BEF" w:rsidP="00771BEF">
            <w:pPr>
              <w:pStyle w:val="Financials"/>
              <w:jc w:val="right"/>
              <w:rPr>
                <w:lang w:eastAsia="en-AU"/>
              </w:rPr>
            </w:pPr>
            <w:r>
              <w:rPr>
                <w:b/>
                <w:bCs/>
                <w:lang w:eastAsia="en-AU"/>
              </w:rPr>
              <w:fldChar w:fldCharType="begin"/>
            </w:r>
            <w:r>
              <w:rPr>
                <w:b/>
                <w:bCs/>
                <w:lang w:eastAsia="en-AU"/>
              </w:rPr>
              <w:instrText xml:space="preserve"> =SUM(left) </w:instrText>
            </w:r>
            <w:r>
              <w:rPr>
                <w:b/>
                <w:bCs/>
                <w:lang w:eastAsia="en-AU"/>
              </w:rPr>
              <w:fldChar w:fldCharType="separate"/>
            </w:r>
            <w:r>
              <w:rPr>
                <w:b/>
                <w:bCs/>
                <w:noProof/>
                <w:lang w:eastAsia="en-AU"/>
              </w:rPr>
              <w:t>(1,324,167)</w:t>
            </w:r>
            <w:r>
              <w:rPr>
                <w:b/>
                <w:bCs/>
                <w:lang w:eastAsia="en-AU"/>
              </w:rPr>
              <w:fldChar w:fldCharType="end"/>
            </w:r>
          </w:p>
        </w:tc>
      </w:tr>
    </w:tbl>
    <w:p w:rsidR="009A5B6D" w:rsidRDefault="009A5B6D" w:rsidP="00087037"/>
    <w:p w:rsidR="009A5B6D" w:rsidRDefault="00C67976" w:rsidP="00087037">
      <w:r w:rsidRPr="003F0F5B">
        <w:rPr>
          <w:rFonts w:ascii="Arial" w:eastAsia="Times New Roman" w:hAnsi="Arial" w:cs="Arial"/>
          <w:sz w:val="20"/>
          <w:szCs w:val="20"/>
          <w:lang w:eastAsia="en-AU"/>
        </w:rPr>
        <w:t>The Statement of Changes in Equity should be read in conjunction with the accompanying notes.</w:t>
      </w:r>
    </w:p>
    <w:p w:rsidR="003A3354" w:rsidRDefault="003A3354">
      <w:r>
        <w:br w:type="page"/>
      </w:r>
    </w:p>
    <w:p w:rsidR="003A3354" w:rsidRDefault="003A3354" w:rsidP="003A3354">
      <w:pPr>
        <w:pStyle w:val="Financialsheading1"/>
      </w:pPr>
      <w:bookmarkStart w:id="94" w:name="_Toc425254039"/>
      <w:bookmarkStart w:id="95" w:name="_Toc428279206"/>
      <w:r>
        <w:lastRenderedPageBreak/>
        <w:t>Statement of Cash Flows</w:t>
      </w:r>
      <w:bookmarkEnd w:id="94"/>
      <w:bookmarkEnd w:id="95"/>
    </w:p>
    <w:p w:rsidR="003A3354" w:rsidRDefault="003A3354" w:rsidP="003A3354">
      <w:pPr>
        <w:pStyle w:val="Financialsheading2"/>
      </w:pPr>
      <w:bookmarkStart w:id="96" w:name="_Toc425254040"/>
      <w:r>
        <w:t>For the year ended 30 June 2015</w:t>
      </w:r>
      <w:bookmarkEnd w:id="96"/>
    </w:p>
    <w:tbl>
      <w:tblPr>
        <w:tblW w:w="9781" w:type="dxa"/>
        <w:tblInd w:w="108" w:type="dxa"/>
        <w:tblLayout w:type="fixed"/>
        <w:tblCellMar>
          <w:top w:w="28" w:type="dxa"/>
          <w:bottom w:w="28" w:type="dxa"/>
        </w:tblCellMar>
        <w:tblLook w:val="04A0" w:firstRow="1" w:lastRow="0" w:firstColumn="1" w:lastColumn="0" w:noHBand="0" w:noVBand="1"/>
      </w:tblPr>
      <w:tblGrid>
        <w:gridCol w:w="5954"/>
        <w:gridCol w:w="709"/>
        <w:gridCol w:w="1559"/>
        <w:gridCol w:w="1559"/>
      </w:tblGrid>
      <w:tr w:rsidR="003A3354" w:rsidRPr="007043E4" w:rsidTr="003A3354">
        <w:trPr>
          <w:trHeight w:val="255"/>
        </w:trPr>
        <w:tc>
          <w:tcPr>
            <w:tcW w:w="5954" w:type="dxa"/>
            <w:tcBorders>
              <w:top w:val="nil"/>
              <w:left w:val="nil"/>
              <w:bottom w:val="nil"/>
              <w:right w:val="nil"/>
            </w:tcBorders>
            <w:shd w:val="clear" w:color="auto" w:fill="E0DCCB" w:themeFill="accent4" w:themeFillTint="66"/>
            <w:vAlign w:val="center"/>
            <w:hideMark/>
          </w:tcPr>
          <w:p w:rsidR="003A3354" w:rsidRPr="007043E4" w:rsidRDefault="003A3354" w:rsidP="003A3354">
            <w:pPr>
              <w:pStyle w:val="Financials"/>
              <w:rPr>
                <w:lang w:eastAsia="en-AU"/>
              </w:rPr>
            </w:pPr>
          </w:p>
        </w:tc>
        <w:tc>
          <w:tcPr>
            <w:tcW w:w="709" w:type="dxa"/>
            <w:tcBorders>
              <w:top w:val="nil"/>
              <w:left w:val="nil"/>
              <w:bottom w:val="nil"/>
              <w:right w:val="nil"/>
            </w:tcBorders>
            <w:shd w:val="clear" w:color="auto" w:fill="E0DCCB" w:themeFill="accent4" w:themeFillTint="66"/>
            <w:vAlign w:val="center"/>
            <w:hideMark/>
          </w:tcPr>
          <w:p w:rsidR="003A3354" w:rsidRPr="007043E4" w:rsidRDefault="003A3354" w:rsidP="003A3354">
            <w:pPr>
              <w:pStyle w:val="Financials"/>
              <w:jc w:val="center"/>
              <w:rPr>
                <w:b/>
                <w:bCs/>
                <w:lang w:eastAsia="en-AU"/>
              </w:rPr>
            </w:pPr>
            <w:r w:rsidRPr="007043E4">
              <w:rPr>
                <w:b/>
                <w:bCs/>
                <w:lang w:eastAsia="en-AU"/>
              </w:rPr>
              <w:t>Note</w:t>
            </w:r>
          </w:p>
        </w:tc>
        <w:tc>
          <w:tcPr>
            <w:tcW w:w="1559" w:type="dxa"/>
            <w:tcBorders>
              <w:top w:val="nil"/>
              <w:left w:val="nil"/>
              <w:bottom w:val="nil"/>
              <w:right w:val="nil"/>
            </w:tcBorders>
            <w:shd w:val="clear" w:color="auto" w:fill="E0DCCB" w:themeFill="accent4" w:themeFillTint="66"/>
            <w:vAlign w:val="center"/>
          </w:tcPr>
          <w:p w:rsidR="003A3354" w:rsidRPr="007043E4" w:rsidRDefault="003A3354" w:rsidP="003A3354">
            <w:pPr>
              <w:pStyle w:val="Financials"/>
              <w:jc w:val="center"/>
              <w:rPr>
                <w:b/>
                <w:bCs/>
                <w:lang w:eastAsia="en-AU"/>
              </w:rPr>
            </w:pPr>
            <w:r w:rsidRPr="007043E4">
              <w:rPr>
                <w:b/>
                <w:bCs/>
                <w:lang w:eastAsia="en-AU"/>
              </w:rPr>
              <w:t>201</w:t>
            </w:r>
            <w:r>
              <w:rPr>
                <w:b/>
                <w:bCs/>
                <w:lang w:eastAsia="en-AU"/>
              </w:rPr>
              <w:t>5</w:t>
            </w:r>
          </w:p>
        </w:tc>
        <w:tc>
          <w:tcPr>
            <w:tcW w:w="1559" w:type="dxa"/>
            <w:tcBorders>
              <w:top w:val="nil"/>
              <w:left w:val="nil"/>
              <w:bottom w:val="nil"/>
              <w:right w:val="nil"/>
            </w:tcBorders>
            <w:shd w:val="clear" w:color="auto" w:fill="E0DCCB" w:themeFill="accent4" w:themeFillTint="66"/>
            <w:vAlign w:val="center"/>
            <w:hideMark/>
          </w:tcPr>
          <w:p w:rsidR="003A3354" w:rsidRPr="007043E4" w:rsidRDefault="003A3354" w:rsidP="003A3354">
            <w:pPr>
              <w:pStyle w:val="Financials"/>
              <w:jc w:val="center"/>
              <w:rPr>
                <w:b/>
                <w:bCs/>
                <w:lang w:eastAsia="en-AU"/>
              </w:rPr>
            </w:pPr>
            <w:r w:rsidRPr="007043E4">
              <w:rPr>
                <w:b/>
                <w:bCs/>
                <w:lang w:eastAsia="en-AU"/>
              </w:rPr>
              <w:t>201</w:t>
            </w:r>
            <w:r>
              <w:rPr>
                <w:b/>
                <w:bCs/>
                <w:lang w:eastAsia="en-AU"/>
              </w:rPr>
              <w:t>4</w:t>
            </w:r>
          </w:p>
        </w:tc>
      </w:tr>
      <w:tr w:rsidR="003A3354" w:rsidRPr="007043E4" w:rsidTr="003A3354">
        <w:trPr>
          <w:trHeight w:val="255"/>
        </w:trPr>
        <w:tc>
          <w:tcPr>
            <w:tcW w:w="5954" w:type="dxa"/>
            <w:tcBorders>
              <w:top w:val="nil"/>
              <w:left w:val="nil"/>
              <w:bottom w:val="nil"/>
              <w:right w:val="nil"/>
            </w:tcBorders>
            <w:shd w:val="clear" w:color="auto" w:fill="E0DCCB" w:themeFill="accent4" w:themeFillTint="66"/>
            <w:vAlign w:val="center"/>
            <w:hideMark/>
          </w:tcPr>
          <w:p w:rsidR="003A3354" w:rsidRPr="007043E4" w:rsidRDefault="003A3354" w:rsidP="003A3354">
            <w:pPr>
              <w:pStyle w:val="Financials"/>
              <w:rPr>
                <w:lang w:eastAsia="en-AU"/>
              </w:rPr>
            </w:pPr>
          </w:p>
        </w:tc>
        <w:tc>
          <w:tcPr>
            <w:tcW w:w="709" w:type="dxa"/>
            <w:tcBorders>
              <w:top w:val="nil"/>
              <w:left w:val="nil"/>
              <w:bottom w:val="nil"/>
              <w:right w:val="nil"/>
            </w:tcBorders>
            <w:shd w:val="clear" w:color="auto" w:fill="E0DCCB" w:themeFill="accent4" w:themeFillTint="66"/>
            <w:vAlign w:val="center"/>
            <w:hideMark/>
          </w:tcPr>
          <w:p w:rsidR="003A3354" w:rsidRPr="007043E4" w:rsidRDefault="003A3354" w:rsidP="003A3354">
            <w:pPr>
              <w:pStyle w:val="Financials"/>
              <w:jc w:val="center"/>
              <w:rPr>
                <w:b/>
                <w:bCs/>
                <w:lang w:eastAsia="en-AU"/>
              </w:rPr>
            </w:pPr>
          </w:p>
        </w:tc>
        <w:tc>
          <w:tcPr>
            <w:tcW w:w="1559" w:type="dxa"/>
            <w:tcBorders>
              <w:top w:val="nil"/>
              <w:left w:val="nil"/>
              <w:bottom w:val="nil"/>
              <w:right w:val="nil"/>
            </w:tcBorders>
            <w:shd w:val="clear" w:color="auto" w:fill="E0DCCB" w:themeFill="accent4" w:themeFillTint="66"/>
            <w:vAlign w:val="center"/>
          </w:tcPr>
          <w:p w:rsidR="003A3354" w:rsidRPr="007043E4" w:rsidRDefault="003A3354" w:rsidP="003A3354">
            <w:pPr>
              <w:pStyle w:val="Financials"/>
              <w:jc w:val="center"/>
              <w:rPr>
                <w:b/>
                <w:bCs/>
                <w:lang w:eastAsia="en-AU"/>
              </w:rPr>
            </w:pPr>
            <w:r w:rsidRPr="007043E4">
              <w:rPr>
                <w:b/>
                <w:bCs/>
                <w:lang w:eastAsia="en-AU"/>
              </w:rPr>
              <w:t>$</w:t>
            </w:r>
          </w:p>
        </w:tc>
        <w:tc>
          <w:tcPr>
            <w:tcW w:w="1559" w:type="dxa"/>
            <w:tcBorders>
              <w:top w:val="nil"/>
              <w:left w:val="nil"/>
              <w:bottom w:val="nil"/>
              <w:right w:val="nil"/>
            </w:tcBorders>
            <w:shd w:val="clear" w:color="auto" w:fill="E0DCCB" w:themeFill="accent4" w:themeFillTint="66"/>
            <w:vAlign w:val="center"/>
            <w:hideMark/>
          </w:tcPr>
          <w:p w:rsidR="003A3354" w:rsidRPr="007043E4" w:rsidRDefault="003A3354" w:rsidP="003A3354">
            <w:pPr>
              <w:pStyle w:val="Financials"/>
              <w:jc w:val="center"/>
              <w:rPr>
                <w:b/>
                <w:bCs/>
                <w:lang w:eastAsia="en-AU"/>
              </w:rPr>
            </w:pPr>
            <w:r w:rsidRPr="007043E4">
              <w:rPr>
                <w:b/>
                <w:bCs/>
                <w:lang w:eastAsia="en-AU"/>
              </w:rPr>
              <w:t>$</w:t>
            </w:r>
          </w:p>
        </w:tc>
      </w:tr>
      <w:tr w:rsidR="003A3354" w:rsidRPr="007043E4" w:rsidTr="003A3354">
        <w:trPr>
          <w:trHeight w:val="255"/>
        </w:trPr>
        <w:tc>
          <w:tcPr>
            <w:tcW w:w="5954" w:type="dxa"/>
            <w:tcBorders>
              <w:top w:val="nil"/>
              <w:left w:val="nil"/>
              <w:bottom w:val="nil"/>
              <w:right w:val="nil"/>
            </w:tcBorders>
            <w:shd w:val="clear" w:color="auto" w:fill="auto"/>
            <w:vAlign w:val="center"/>
            <w:hideMark/>
          </w:tcPr>
          <w:p w:rsidR="003A3354" w:rsidRPr="007043E4" w:rsidRDefault="003A3354" w:rsidP="003A3354">
            <w:pPr>
              <w:pStyle w:val="Financials"/>
              <w:rPr>
                <w:b/>
                <w:bCs/>
                <w:lang w:eastAsia="en-AU"/>
              </w:rPr>
            </w:pPr>
            <w:r w:rsidRPr="005D6BC7">
              <w:rPr>
                <w:b/>
                <w:bCs/>
                <w:lang w:eastAsia="en-AU"/>
              </w:rPr>
              <w:t>CASH FLOWS FROM STATE GOVERNMENT</w:t>
            </w:r>
          </w:p>
        </w:tc>
        <w:tc>
          <w:tcPr>
            <w:tcW w:w="70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nil"/>
              <w:left w:val="nil"/>
              <w:bottom w:val="nil"/>
              <w:right w:val="nil"/>
            </w:tcBorders>
            <w:shd w:val="clear" w:color="auto" w:fill="E0DCCB" w:themeFill="accent4" w:themeFillTint="66"/>
            <w:vAlign w:val="center"/>
          </w:tcPr>
          <w:p w:rsidR="003A3354" w:rsidRPr="007043E4" w:rsidRDefault="003A3354" w:rsidP="003A3354">
            <w:pPr>
              <w:pStyle w:val="Financials"/>
              <w:jc w:val="right"/>
              <w:rPr>
                <w:lang w:eastAsia="en-AU"/>
              </w:rPr>
            </w:pPr>
          </w:p>
        </w:tc>
        <w:tc>
          <w:tcPr>
            <w:tcW w:w="155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r>
      <w:tr w:rsidR="003A3354" w:rsidRPr="007043E4" w:rsidTr="003A3354">
        <w:trPr>
          <w:trHeight w:val="255"/>
        </w:trPr>
        <w:tc>
          <w:tcPr>
            <w:tcW w:w="5954" w:type="dxa"/>
            <w:tcBorders>
              <w:top w:val="nil"/>
              <w:left w:val="nil"/>
              <w:bottom w:val="nil"/>
              <w:right w:val="nil"/>
            </w:tcBorders>
            <w:shd w:val="clear" w:color="auto" w:fill="auto"/>
            <w:vAlign w:val="center"/>
            <w:hideMark/>
          </w:tcPr>
          <w:p w:rsidR="003A3354" w:rsidRPr="007043E4" w:rsidRDefault="003A3354" w:rsidP="003A3354">
            <w:pPr>
              <w:pStyle w:val="Financials"/>
              <w:rPr>
                <w:b/>
                <w:bCs/>
                <w:lang w:eastAsia="en-AU"/>
              </w:rPr>
            </w:pPr>
            <w:r w:rsidRPr="005D6BC7">
              <w:rPr>
                <w:lang w:eastAsia="en-AU"/>
              </w:rPr>
              <w:t>Service appropriation</w:t>
            </w:r>
          </w:p>
        </w:tc>
        <w:tc>
          <w:tcPr>
            <w:tcW w:w="70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nil"/>
              <w:left w:val="nil"/>
              <w:bottom w:val="nil"/>
              <w:right w:val="nil"/>
            </w:tcBorders>
            <w:shd w:val="clear" w:color="auto" w:fill="E0DCCB" w:themeFill="accent4" w:themeFillTint="66"/>
            <w:vAlign w:val="center"/>
          </w:tcPr>
          <w:p w:rsidR="003A3354" w:rsidRPr="007043E4" w:rsidRDefault="003A3354" w:rsidP="003A3354">
            <w:pPr>
              <w:pStyle w:val="Financials"/>
              <w:jc w:val="right"/>
              <w:rPr>
                <w:lang w:eastAsia="en-AU"/>
              </w:rPr>
            </w:pPr>
            <w:r>
              <w:rPr>
                <w:lang w:eastAsia="en-AU"/>
              </w:rPr>
              <w:t>15,033,000</w:t>
            </w:r>
          </w:p>
        </w:tc>
        <w:tc>
          <w:tcPr>
            <w:tcW w:w="155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r>
              <w:rPr>
                <w:lang w:eastAsia="en-AU"/>
              </w:rPr>
              <w:t>14,629,000</w:t>
            </w:r>
          </w:p>
        </w:tc>
      </w:tr>
      <w:tr w:rsidR="003A3354" w:rsidRPr="007043E4" w:rsidTr="003A3354">
        <w:trPr>
          <w:trHeight w:val="255"/>
        </w:trPr>
        <w:tc>
          <w:tcPr>
            <w:tcW w:w="5954" w:type="dxa"/>
            <w:tcBorders>
              <w:top w:val="nil"/>
              <w:left w:val="nil"/>
              <w:bottom w:val="nil"/>
              <w:right w:val="nil"/>
            </w:tcBorders>
            <w:shd w:val="clear" w:color="auto" w:fill="auto"/>
            <w:vAlign w:val="center"/>
            <w:hideMark/>
          </w:tcPr>
          <w:p w:rsidR="003A3354" w:rsidRPr="007043E4" w:rsidRDefault="003A3354" w:rsidP="003A3354">
            <w:pPr>
              <w:pStyle w:val="Financials"/>
              <w:rPr>
                <w:lang w:eastAsia="en-AU"/>
              </w:rPr>
            </w:pPr>
            <w:r w:rsidRPr="005D6BC7">
              <w:rPr>
                <w:lang w:eastAsia="en-AU"/>
              </w:rPr>
              <w:t>Capital appropriations</w:t>
            </w:r>
          </w:p>
        </w:tc>
        <w:tc>
          <w:tcPr>
            <w:tcW w:w="70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nil"/>
              <w:left w:val="nil"/>
              <w:bottom w:val="nil"/>
              <w:right w:val="nil"/>
            </w:tcBorders>
            <w:shd w:val="clear" w:color="auto" w:fill="E0DCCB" w:themeFill="accent4" w:themeFillTint="66"/>
            <w:vAlign w:val="center"/>
          </w:tcPr>
          <w:p w:rsidR="003A3354" w:rsidRPr="007043E4" w:rsidRDefault="003A3354" w:rsidP="003A3354">
            <w:pPr>
              <w:pStyle w:val="Financials"/>
              <w:jc w:val="right"/>
              <w:rPr>
                <w:highlight w:val="yellow"/>
                <w:lang w:eastAsia="en-AU"/>
              </w:rPr>
            </w:pPr>
            <w:r>
              <w:rPr>
                <w:lang w:eastAsia="en-AU"/>
              </w:rPr>
              <w:t>59,000</w:t>
            </w:r>
          </w:p>
        </w:tc>
        <w:tc>
          <w:tcPr>
            <w:tcW w:w="155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r>
              <w:rPr>
                <w:lang w:eastAsia="en-AU"/>
              </w:rPr>
              <w:t>-</w:t>
            </w:r>
          </w:p>
        </w:tc>
      </w:tr>
      <w:tr w:rsidR="003A3354" w:rsidRPr="006B33FC" w:rsidTr="003A3354">
        <w:trPr>
          <w:trHeight w:val="255"/>
        </w:trPr>
        <w:tc>
          <w:tcPr>
            <w:tcW w:w="5954" w:type="dxa"/>
            <w:tcBorders>
              <w:top w:val="nil"/>
              <w:left w:val="nil"/>
              <w:bottom w:val="single" w:sz="4" w:space="0" w:color="E0DCCB" w:themeColor="accent4" w:themeTint="66"/>
              <w:right w:val="nil"/>
            </w:tcBorders>
            <w:shd w:val="clear" w:color="auto" w:fill="auto"/>
            <w:vAlign w:val="center"/>
          </w:tcPr>
          <w:p w:rsidR="003A3354" w:rsidRPr="00C9482A" w:rsidRDefault="003A3354" w:rsidP="003A3354">
            <w:pPr>
              <w:pStyle w:val="Financials"/>
              <w:rPr>
                <w:lang w:eastAsia="en-AU"/>
              </w:rPr>
            </w:pPr>
            <w:r w:rsidRPr="00C9482A">
              <w:rPr>
                <w:lang w:eastAsia="en-AU"/>
              </w:rPr>
              <w:t>Non-retained revenue distributed to owner</w:t>
            </w:r>
          </w:p>
        </w:tc>
        <w:tc>
          <w:tcPr>
            <w:tcW w:w="709" w:type="dxa"/>
            <w:tcBorders>
              <w:top w:val="nil"/>
              <w:left w:val="nil"/>
              <w:bottom w:val="single" w:sz="4" w:space="0" w:color="E0DCCB" w:themeColor="accent4" w:themeTint="66"/>
              <w:right w:val="nil"/>
            </w:tcBorders>
            <w:shd w:val="clear" w:color="auto" w:fill="auto"/>
            <w:vAlign w:val="center"/>
          </w:tcPr>
          <w:p w:rsidR="003A3354" w:rsidRPr="007043E4" w:rsidRDefault="003A3354" w:rsidP="003A3354">
            <w:pPr>
              <w:pStyle w:val="Financials"/>
              <w:jc w:val="right"/>
              <w:rPr>
                <w:lang w:eastAsia="en-AU"/>
              </w:rPr>
            </w:pPr>
          </w:p>
        </w:tc>
        <w:tc>
          <w:tcPr>
            <w:tcW w:w="1559" w:type="dxa"/>
            <w:tcBorders>
              <w:top w:val="nil"/>
              <w:left w:val="nil"/>
              <w:bottom w:val="single" w:sz="4" w:space="0" w:color="FFFFFF" w:themeColor="background1"/>
              <w:right w:val="nil"/>
            </w:tcBorders>
            <w:shd w:val="clear" w:color="auto" w:fill="E0DCCB" w:themeFill="accent4" w:themeFillTint="66"/>
            <w:vAlign w:val="center"/>
          </w:tcPr>
          <w:p w:rsidR="003A3354" w:rsidRDefault="003A3354" w:rsidP="003A3354">
            <w:pPr>
              <w:pStyle w:val="Financials"/>
              <w:jc w:val="right"/>
              <w:rPr>
                <w:bCs/>
                <w:lang w:eastAsia="en-AU"/>
              </w:rPr>
            </w:pPr>
            <w:r>
              <w:rPr>
                <w:bCs/>
                <w:lang w:eastAsia="en-AU"/>
              </w:rPr>
              <w:t>(100,000)</w:t>
            </w:r>
          </w:p>
        </w:tc>
        <w:tc>
          <w:tcPr>
            <w:tcW w:w="1559" w:type="dxa"/>
            <w:tcBorders>
              <w:top w:val="nil"/>
              <w:left w:val="nil"/>
              <w:bottom w:val="single" w:sz="4" w:space="0" w:color="E0DCCB" w:themeColor="accent4" w:themeTint="66"/>
              <w:right w:val="nil"/>
            </w:tcBorders>
            <w:shd w:val="clear" w:color="auto" w:fill="auto"/>
            <w:vAlign w:val="center"/>
          </w:tcPr>
          <w:p w:rsidR="003A3354" w:rsidRPr="006B33FC" w:rsidRDefault="006B33FC" w:rsidP="003A3354">
            <w:pPr>
              <w:pStyle w:val="Financials"/>
              <w:jc w:val="right"/>
              <w:rPr>
                <w:bCs/>
                <w:lang w:eastAsia="en-AU"/>
              </w:rPr>
            </w:pPr>
            <w:r w:rsidRPr="006B33FC">
              <w:rPr>
                <w:bCs/>
                <w:lang w:eastAsia="en-AU"/>
              </w:rPr>
              <w:t>-</w:t>
            </w:r>
          </w:p>
        </w:tc>
      </w:tr>
      <w:tr w:rsidR="003A3354" w:rsidRPr="006B33FC" w:rsidTr="003A3354">
        <w:trPr>
          <w:trHeight w:val="255"/>
        </w:trPr>
        <w:tc>
          <w:tcPr>
            <w:tcW w:w="5954" w:type="dxa"/>
            <w:tcBorders>
              <w:top w:val="nil"/>
              <w:left w:val="nil"/>
              <w:bottom w:val="single" w:sz="4" w:space="0" w:color="E0DCCB" w:themeColor="accent4" w:themeTint="66"/>
              <w:right w:val="nil"/>
            </w:tcBorders>
            <w:shd w:val="clear" w:color="auto" w:fill="auto"/>
            <w:vAlign w:val="center"/>
            <w:hideMark/>
          </w:tcPr>
          <w:p w:rsidR="003A3354" w:rsidRPr="007043E4" w:rsidRDefault="003A3354" w:rsidP="003A3354">
            <w:pPr>
              <w:pStyle w:val="Financials"/>
              <w:rPr>
                <w:lang w:eastAsia="en-AU"/>
              </w:rPr>
            </w:pPr>
            <w:r w:rsidRPr="00343F41">
              <w:rPr>
                <w:bCs/>
                <w:lang w:eastAsia="en-AU"/>
              </w:rPr>
              <w:t>Royalties for Regions</w:t>
            </w:r>
          </w:p>
        </w:tc>
        <w:tc>
          <w:tcPr>
            <w:tcW w:w="709" w:type="dxa"/>
            <w:tcBorders>
              <w:top w:val="nil"/>
              <w:left w:val="nil"/>
              <w:bottom w:val="single" w:sz="4" w:space="0" w:color="E0DCCB" w:themeColor="accent4" w:themeTint="66"/>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nil"/>
              <w:left w:val="nil"/>
              <w:bottom w:val="single" w:sz="4" w:space="0" w:color="FFFFFF" w:themeColor="background1"/>
              <w:right w:val="nil"/>
            </w:tcBorders>
            <w:shd w:val="clear" w:color="auto" w:fill="E0DCCB" w:themeFill="accent4" w:themeFillTint="66"/>
            <w:vAlign w:val="center"/>
          </w:tcPr>
          <w:p w:rsidR="003A3354" w:rsidRPr="007043E4" w:rsidRDefault="003A3354" w:rsidP="003A3354">
            <w:pPr>
              <w:pStyle w:val="Financials"/>
              <w:jc w:val="right"/>
              <w:rPr>
                <w:lang w:eastAsia="en-AU"/>
              </w:rPr>
            </w:pPr>
            <w:r>
              <w:rPr>
                <w:bCs/>
                <w:lang w:eastAsia="en-AU"/>
              </w:rPr>
              <w:t>-</w:t>
            </w:r>
          </w:p>
        </w:tc>
        <w:tc>
          <w:tcPr>
            <w:tcW w:w="1559" w:type="dxa"/>
            <w:tcBorders>
              <w:top w:val="nil"/>
              <w:left w:val="nil"/>
              <w:bottom w:val="single" w:sz="4" w:space="0" w:color="E0DCCB" w:themeColor="accent4" w:themeTint="66"/>
              <w:right w:val="nil"/>
            </w:tcBorders>
            <w:shd w:val="clear" w:color="auto" w:fill="auto"/>
            <w:vAlign w:val="center"/>
            <w:hideMark/>
          </w:tcPr>
          <w:p w:rsidR="003A3354" w:rsidRPr="006B33FC" w:rsidRDefault="003A3354" w:rsidP="003A3354">
            <w:pPr>
              <w:pStyle w:val="Financials"/>
              <w:jc w:val="right"/>
              <w:rPr>
                <w:lang w:eastAsia="en-AU"/>
              </w:rPr>
            </w:pPr>
            <w:r w:rsidRPr="006B33FC">
              <w:rPr>
                <w:bCs/>
                <w:lang w:eastAsia="en-AU"/>
              </w:rPr>
              <w:t>390,000</w:t>
            </w:r>
          </w:p>
        </w:tc>
      </w:tr>
      <w:tr w:rsidR="003A3354" w:rsidRPr="007043E4" w:rsidTr="003A3354">
        <w:trPr>
          <w:trHeight w:val="255"/>
        </w:trPr>
        <w:tc>
          <w:tcPr>
            <w:tcW w:w="5954"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3A3354" w:rsidRPr="007043E4" w:rsidRDefault="003A3354" w:rsidP="003A3354">
            <w:pPr>
              <w:pStyle w:val="Financials"/>
              <w:rPr>
                <w:lang w:eastAsia="en-AU"/>
              </w:rPr>
            </w:pPr>
            <w:r w:rsidRPr="005D6BC7">
              <w:rPr>
                <w:b/>
                <w:bCs/>
                <w:lang w:eastAsia="en-AU"/>
              </w:rPr>
              <w:t>Net cash provided by State Government</w:t>
            </w:r>
          </w:p>
        </w:tc>
        <w:tc>
          <w:tcPr>
            <w:tcW w:w="709"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3A3354" w:rsidRPr="007043E4" w:rsidRDefault="003A3354" w:rsidP="003A3354">
            <w:pPr>
              <w:pStyle w:val="Financials"/>
              <w:jc w:val="right"/>
              <w:rPr>
                <w:lang w:eastAsia="en-AU"/>
              </w:rPr>
            </w:pPr>
            <w:r>
              <w:rPr>
                <w:b/>
                <w:bCs/>
                <w:lang w:eastAsia="en-AU"/>
              </w:rPr>
              <w:t>14,992,000</w:t>
            </w:r>
          </w:p>
        </w:tc>
        <w:tc>
          <w:tcPr>
            <w:tcW w:w="1559"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3A3354" w:rsidRPr="007043E4" w:rsidRDefault="003A3354" w:rsidP="003A3354">
            <w:pPr>
              <w:pStyle w:val="Financials"/>
              <w:jc w:val="right"/>
              <w:rPr>
                <w:lang w:eastAsia="en-AU"/>
              </w:rPr>
            </w:pPr>
            <w:r w:rsidRPr="005D6BC7">
              <w:rPr>
                <w:b/>
                <w:bCs/>
                <w:lang w:eastAsia="en-AU"/>
              </w:rPr>
              <w:fldChar w:fldCharType="begin"/>
            </w:r>
            <w:r w:rsidRPr="005D6BC7">
              <w:rPr>
                <w:b/>
                <w:bCs/>
                <w:lang w:eastAsia="en-AU"/>
              </w:rPr>
              <w:instrText xml:space="preserve"> =SUM(ABOVE) </w:instrText>
            </w:r>
            <w:r w:rsidRPr="005D6BC7">
              <w:rPr>
                <w:b/>
                <w:bCs/>
                <w:lang w:eastAsia="en-AU"/>
              </w:rPr>
              <w:fldChar w:fldCharType="separate"/>
            </w:r>
            <w:r>
              <w:rPr>
                <w:b/>
                <w:bCs/>
                <w:noProof/>
                <w:lang w:eastAsia="en-AU"/>
              </w:rPr>
              <w:t>15,019,000</w:t>
            </w:r>
            <w:r w:rsidRPr="005D6BC7">
              <w:rPr>
                <w:b/>
                <w:bCs/>
                <w:lang w:eastAsia="en-AU"/>
              </w:rPr>
              <w:fldChar w:fldCharType="end"/>
            </w:r>
          </w:p>
        </w:tc>
      </w:tr>
      <w:tr w:rsidR="003A3354" w:rsidRPr="007043E4" w:rsidTr="003A3354">
        <w:trPr>
          <w:trHeight w:val="270"/>
        </w:trPr>
        <w:tc>
          <w:tcPr>
            <w:tcW w:w="5954" w:type="dxa"/>
            <w:tcBorders>
              <w:top w:val="single" w:sz="4" w:space="0" w:color="E0DCCB" w:themeColor="accent4" w:themeTint="66"/>
              <w:left w:val="nil"/>
              <w:right w:val="nil"/>
            </w:tcBorders>
            <w:shd w:val="clear" w:color="auto" w:fill="auto"/>
            <w:vAlign w:val="center"/>
          </w:tcPr>
          <w:p w:rsidR="003A3354" w:rsidRPr="007043E4" w:rsidRDefault="003A3354" w:rsidP="003A3354">
            <w:pPr>
              <w:pStyle w:val="Financials"/>
              <w:rPr>
                <w:lang w:eastAsia="en-AU"/>
              </w:rPr>
            </w:pPr>
          </w:p>
        </w:tc>
        <w:tc>
          <w:tcPr>
            <w:tcW w:w="709" w:type="dxa"/>
            <w:tcBorders>
              <w:top w:val="single" w:sz="4" w:space="0" w:color="E0DCCB" w:themeColor="accent4" w:themeTint="66"/>
              <w:left w:val="nil"/>
              <w:right w:val="nil"/>
            </w:tcBorders>
            <w:shd w:val="clear" w:color="auto" w:fill="auto"/>
            <w:vAlign w:val="center"/>
          </w:tcPr>
          <w:p w:rsidR="003A3354" w:rsidRPr="007043E4" w:rsidRDefault="003A3354" w:rsidP="003A3354">
            <w:pPr>
              <w:pStyle w:val="Financials"/>
              <w:jc w:val="right"/>
              <w:rPr>
                <w:lang w:eastAsia="en-AU"/>
              </w:rPr>
            </w:pPr>
          </w:p>
        </w:tc>
        <w:tc>
          <w:tcPr>
            <w:tcW w:w="1559" w:type="dxa"/>
            <w:tcBorders>
              <w:top w:val="single" w:sz="4" w:space="0" w:color="FFFFFF" w:themeColor="background1"/>
              <w:left w:val="nil"/>
              <w:right w:val="nil"/>
            </w:tcBorders>
            <w:shd w:val="clear" w:color="auto" w:fill="E0DCCB" w:themeFill="accent4" w:themeFillTint="66"/>
            <w:vAlign w:val="center"/>
          </w:tcPr>
          <w:p w:rsidR="003A3354" w:rsidRPr="007043E4" w:rsidRDefault="003A3354" w:rsidP="003A3354">
            <w:pPr>
              <w:pStyle w:val="Financials"/>
              <w:jc w:val="right"/>
              <w:rPr>
                <w:lang w:eastAsia="en-AU"/>
              </w:rPr>
            </w:pPr>
          </w:p>
        </w:tc>
        <w:tc>
          <w:tcPr>
            <w:tcW w:w="1559" w:type="dxa"/>
            <w:tcBorders>
              <w:top w:val="single" w:sz="4" w:space="0" w:color="E0DCCB" w:themeColor="accent4" w:themeTint="66"/>
              <w:left w:val="nil"/>
              <w:right w:val="nil"/>
            </w:tcBorders>
            <w:shd w:val="clear" w:color="auto" w:fill="auto"/>
            <w:vAlign w:val="center"/>
          </w:tcPr>
          <w:p w:rsidR="003A3354" w:rsidRPr="007043E4" w:rsidRDefault="003A3354" w:rsidP="003A3354">
            <w:pPr>
              <w:pStyle w:val="Financials"/>
              <w:jc w:val="right"/>
              <w:rPr>
                <w:lang w:eastAsia="en-AU"/>
              </w:rPr>
            </w:pPr>
          </w:p>
        </w:tc>
      </w:tr>
      <w:tr w:rsidR="003A3354" w:rsidRPr="007043E4" w:rsidTr="003A3354">
        <w:trPr>
          <w:trHeight w:val="270"/>
        </w:trPr>
        <w:tc>
          <w:tcPr>
            <w:tcW w:w="5954" w:type="dxa"/>
            <w:tcBorders>
              <w:left w:val="nil"/>
              <w:right w:val="nil"/>
            </w:tcBorders>
            <w:shd w:val="clear" w:color="auto" w:fill="auto"/>
            <w:vAlign w:val="center"/>
            <w:hideMark/>
          </w:tcPr>
          <w:p w:rsidR="003A3354" w:rsidRPr="007043E4" w:rsidRDefault="003A3354" w:rsidP="003A3354">
            <w:pPr>
              <w:pStyle w:val="Financials"/>
              <w:rPr>
                <w:lang w:eastAsia="en-AU"/>
              </w:rPr>
            </w:pPr>
            <w:r w:rsidRPr="005D6BC7">
              <w:rPr>
                <w:lang w:eastAsia="en-AU"/>
              </w:rPr>
              <w:t>Utilised as follows:</w:t>
            </w:r>
          </w:p>
        </w:tc>
        <w:tc>
          <w:tcPr>
            <w:tcW w:w="709" w:type="dxa"/>
            <w:tcBorders>
              <w:left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left w:val="nil"/>
              <w:right w:val="nil"/>
            </w:tcBorders>
            <w:shd w:val="clear" w:color="auto" w:fill="E0DCCB" w:themeFill="accent4" w:themeFillTint="66"/>
            <w:vAlign w:val="center"/>
          </w:tcPr>
          <w:p w:rsidR="003A3354" w:rsidRPr="007043E4" w:rsidRDefault="003A3354" w:rsidP="003A3354">
            <w:pPr>
              <w:pStyle w:val="Financials"/>
              <w:jc w:val="right"/>
              <w:rPr>
                <w:highlight w:val="yellow"/>
                <w:lang w:eastAsia="en-AU"/>
              </w:rPr>
            </w:pPr>
          </w:p>
        </w:tc>
        <w:tc>
          <w:tcPr>
            <w:tcW w:w="1559" w:type="dxa"/>
            <w:tcBorders>
              <w:left w:val="nil"/>
              <w:right w:val="nil"/>
            </w:tcBorders>
            <w:shd w:val="clear" w:color="auto" w:fill="auto"/>
            <w:vAlign w:val="center"/>
            <w:hideMark/>
          </w:tcPr>
          <w:p w:rsidR="003A3354" w:rsidRPr="007043E4" w:rsidRDefault="003A3354" w:rsidP="003A3354">
            <w:pPr>
              <w:pStyle w:val="Financials"/>
              <w:jc w:val="right"/>
              <w:rPr>
                <w:lang w:eastAsia="en-AU"/>
              </w:rPr>
            </w:pPr>
          </w:p>
        </w:tc>
      </w:tr>
      <w:tr w:rsidR="003A3354" w:rsidRPr="007043E4" w:rsidTr="003A3354">
        <w:trPr>
          <w:trHeight w:val="270"/>
        </w:trPr>
        <w:tc>
          <w:tcPr>
            <w:tcW w:w="5954" w:type="dxa"/>
            <w:tcBorders>
              <w:left w:val="nil"/>
              <w:right w:val="nil"/>
            </w:tcBorders>
            <w:shd w:val="clear" w:color="auto" w:fill="auto"/>
            <w:vAlign w:val="center"/>
            <w:hideMark/>
          </w:tcPr>
          <w:p w:rsidR="003A3354" w:rsidRPr="007043E4" w:rsidRDefault="003A3354" w:rsidP="003A3354">
            <w:pPr>
              <w:pStyle w:val="Financials"/>
              <w:rPr>
                <w:b/>
                <w:bCs/>
                <w:lang w:eastAsia="en-AU"/>
              </w:rPr>
            </w:pPr>
            <w:r w:rsidRPr="005D6BC7">
              <w:rPr>
                <w:b/>
                <w:bCs/>
                <w:lang w:eastAsia="en-AU"/>
              </w:rPr>
              <w:t>CASH FLOWS FROM OPERATING ACTIVITIES</w:t>
            </w:r>
          </w:p>
        </w:tc>
        <w:tc>
          <w:tcPr>
            <w:tcW w:w="709" w:type="dxa"/>
            <w:tcBorders>
              <w:left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left w:val="nil"/>
              <w:right w:val="nil"/>
            </w:tcBorders>
            <w:shd w:val="clear" w:color="auto" w:fill="E0DCCB" w:themeFill="accent4" w:themeFillTint="66"/>
            <w:vAlign w:val="center"/>
          </w:tcPr>
          <w:p w:rsidR="003A3354" w:rsidRPr="007043E4" w:rsidRDefault="003A3354" w:rsidP="003A3354">
            <w:pPr>
              <w:pStyle w:val="Financials"/>
              <w:jc w:val="right"/>
              <w:rPr>
                <w:b/>
                <w:bCs/>
                <w:highlight w:val="yellow"/>
                <w:lang w:eastAsia="en-AU"/>
              </w:rPr>
            </w:pPr>
          </w:p>
        </w:tc>
        <w:tc>
          <w:tcPr>
            <w:tcW w:w="1559" w:type="dxa"/>
            <w:tcBorders>
              <w:left w:val="nil"/>
              <w:right w:val="nil"/>
            </w:tcBorders>
            <w:shd w:val="clear" w:color="auto" w:fill="auto"/>
            <w:vAlign w:val="center"/>
            <w:hideMark/>
          </w:tcPr>
          <w:p w:rsidR="003A3354" w:rsidRPr="007043E4" w:rsidRDefault="003A3354" w:rsidP="003A3354">
            <w:pPr>
              <w:pStyle w:val="Financials"/>
              <w:jc w:val="right"/>
              <w:rPr>
                <w:b/>
                <w:bCs/>
                <w:lang w:eastAsia="en-AU"/>
              </w:rPr>
            </w:pPr>
          </w:p>
        </w:tc>
      </w:tr>
      <w:tr w:rsidR="003A3354" w:rsidRPr="00D578E2" w:rsidTr="003A3354">
        <w:trPr>
          <w:trHeight w:val="255"/>
        </w:trPr>
        <w:tc>
          <w:tcPr>
            <w:tcW w:w="5954" w:type="dxa"/>
            <w:tcBorders>
              <w:left w:val="nil"/>
              <w:bottom w:val="nil"/>
              <w:right w:val="nil"/>
            </w:tcBorders>
            <w:shd w:val="clear" w:color="auto" w:fill="auto"/>
            <w:vAlign w:val="center"/>
            <w:hideMark/>
          </w:tcPr>
          <w:p w:rsidR="003A3354" w:rsidRPr="00D578E2" w:rsidRDefault="003A3354" w:rsidP="003A3354">
            <w:pPr>
              <w:pStyle w:val="Financials"/>
              <w:rPr>
                <w:sz w:val="8"/>
                <w:szCs w:val="8"/>
                <w:lang w:eastAsia="en-AU"/>
              </w:rPr>
            </w:pPr>
            <w:r w:rsidRPr="005D6BC7">
              <w:rPr>
                <w:b/>
                <w:bCs/>
                <w:lang w:eastAsia="en-AU"/>
              </w:rPr>
              <w:t>Payments</w:t>
            </w:r>
          </w:p>
        </w:tc>
        <w:tc>
          <w:tcPr>
            <w:tcW w:w="709" w:type="dxa"/>
            <w:tcBorders>
              <w:left w:val="nil"/>
              <w:bottom w:val="nil"/>
              <w:right w:val="nil"/>
            </w:tcBorders>
            <w:shd w:val="clear" w:color="auto" w:fill="auto"/>
            <w:vAlign w:val="center"/>
            <w:hideMark/>
          </w:tcPr>
          <w:p w:rsidR="003A3354" w:rsidRPr="00D578E2" w:rsidRDefault="003A3354" w:rsidP="003A3354">
            <w:pPr>
              <w:pStyle w:val="Financials"/>
              <w:jc w:val="right"/>
              <w:rPr>
                <w:sz w:val="8"/>
                <w:szCs w:val="8"/>
                <w:lang w:eastAsia="en-AU"/>
              </w:rPr>
            </w:pPr>
          </w:p>
        </w:tc>
        <w:tc>
          <w:tcPr>
            <w:tcW w:w="1559" w:type="dxa"/>
            <w:tcBorders>
              <w:left w:val="nil"/>
              <w:bottom w:val="nil"/>
              <w:right w:val="nil"/>
            </w:tcBorders>
            <w:shd w:val="clear" w:color="auto" w:fill="E0DCCB" w:themeFill="accent4" w:themeFillTint="66"/>
            <w:vAlign w:val="center"/>
          </w:tcPr>
          <w:p w:rsidR="003A3354" w:rsidRPr="00D578E2" w:rsidRDefault="003A3354" w:rsidP="003A3354">
            <w:pPr>
              <w:pStyle w:val="Financials"/>
              <w:jc w:val="right"/>
              <w:rPr>
                <w:sz w:val="8"/>
                <w:szCs w:val="8"/>
                <w:lang w:eastAsia="en-AU"/>
              </w:rPr>
            </w:pPr>
          </w:p>
        </w:tc>
        <w:tc>
          <w:tcPr>
            <w:tcW w:w="1559" w:type="dxa"/>
            <w:tcBorders>
              <w:left w:val="nil"/>
              <w:bottom w:val="nil"/>
              <w:right w:val="nil"/>
            </w:tcBorders>
            <w:shd w:val="clear" w:color="auto" w:fill="auto"/>
            <w:vAlign w:val="center"/>
            <w:hideMark/>
          </w:tcPr>
          <w:p w:rsidR="003A3354" w:rsidRPr="00D578E2" w:rsidRDefault="003A3354" w:rsidP="003A3354">
            <w:pPr>
              <w:pStyle w:val="Financials"/>
              <w:jc w:val="right"/>
              <w:rPr>
                <w:sz w:val="8"/>
                <w:szCs w:val="8"/>
                <w:lang w:eastAsia="en-AU"/>
              </w:rPr>
            </w:pPr>
          </w:p>
        </w:tc>
      </w:tr>
      <w:tr w:rsidR="003A3354" w:rsidRPr="007043E4" w:rsidTr="003A3354">
        <w:trPr>
          <w:trHeight w:val="255"/>
        </w:trPr>
        <w:tc>
          <w:tcPr>
            <w:tcW w:w="5954" w:type="dxa"/>
            <w:tcBorders>
              <w:top w:val="nil"/>
              <w:left w:val="nil"/>
              <w:bottom w:val="nil"/>
              <w:right w:val="nil"/>
            </w:tcBorders>
            <w:shd w:val="clear" w:color="auto" w:fill="auto"/>
            <w:vAlign w:val="center"/>
            <w:hideMark/>
          </w:tcPr>
          <w:p w:rsidR="003A3354" w:rsidRPr="007043E4" w:rsidRDefault="003A3354" w:rsidP="003A3354">
            <w:pPr>
              <w:pStyle w:val="Financials"/>
              <w:rPr>
                <w:b/>
                <w:bCs/>
                <w:lang w:eastAsia="en-AU"/>
              </w:rPr>
            </w:pPr>
            <w:r w:rsidRPr="005D6BC7">
              <w:rPr>
                <w:lang w:eastAsia="en-AU"/>
              </w:rPr>
              <w:t>Employee benefits</w:t>
            </w:r>
          </w:p>
        </w:tc>
        <w:tc>
          <w:tcPr>
            <w:tcW w:w="70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nil"/>
              <w:left w:val="nil"/>
              <w:bottom w:val="nil"/>
              <w:right w:val="nil"/>
            </w:tcBorders>
            <w:shd w:val="clear" w:color="auto" w:fill="E0DCCB" w:themeFill="accent4" w:themeFillTint="66"/>
            <w:vAlign w:val="center"/>
          </w:tcPr>
          <w:p w:rsidR="003A3354" w:rsidRPr="007043E4" w:rsidRDefault="003A3354" w:rsidP="003A3354">
            <w:pPr>
              <w:pStyle w:val="Financials"/>
              <w:jc w:val="right"/>
              <w:rPr>
                <w:lang w:eastAsia="en-AU"/>
              </w:rPr>
            </w:pPr>
            <w:r>
              <w:rPr>
                <w:lang w:eastAsia="en-AU"/>
              </w:rPr>
              <w:t>(11,964,991)</w:t>
            </w:r>
          </w:p>
        </w:tc>
        <w:tc>
          <w:tcPr>
            <w:tcW w:w="155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r>
              <w:rPr>
                <w:lang w:eastAsia="en-AU"/>
              </w:rPr>
              <w:t>(12,342,203)</w:t>
            </w:r>
          </w:p>
        </w:tc>
      </w:tr>
      <w:tr w:rsidR="003A3354" w:rsidRPr="007043E4" w:rsidTr="003A3354">
        <w:trPr>
          <w:trHeight w:val="255"/>
        </w:trPr>
        <w:tc>
          <w:tcPr>
            <w:tcW w:w="5954" w:type="dxa"/>
            <w:tcBorders>
              <w:top w:val="nil"/>
              <w:left w:val="nil"/>
              <w:bottom w:val="nil"/>
              <w:right w:val="nil"/>
            </w:tcBorders>
            <w:shd w:val="clear" w:color="auto" w:fill="auto"/>
            <w:vAlign w:val="center"/>
            <w:hideMark/>
          </w:tcPr>
          <w:p w:rsidR="003A3354" w:rsidRPr="007043E4" w:rsidRDefault="003A3354" w:rsidP="003A3354">
            <w:pPr>
              <w:pStyle w:val="Financials"/>
              <w:rPr>
                <w:i/>
                <w:iCs/>
                <w:lang w:eastAsia="en-AU"/>
              </w:rPr>
            </w:pPr>
            <w:r w:rsidRPr="005D6BC7">
              <w:rPr>
                <w:lang w:eastAsia="en-AU"/>
              </w:rPr>
              <w:t>Supplies and services</w:t>
            </w:r>
          </w:p>
        </w:tc>
        <w:tc>
          <w:tcPr>
            <w:tcW w:w="70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nil"/>
              <w:left w:val="nil"/>
              <w:bottom w:val="nil"/>
              <w:right w:val="nil"/>
            </w:tcBorders>
            <w:shd w:val="clear" w:color="auto" w:fill="E0DCCB" w:themeFill="accent4" w:themeFillTint="66"/>
            <w:vAlign w:val="center"/>
          </w:tcPr>
          <w:p w:rsidR="003A3354" w:rsidRPr="007043E4" w:rsidRDefault="003A3354" w:rsidP="003A3354">
            <w:pPr>
              <w:pStyle w:val="Financials"/>
              <w:jc w:val="right"/>
              <w:rPr>
                <w:lang w:eastAsia="en-AU"/>
              </w:rPr>
            </w:pPr>
            <w:r>
              <w:rPr>
                <w:lang w:eastAsia="en-AU"/>
              </w:rPr>
              <w:t>(2,843,801)</w:t>
            </w:r>
          </w:p>
        </w:tc>
        <w:tc>
          <w:tcPr>
            <w:tcW w:w="155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r>
              <w:rPr>
                <w:lang w:eastAsia="en-AU"/>
              </w:rPr>
              <w:t>(2,577,008)</w:t>
            </w:r>
          </w:p>
        </w:tc>
      </w:tr>
      <w:tr w:rsidR="003A3354" w:rsidRPr="007043E4" w:rsidTr="003A3354">
        <w:trPr>
          <w:trHeight w:val="270"/>
        </w:trPr>
        <w:tc>
          <w:tcPr>
            <w:tcW w:w="5954" w:type="dxa"/>
            <w:tcBorders>
              <w:top w:val="nil"/>
              <w:left w:val="nil"/>
              <w:right w:val="nil"/>
            </w:tcBorders>
            <w:shd w:val="clear" w:color="auto" w:fill="auto"/>
            <w:vAlign w:val="center"/>
            <w:hideMark/>
          </w:tcPr>
          <w:p w:rsidR="003A3354" w:rsidRPr="007043E4" w:rsidRDefault="003A3354" w:rsidP="003A3354">
            <w:pPr>
              <w:pStyle w:val="Financials"/>
              <w:rPr>
                <w:lang w:eastAsia="en-AU"/>
              </w:rPr>
            </w:pPr>
            <w:r>
              <w:rPr>
                <w:lang w:eastAsia="en-AU"/>
              </w:rPr>
              <w:t>Grants</w:t>
            </w:r>
          </w:p>
        </w:tc>
        <w:tc>
          <w:tcPr>
            <w:tcW w:w="709" w:type="dxa"/>
            <w:tcBorders>
              <w:top w:val="nil"/>
              <w:left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nil"/>
              <w:left w:val="nil"/>
              <w:right w:val="nil"/>
            </w:tcBorders>
            <w:shd w:val="clear" w:color="auto" w:fill="E0DCCB" w:themeFill="accent4" w:themeFillTint="66"/>
            <w:vAlign w:val="center"/>
          </w:tcPr>
          <w:p w:rsidR="003A3354" w:rsidRPr="007043E4" w:rsidRDefault="006B33FC" w:rsidP="003A3354">
            <w:pPr>
              <w:pStyle w:val="Financials"/>
              <w:jc w:val="right"/>
              <w:rPr>
                <w:lang w:eastAsia="en-AU"/>
              </w:rPr>
            </w:pPr>
            <w:r>
              <w:rPr>
                <w:lang w:eastAsia="en-AU"/>
              </w:rPr>
              <w:t>-</w:t>
            </w:r>
          </w:p>
        </w:tc>
        <w:tc>
          <w:tcPr>
            <w:tcW w:w="1559" w:type="dxa"/>
            <w:tcBorders>
              <w:top w:val="nil"/>
              <w:left w:val="nil"/>
              <w:right w:val="nil"/>
            </w:tcBorders>
            <w:shd w:val="clear" w:color="auto" w:fill="auto"/>
            <w:vAlign w:val="center"/>
            <w:hideMark/>
          </w:tcPr>
          <w:p w:rsidR="003A3354" w:rsidRPr="007043E4" w:rsidRDefault="003A3354" w:rsidP="003A3354">
            <w:pPr>
              <w:pStyle w:val="Financials"/>
              <w:jc w:val="right"/>
              <w:rPr>
                <w:lang w:eastAsia="en-AU"/>
              </w:rPr>
            </w:pPr>
            <w:r>
              <w:rPr>
                <w:lang w:eastAsia="en-AU"/>
              </w:rPr>
              <w:t>(110,000)</w:t>
            </w:r>
          </w:p>
        </w:tc>
      </w:tr>
      <w:tr w:rsidR="003A3354" w:rsidRPr="006B33FC" w:rsidTr="003A3354">
        <w:trPr>
          <w:trHeight w:val="270"/>
        </w:trPr>
        <w:tc>
          <w:tcPr>
            <w:tcW w:w="5954" w:type="dxa"/>
            <w:tcBorders>
              <w:left w:val="nil"/>
              <w:right w:val="nil"/>
            </w:tcBorders>
            <w:shd w:val="clear" w:color="auto" w:fill="auto"/>
            <w:vAlign w:val="center"/>
            <w:hideMark/>
          </w:tcPr>
          <w:p w:rsidR="003A3354" w:rsidRPr="006B33FC" w:rsidRDefault="003A3354" w:rsidP="003A3354">
            <w:pPr>
              <w:pStyle w:val="Financials"/>
              <w:rPr>
                <w:bCs/>
                <w:lang w:eastAsia="en-AU"/>
              </w:rPr>
            </w:pPr>
            <w:r w:rsidRPr="006B33FC">
              <w:rPr>
                <w:lang w:eastAsia="en-AU"/>
              </w:rPr>
              <w:t>GST payments on purchases</w:t>
            </w:r>
          </w:p>
        </w:tc>
        <w:tc>
          <w:tcPr>
            <w:tcW w:w="709" w:type="dxa"/>
            <w:tcBorders>
              <w:left w:val="nil"/>
              <w:right w:val="nil"/>
            </w:tcBorders>
            <w:shd w:val="clear" w:color="auto" w:fill="auto"/>
            <w:vAlign w:val="center"/>
            <w:hideMark/>
          </w:tcPr>
          <w:p w:rsidR="003A3354" w:rsidRPr="006B33FC" w:rsidRDefault="003A3354" w:rsidP="003A3354">
            <w:pPr>
              <w:pStyle w:val="Financials"/>
              <w:jc w:val="right"/>
              <w:rPr>
                <w:lang w:eastAsia="en-AU"/>
              </w:rPr>
            </w:pPr>
          </w:p>
        </w:tc>
        <w:tc>
          <w:tcPr>
            <w:tcW w:w="1559" w:type="dxa"/>
            <w:tcBorders>
              <w:left w:val="nil"/>
              <w:right w:val="nil"/>
            </w:tcBorders>
            <w:shd w:val="clear" w:color="auto" w:fill="E0DCCB" w:themeFill="accent4" w:themeFillTint="66"/>
            <w:vAlign w:val="center"/>
          </w:tcPr>
          <w:p w:rsidR="003A3354" w:rsidRPr="006B33FC" w:rsidRDefault="003A3354" w:rsidP="003A3354">
            <w:pPr>
              <w:pStyle w:val="Financials"/>
              <w:jc w:val="right"/>
              <w:rPr>
                <w:bCs/>
                <w:lang w:eastAsia="en-AU"/>
              </w:rPr>
            </w:pPr>
            <w:r w:rsidRPr="006B33FC">
              <w:rPr>
                <w:lang w:eastAsia="en-AU"/>
              </w:rPr>
              <w:t>(333,961)</w:t>
            </w:r>
          </w:p>
        </w:tc>
        <w:tc>
          <w:tcPr>
            <w:tcW w:w="1559" w:type="dxa"/>
            <w:tcBorders>
              <w:left w:val="nil"/>
              <w:right w:val="nil"/>
            </w:tcBorders>
            <w:shd w:val="clear" w:color="auto" w:fill="auto"/>
            <w:vAlign w:val="center"/>
            <w:hideMark/>
          </w:tcPr>
          <w:p w:rsidR="003A3354" w:rsidRPr="006B33FC" w:rsidRDefault="003A3354" w:rsidP="003A3354">
            <w:pPr>
              <w:pStyle w:val="Financials"/>
              <w:jc w:val="right"/>
              <w:rPr>
                <w:bCs/>
                <w:lang w:eastAsia="en-AU"/>
              </w:rPr>
            </w:pPr>
            <w:r w:rsidRPr="006B33FC">
              <w:rPr>
                <w:lang w:eastAsia="en-AU"/>
              </w:rPr>
              <w:t>(216,062)</w:t>
            </w:r>
          </w:p>
        </w:tc>
      </w:tr>
      <w:tr w:rsidR="003A3354" w:rsidRPr="007043E4" w:rsidTr="003A3354">
        <w:trPr>
          <w:trHeight w:val="255"/>
        </w:trPr>
        <w:tc>
          <w:tcPr>
            <w:tcW w:w="5954" w:type="dxa"/>
            <w:tcBorders>
              <w:left w:val="nil"/>
              <w:bottom w:val="nil"/>
              <w:right w:val="nil"/>
            </w:tcBorders>
            <w:shd w:val="clear" w:color="auto" w:fill="auto"/>
            <w:vAlign w:val="center"/>
            <w:hideMark/>
          </w:tcPr>
          <w:p w:rsidR="003A3354" w:rsidRPr="007043E4" w:rsidRDefault="003A3354" w:rsidP="003A3354">
            <w:pPr>
              <w:pStyle w:val="Financials"/>
              <w:rPr>
                <w:lang w:eastAsia="en-AU"/>
              </w:rPr>
            </w:pPr>
            <w:r w:rsidRPr="005D6BC7">
              <w:rPr>
                <w:lang w:eastAsia="en-AU"/>
              </w:rPr>
              <w:t>Other payments</w:t>
            </w:r>
          </w:p>
        </w:tc>
        <w:tc>
          <w:tcPr>
            <w:tcW w:w="709" w:type="dxa"/>
            <w:tcBorders>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left w:val="nil"/>
              <w:bottom w:val="nil"/>
              <w:right w:val="nil"/>
            </w:tcBorders>
            <w:shd w:val="clear" w:color="auto" w:fill="E0DCCB" w:themeFill="accent4" w:themeFillTint="66"/>
            <w:vAlign w:val="center"/>
          </w:tcPr>
          <w:p w:rsidR="003A3354" w:rsidRPr="007043E4" w:rsidRDefault="003A3354" w:rsidP="003A3354">
            <w:pPr>
              <w:pStyle w:val="Financials"/>
              <w:jc w:val="right"/>
              <w:rPr>
                <w:lang w:eastAsia="en-AU"/>
              </w:rPr>
            </w:pPr>
            <w:r>
              <w:rPr>
                <w:lang w:eastAsia="en-AU"/>
              </w:rPr>
              <w:t>(362,333)</w:t>
            </w:r>
          </w:p>
        </w:tc>
        <w:tc>
          <w:tcPr>
            <w:tcW w:w="1559" w:type="dxa"/>
            <w:tcBorders>
              <w:left w:val="nil"/>
              <w:bottom w:val="nil"/>
              <w:right w:val="nil"/>
            </w:tcBorders>
            <w:shd w:val="clear" w:color="auto" w:fill="auto"/>
            <w:vAlign w:val="center"/>
            <w:hideMark/>
          </w:tcPr>
          <w:p w:rsidR="003A3354" w:rsidRPr="007043E4" w:rsidRDefault="003A3354" w:rsidP="003A3354">
            <w:pPr>
              <w:pStyle w:val="Financials"/>
              <w:jc w:val="right"/>
              <w:rPr>
                <w:lang w:eastAsia="en-AU"/>
              </w:rPr>
            </w:pPr>
            <w:r>
              <w:rPr>
                <w:lang w:eastAsia="en-AU"/>
              </w:rPr>
              <w:t>(528,604)</w:t>
            </w:r>
          </w:p>
        </w:tc>
      </w:tr>
      <w:tr w:rsidR="003A3354" w:rsidRPr="007043E4" w:rsidTr="003A3354">
        <w:trPr>
          <w:trHeight w:val="255"/>
        </w:trPr>
        <w:tc>
          <w:tcPr>
            <w:tcW w:w="5954" w:type="dxa"/>
            <w:tcBorders>
              <w:top w:val="nil"/>
              <w:left w:val="nil"/>
              <w:bottom w:val="nil"/>
              <w:right w:val="nil"/>
            </w:tcBorders>
            <w:shd w:val="clear" w:color="auto" w:fill="auto"/>
            <w:vAlign w:val="center"/>
            <w:hideMark/>
          </w:tcPr>
          <w:p w:rsidR="003A3354" w:rsidRPr="007043E4" w:rsidRDefault="003A3354" w:rsidP="003A3354">
            <w:pPr>
              <w:pStyle w:val="Financials"/>
              <w:rPr>
                <w:i/>
                <w:iCs/>
                <w:lang w:eastAsia="en-AU"/>
              </w:rPr>
            </w:pPr>
          </w:p>
        </w:tc>
        <w:tc>
          <w:tcPr>
            <w:tcW w:w="70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nil"/>
              <w:left w:val="nil"/>
              <w:bottom w:val="nil"/>
              <w:right w:val="nil"/>
            </w:tcBorders>
            <w:shd w:val="clear" w:color="auto" w:fill="E0DCCB" w:themeFill="accent4" w:themeFillTint="66"/>
            <w:vAlign w:val="center"/>
          </w:tcPr>
          <w:p w:rsidR="003A3354" w:rsidRPr="007043E4" w:rsidRDefault="003A3354" w:rsidP="003A3354">
            <w:pPr>
              <w:pStyle w:val="Financials"/>
              <w:jc w:val="right"/>
              <w:rPr>
                <w:lang w:eastAsia="en-AU"/>
              </w:rPr>
            </w:pPr>
          </w:p>
        </w:tc>
        <w:tc>
          <w:tcPr>
            <w:tcW w:w="155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r>
      <w:tr w:rsidR="003A3354" w:rsidRPr="007043E4" w:rsidTr="003A3354">
        <w:trPr>
          <w:trHeight w:val="270"/>
        </w:trPr>
        <w:tc>
          <w:tcPr>
            <w:tcW w:w="5954" w:type="dxa"/>
            <w:tcBorders>
              <w:top w:val="nil"/>
              <w:left w:val="nil"/>
              <w:right w:val="nil"/>
            </w:tcBorders>
            <w:shd w:val="clear" w:color="auto" w:fill="auto"/>
            <w:vAlign w:val="center"/>
            <w:hideMark/>
          </w:tcPr>
          <w:p w:rsidR="003A3354" w:rsidRPr="007043E4" w:rsidRDefault="003A3354" w:rsidP="003A3354">
            <w:pPr>
              <w:pStyle w:val="Financials"/>
              <w:rPr>
                <w:lang w:eastAsia="en-AU"/>
              </w:rPr>
            </w:pPr>
            <w:r w:rsidRPr="005D6BC7">
              <w:rPr>
                <w:b/>
                <w:bCs/>
                <w:lang w:eastAsia="en-AU"/>
              </w:rPr>
              <w:t>Receipts</w:t>
            </w:r>
          </w:p>
        </w:tc>
        <w:tc>
          <w:tcPr>
            <w:tcW w:w="709" w:type="dxa"/>
            <w:tcBorders>
              <w:top w:val="nil"/>
              <w:left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nil"/>
              <w:left w:val="nil"/>
              <w:right w:val="nil"/>
            </w:tcBorders>
            <w:shd w:val="clear" w:color="auto" w:fill="E0DCCB" w:themeFill="accent4" w:themeFillTint="66"/>
            <w:vAlign w:val="center"/>
          </w:tcPr>
          <w:p w:rsidR="003A3354" w:rsidRPr="007043E4" w:rsidRDefault="003A3354" w:rsidP="003A3354">
            <w:pPr>
              <w:pStyle w:val="Financials"/>
              <w:jc w:val="right"/>
              <w:rPr>
                <w:lang w:eastAsia="en-AU"/>
              </w:rPr>
            </w:pPr>
          </w:p>
        </w:tc>
        <w:tc>
          <w:tcPr>
            <w:tcW w:w="1559" w:type="dxa"/>
            <w:tcBorders>
              <w:top w:val="nil"/>
              <w:left w:val="nil"/>
              <w:right w:val="nil"/>
            </w:tcBorders>
            <w:shd w:val="clear" w:color="auto" w:fill="auto"/>
            <w:vAlign w:val="center"/>
            <w:hideMark/>
          </w:tcPr>
          <w:p w:rsidR="003A3354" w:rsidRPr="007043E4" w:rsidRDefault="003A3354" w:rsidP="003A3354">
            <w:pPr>
              <w:pStyle w:val="Financials"/>
              <w:jc w:val="right"/>
              <w:rPr>
                <w:lang w:eastAsia="en-AU"/>
              </w:rPr>
            </w:pPr>
          </w:p>
        </w:tc>
      </w:tr>
      <w:tr w:rsidR="003A3354" w:rsidRPr="006B33FC" w:rsidTr="003A3354">
        <w:trPr>
          <w:trHeight w:val="270"/>
        </w:trPr>
        <w:tc>
          <w:tcPr>
            <w:tcW w:w="5954" w:type="dxa"/>
            <w:tcBorders>
              <w:left w:val="nil"/>
              <w:right w:val="nil"/>
            </w:tcBorders>
            <w:shd w:val="clear" w:color="auto" w:fill="auto"/>
            <w:vAlign w:val="center"/>
          </w:tcPr>
          <w:p w:rsidR="003A3354" w:rsidRPr="007043E4" w:rsidRDefault="003A3354" w:rsidP="003A3354">
            <w:pPr>
              <w:pStyle w:val="Financials"/>
              <w:rPr>
                <w:b/>
                <w:bCs/>
                <w:lang w:eastAsia="en-AU"/>
              </w:rPr>
            </w:pPr>
            <w:r w:rsidRPr="005D6BC7">
              <w:rPr>
                <w:lang w:eastAsia="en-AU"/>
              </w:rPr>
              <w:t>GST receipts on sales</w:t>
            </w:r>
          </w:p>
        </w:tc>
        <w:tc>
          <w:tcPr>
            <w:tcW w:w="709" w:type="dxa"/>
            <w:tcBorders>
              <w:left w:val="nil"/>
              <w:right w:val="nil"/>
            </w:tcBorders>
            <w:shd w:val="clear" w:color="auto" w:fill="auto"/>
            <w:vAlign w:val="center"/>
          </w:tcPr>
          <w:p w:rsidR="003A3354" w:rsidRPr="007043E4" w:rsidRDefault="003A3354" w:rsidP="003A3354">
            <w:pPr>
              <w:pStyle w:val="Financials"/>
              <w:jc w:val="right"/>
              <w:rPr>
                <w:lang w:eastAsia="en-AU"/>
              </w:rPr>
            </w:pPr>
          </w:p>
        </w:tc>
        <w:tc>
          <w:tcPr>
            <w:tcW w:w="1559" w:type="dxa"/>
            <w:tcBorders>
              <w:left w:val="nil"/>
              <w:right w:val="nil"/>
            </w:tcBorders>
            <w:shd w:val="clear" w:color="auto" w:fill="E0DCCB" w:themeFill="accent4" w:themeFillTint="66"/>
            <w:vAlign w:val="center"/>
          </w:tcPr>
          <w:p w:rsidR="003A3354" w:rsidRPr="006B33FC" w:rsidRDefault="003A3354" w:rsidP="003A3354">
            <w:pPr>
              <w:pStyle w:val="Financials"/>
              <w:jc w:val="right"/>
              <w:rPr>
                <w:bCs/>
                <w:highlight w:val="yellow"/>
                <w:lang w:eastAsia="en-AU"/>
              </w:rPr>
            </w:pPr>
            <w:r w:rsidRPr="006B33FC">
              <w:rPr>
                <w:lang w:eastAsia="en-AU"/>
              </w:rPr>
              <w:t>19,536</w:t>
            </w:r>
          </w:p>
        </w:tc>
        <w:tc>
          <w:tcPr>
            <w:tcW w:w="1559" w:type="dxa"/>
            <w:tcBorders>
              <w:left w:val="nil"/>
              <w:right w:val="nil"/>
            </w:tcBorders>
            <w:shd w:val="clear" w:color="auto" w:fill="auto"/>
            <w:vAlign w:val="center"/>
          </w:tcPr>
          <w:p w:rsidR="003A3354" w:rsidRPr="006B33FC" w:rsidRDefault="003A3354" w:rsidP="003A3354">
            <w:pPr>
              <w:pStyle w:val="Financials"/>
              <w:jc w:val="right"/>
              <w:rPr>
                <w:bCs/>
                <w:highlight w:val="yellow"/>
                <w:lang w:eastAsia="en-AU"/>
              </w:rPr>
            </w:pPr>
            <w:r w:rsidRPr="006B33FC">
              <w:rPr>
                <w:lang w:eastAsia="en-AU"/>
              </w:rPr>
              <w:t>1,916</w:t>
            </w:r>
          </w:p>
        </w:tc>
      </w:tr>
      <w:tr w:rsidR="003A3354" w:rsidRPr="00D578E2" w:rsidTr="003A3354">
        <w:trPr>
          <w:trHeight w:val="165"/>
        </w:trPr>
        <w:tc>
          <w:tcPr>
            <w:tcW w:w="5954" w:type="dxa"/>
            <w:tcBorders>
              <w:left w:val="nil"/>
              <w:right w:val="nil"/>
            </w:tcBorders>
            <w:shd w:val="clear" w:color="auto" w:fill="auto"/>
            <w:vAlign w:val="center"/>
          </w:tcPr>
          <w:p w:rsidR="003A3354" w:rsidRPr="00D578E2" w:rsidRDefault="003A3354" w:rsidP="003A3354">
            <w:pPr>
              <w:pStyle w:val="Financials"/>
              <w:rPr>
                <w:sz w:val="8"/>
                <w:szCs w:val="8"/>
              </w:rPr>
            </w:pPr>
            <w:r w:rsidRPr="005D6BC7">
              <w:rPr>
                <w:lang w:eastAsia="en-AU"/>
              </w:rPr>
              <w:t>GST receipts from taxation authority</w:t>
            </w:r>
          </w:p>
        </w:tc>
        <w:tc>
          <w:tcPr>
            <w:tcW w:w="709" w:type="dxa"/>
            <w:tcBorders>
              <w:left w:val="nil"/>
              <w:right w:val="nil"/>
            </w:tcBorders>
            <w:shd w:val="clear" w:color="auto" w:fill="auto"/>
            <w:vAlign w:val="center"/>
          </w:tcPr>
          <w:p w:rsidR="003A3354" w:rsidRPr="00D578E2" w:rsidRDefault="003A3354" w:rsidP="003A3354">
            <w:pPr>
              <w:pStyle w:val="Financials"/>
              <w:jc w:val="right"/>
              <w:rPr>
                <w:sz w:val="8"/>
                <w:szCs w:val="8"/>
              </w:rPr>
            </w:pPr>
          </w:p>
        </w:tc>
        <w:tc>
          <w:tcPr>
            <w:tcW w:w="1559" w:type="dxa"/>
            <w:tcBorders>
              <w:left w:val="nil"/>
              <w:right w:val="nil"/>
            </w:tcBorders>
            <w:shd w:val="clear" w:color="auto" w:fill="E0DCCB" w:themeFill="accent4" w:themeFillTint="66"/>
            <w:vAlign w:val="center"/>
          </w:tcPr>
          <w:p w:rsidR="003A3354" w:rsidRPr="00D578E2" w:rsidRDefault="003A3354" w:rsidP="003A3354">
            <w:pPr>
              <w:pStyle w:val="Financials"/>
              <w:jc w:val="right"/>
              <w:rPr>
                <w:sz w:val="8"/>
                <w:szCs w:val="8"/>
              </w:rPr>
            </w:pPr>
            <w:r>
              <w:rPr>
                <w:lang w:eastAsia="en-AU"/>
              </w:rPr>
              <w:t>265,142</w:t>
            </w:r>
          </w:p>
        </w:tc>
        <w:tc>
          <w:tcPr>
            <w:tcW w:w="1559" w:type="dxa"/>
            <w:tcBorders>
              <w:left w:val="nil"/>
              <w:right w:val="nil"/>
            </w:tcBorders>
            <w:shd w:val="clear" w:color="auto" w:fill="auto"/>
            <w:vAlign w:val="center"/>
          </w:tcPr>
          <w:p w:rsidR="003A3354" w:rsidRPr="00D578E2" w:rsidRDefault="003A3354" w:rsidP="003A3354">
            <w:pPr>
              <w:pStyle w:val="Financials"/>
              <w:jc w:val="right"/>
              <w:rPr>
                <w:sz w:val="8"/>
                <w:szCs w:val="8"/>
              </w:rPr>
            </w:pPr>
            <w:r>
              <w:rPr>
                <w:lang w:eastAsia="en-AU"/>
              </w:rPr>
              <w:t>276,569</w:t>
            </w:r>
          </w:p>
        </w:tc>
      </w:tr>
      <w:tr w:rsidR="003A3354" w:rsidRPr="007043E4" w:rsidTr="003A3354">
        <w:trPr>
          <w:trHeight w:val="270"/>
        </w:trPr>
        <w:tc>
          <w:tcPr>
            <w:tcW w:w="5954" w:type="dxa"/>
            <w:tcBorders>
              <w:left w:val="nil"/>
              <w:bottom w:val="single" w:sz="4" w:space="0" w:color="E0DCCB" w:themeColor="accent4" w:themeTint="66"/>
              <w:right w:val="nil"/>
            </w:tcBorders>
            <w:shd w:val="clear" w:color="auto" w:fill="auto"/>
            <w:vAlign w:val="center"/>
            <w:hideMark/>
          </w:tcPr>
          <w:p w:rsidR="003A3354" w:rsidRPr="007043E4" w:rsidRDefault="003A3354" w:rsidP="003A3354">
            <w:pPr>
              <w:pStyle w:val="Financials"/>
              <w:rPr>
                <w:lang w:eastAsia="en-AU"/>
              </w:rPr>
            </w:pPr>
            <w:r w:rsidRPr="005D6BC7">
              <w:rPr>
                <w:lang w:eastAsia="en-AU"/>
              </w:rPr>
              <w:t>Other receipts</w:t>
            </w:r>
          </w:p>
        </w:tc>
        <w:tc>
          <w:tcPr>
            <w:tcW w:w="709" w:type="dxa"/>
            <w:tcBorders>
              <w:left w:val="nil"/>
              <w:bottom w:val="single" w:sz="4" w:space="0" w:color="E0DCCB" w:themeColor="accent4" w:themeTint="66"/>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left w:val="nil"/>
              <w:bottom w:val="single" w:sz="4" w:space="0" w:color="FFFFFF" w:themeColor="background1"/>
              <w:right w:val="nil"/>
            </w:tcBorders>
            <w:shd w:val="clear" w:color="auto" w:fill="E0DCCB" w:themeFill="accent4" w:themeFillTint="66"/>
            <w:vAlign w:val="center"/>
          </w:tcPr>
          <w:p w:rsidR="003A3354" w:rsidRPr="007043E4" w:rsidRDefault="003A3354" w:rsidP="003A3354">
            <w:pPr>
              <w:pStyle w:val="Financials"/>
              <w:jc w:val="right"/>
              <w:rPr>
                <w:lang w:eastAsia="en-AU"/>
              </w:rPr>
            </w:pPr>
            <w:r>
              <w:rPr>
                <w:lang w:eastAsia="en-AU"/>
              </w:rPr>
              <w:t>86,783</w:t>
            </w:r>
          </w:p>
        </w:tc>
        <w:tc>
          <w:tcPr>
            <w:tcW w:w="1559" w:type="dxa"/>
            <w:tcBorders>
              <w:left w:val="nil"/>
              <w:bottom w:val="single" w:sz="4" w:space="0" w:color="E0DCCB" w:themeColor="accent4" w:themeTint="66"/>
              <w:right w:val="nil"/>
            </w:tcBorders>
            <w:shd w:val="clear" w:color="auto" w:fill="auto"/>
            <w:vAlign w:val="center"/>
            <w:hideMark/>
          </w:tcPr>
          <w:p w:rsidR="003A3354" w:rsidRPr="007043E4" w:rsidRDefault="003A3354" w:rsidP="003A3354">
            <w:pPr>
              <w:pStyle w:val="Financials"/>
              <w:jc w:val="right"/>
              <w:rPr>
                <w:lang w:eastAsia="en-AU"/>
              </w:rPr>
            </w:pPr>
            <w:r>
              <w:rPr>
                <w:lang w:eastAsia="en-AU"/>
              </w:rPr>
              <w:t>84,382</w:t>
            </w:r>
          </w:p>
        </w:tc>
      </w:tr>
      <w:tr w:rsidR="003A3354" w:rsidRPr="007043E4" w:rsidTr="003A3354">
        <w:trPr>
          <w:trHeight w:val="255"/>
        </w:trPr>
        <w:tc>
          <w:tcPr>
            <w:tcW w:w="5954"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3A3354" w:rsidRPr="007043E4" w:rsidRDefault="003A3354" w:rsidP="003A3354">
            <w:pPr>
              <w:pStyle w:val="Financials"/>
              <w:rPr>
                <w:b/>
                <w:bCs/>
                <w:lang w:eastAsia="en-AU"/>
              </w:rPr>
            </w:pPr>
            <w:r w:rsidRPr="005D6BC7">
              <w:rPr>
                <w:b/>
                <w:bCs/>
                <w:lang w:eastAsia="en-AU"/>
              </w:rPr>
              <w:t>Net cash provided by/(used in) operating activities</w:t>
            </w:r>
          </w:p>
        </w:tc>
        <w:tc>
          <w:tcPr>
            <w:tcW w:w="709"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3A3354" w:rsidRPr="007043E4" w:rsidRDefault="003A3354" w:rsidP="003A3354">
            <w:pPr>
              <w:pStyle w:val="Financials"/>
              <w:jc w:val="right"/>
              <w:rPr>
                <w:lang w:eastAsia="en-AU"/>
              </w:rPr>
            </w:pPr>
            <w:r>
              <w:rPr>
                <w:lang w:eastAsia="en-AU"/>
              </w:rPr>
              <w:t>24</w:t>
            </w:r>
          </w:p>
        </w:tc>
        <w:tc>
          <w:tcPr>
            <w:tcW w:w="1559"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3A3354" w:rsidRPr="007043E4" w:rsidRDefault="003A3354" w:rsidP="003A3354">
            <w:pPr>
              <w:pStyle w:val="Financials"/>
              <w:jc w:val="right"/>
              <w:rPr>
                <w:lang w:eastAsia="en-AU"/>
              </w:rPr>
            </w:pPr>
            <w:r>
              <w:rPr>
                <w:b/>
                <w:bCs/>
                <w:lang w:eastAsia="en-AU"/>
              </w:rPr>
              <w:t>(15,133,625)</w:t>
            </w:r>
          </w:p>
        </w:tc>
        <w:tc>
          <w:tcPr>
            <w:tcW w:w="1559"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3A3354" w:rsidRPr="007043E4" w:rsidRDefault="003A3354" w:rsidP="003A3354">
            <w:pPr>
              <w:pStyle w:val="Financials"/>
              <w:jc w:val="right"/>
              <w:rPr>
                <w:lang w:eastAsia="en-AU"/>
              </w:rPr>
            </w:pPr>
            <w:r>
              <w:rPr>
                <w:b/>
                <w:bCs/>
                <w:lang w:eastAsia="en-AU"/>
              </w:rPr>
              <w:t>(15,411,010)</w:t>
            </w:r>
          </w:p>
        </w:tc>
      </w:tr>
      <w:tr w:rsidR="003A3354" w:rsidRPr="007043E4" w:rsidTr="003A3354">
        <w:trPr>
          <w:trHeight w:val="255"/>
        </w:trPr>
        <w:tc>
          <w:tcPr>
            <w:tcW w:w="5954" w:type="dxa"/>
            <w:tcBorders>
              <w:top w:val="single" w:sz="4" w:space="0" w:color="E0DCCB" w:themeColor="accent4" w:themeTint="66"/>
              <w:left w:val="nil"/>
              <w:bottom w:val="nil"/>
              <w:right w:val="nil"/>
            </w:tcBorders>
            <w:shd w:val="clear" w:color="auto" w:fill="auto"/>
            <w:vAlign w:val="center"/>
            <w:hideMark/>
          </w:tcPr>
          <w:p w:rsidR="003A3354" w:rsidRPr="009952CE" w:rsidRDefault="003A3354" w:rsidP="003A3354">
            <w:pPr>
              <w:pStyle w:val="Financials"/>
            </w:pPr>
          </w:p>
        </w:tc>
        <w:tc>
          <w:tcPr>
            <w:tcW w:w="709" w:type="dxa"/>
            <w:tcBorders>
              <w:top w:val="single" w:sz="4" w:space="0" w:color="E0DCCB" w:themeColor="accent4" w:themeTint="66"/>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single" w:sz="4" w:space="0" w:color="FFFFFF" w:themeColor="background1"/>
              <w:left w:val="nil"/>
              <w:bottom w:val="nil"/>
              <w:right w:val="nil"/>
            </w:tcBorders>
            <w:shd w:val="clear" w:color="auto" w:fill="E0DCCB" w:themeFill="accent4" w:themeFillTint="66"/>
            <w:vAlign w:val="center"/>
          </w:tcPr>
          <w:p w:rsidR="003A3354" w:rsidRPr="007043E4" w:rsidRDefault="003A3354" w:rsidP="003A3354">
            <w:pPr>
              <w:pStyle w:val="Financials"/>
              <w:jc w:val="right"/>
              <w:rPr>
                <w:lang w:eastAsia="en-AU"/>
              </w:rPr>
            </w:pPr>
          </w:p>
        </w:tc>
        <w:tc>
          <w:tcPr>
            <w:tcW w:w="1559" w:type="dxa"/>
            <w:tcBorders>
              <w:top w:val="single" w:sz="4" w:space="0" w:color="E0DCCB" w:themeColor="accent4" w:themeTint="66"/>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r>
      <w:tr w:rsidR="003A3354" w:rsidRPr="007043E4" w:rsidTr="003A3354">
        <w:trPr>
          <w:trHeight w:val="255"/>
        </w:trPr>
        <w:tc>
          <w:tcPr>
            <w:tcW w:w="5954" w:type="dxa"/>
            <w:tcBorders>
              <w:top w:val="nil"/>
              <w:left w:val="nil"/>
              <w:bottom w:val="nil"/>
              <w:right w:val="nil"/>
            </w:tcBorders>
            <w:shd w:val="clear" w:color="auto" w:fill="auto"/>
            <w:vAlign w:val="center"/>
            <w:hideMark/>
          </w:tcPr>
          <w:p w:rsidR="003A3354" w:rsidRPr="009952CE" w:rsidRDefault="003A3354" w:rsidP="003A3354">
            <w:pPr>
              <w:pStyle w:val="Financials"/>
            </w:pPr>
            <w:r w:rsidRPr="005D6BC7">
              <w:rPr>
                <w:b/>
                <w:bCs/>
              </w:rPr>
              <w:t>CASH FLOWS FROM INVESTING ACTIVITIES</w:t>
            </w:r>
          </w:p>
        </w:tc>
        <w:tc>
          <w:tcPr>
            <w:tcW w:w="70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nil"/>
              <w:left w:val="nil"/>
              <w:bottom w:val="nil"/>
              <w:right w:val="nil"/>
            </w:tcBorders>
            <w:shd w:val="clear" w:color="auto" w:fill="E0DCCB" w:themeFill="accent4" w:themeFillTint="66"/>
            <w:vAlign w:val="center"/>
          </w:tcPr>
          <w:p w:rsidR="003A3354" w:rsidRPr="007043E4" w:rsidRDefault="003A3354" w:rsidP="003A3354">
            <w:pPr>
              <w:pStyle w:val="Financials"/>
              <w:jc w:val="right"/>
              <w:rPr>
                <w:lang w:eastAsia="en-AU"/>
              </w:rPr>
            </w:pPr>
          </w:p>
        </w:tc>
        <w:tc>
          <w:tcPr>
            <w:tcW w:w="1559" w:type="dxa"/>
            <w:tcBorders>
              <w:top w:val="nil"/>
              <w:left w:val="nil"/>
              <w:bottom w:val="nil"/>
              <w:right w:val="nil"/>
            </w:tcBorders>
            <w:shd w:val="clear" w:color="auto" w:fill="auto"/>
            <w:vAlign w:val="center"/>
            <w:hideMark/>
          </w:tcPr>
          <w:p w:rsidR="003A3354" w:rsidRPr="007043E4" w:rsidRDefault="003A3354" w:rsidP="003A3354">
            <w:pPr>
              <w:pStyle w:val="Financials"/>
              <w:jc w:val="right"/>
              <w:rPr>
                <w:lang w:eastAsia="en-AU"/>
              </w:rPr>
            </w:pPr>
          </w:p>
        </w:tc>
      </w:tr>
      <w:tr w:rsidR="003A3354" w:rsidRPr="007043E4" w:rsidTr="003A3354">
        <w:trPr>
          <w:trHeight w:val="270"/>
        </w:trPr>
        <w:tc>
          <w:tcPr>
            <w:tcW w:w="5954" w:type="dxa"/>
            <w:tcBorders>
              <w:top w:val="nil"/>
              <w:left w:val="nil"/>
              <w:right w:val="nil"/>
            </w:tcBorders>
            <w:shd w:val="clear" w:color="auto" w:fill="auto"/>
            <w:vAlign w:val="center"/>
            <w:hideMark/>
          </w:tcPr>
          <w:p w:rsidR="003A3354" w:rsidRPr="009952CE" w:rsidRDefault="003A3354" w:rsidP="003A3354">
            <w:pPr>
              <w:pStyle w:val="Financials"/>
            </w:pPr>
            <w:r w:rsidRPr="005D6BC7">
              <w:rPr>
                <w:b/>
                <w:bCs/>
              </w:rPr>
              <w:t>Payments</w:t>
            </w:r>
          </w:p>
        </w:tc>
        <w:tc>
          <w:tcPr>
            <w:tcW w:w="709" w:type="dxa"/>
            <w:tcBorders>
              <w:top w:val="nil"/>
              <w:left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top w:val="nil"/>
              <w:left w:val="nil"/>
              <w:right w:val="nil"/>
            </w:tcBorders>
            <w:shd w:val="clear" w:color="auto" w:fill="E0DCCB" w:themeFill="accent4" w:themeFillTint="66"/>
            <w:vAlign w:val="center"/>
          </w:tcPr>
          <w:p w:rsidR="003A3354" w:rsidRPr="007043E4" w:rsidRDefault="003A3354" w:rsidP="003A3354">
            <w:pPr>
              <w:pStyle w:val="Financials"/>
              <w:jc w:val="right"/>
              <w:rPr>
                <w:lang w:eastAsia="en-AU"/>
              </w:rPr>
            </w:pPr>
          </w:p>
        </w:tc>
        <w:tc>
          <w:tcPr>
            <w:tcW w:w="1559" w:type="dxa"/>
            <w:tcBorders>
              <w:top w:val="nil"/>
              <w:left w:val="nil"/>
              <w:right w:val="nil"/>
            </w:tcBorders>
            <w:shd w:val="clear" w:color="auto" w:fill="auto"/>
            <w:vAlign w:val="center"/>
            <w:hideMark/>
          </w:tcPr>
          <w:p w:rsidR="003A3354" w:rsidRPr="007043E4" w:rsidRDefault="003A3354" w:rsidP="003A3354">
            <w:pPr>
              <w:pStyle w:val="Financials"/>
              <w:jc w:val="right"/>
              <w:rPr>
                <w:lang w:eastAsia="en-AU"/>
              </w:rPr>
            </w:pPr>
          </w:p>
        </w:tc>
      </w:tr>
      <w:tr w:rsidR="003A3354" w:rsidRPr="00D578E2" w:rsidTr="003A3354">
        <w:trPr>
          <w:trHeight w:val="270"/>
        </w:trPr>
        <w:tc>
          <w:tcPr>
            <w:tcW w:w="5954" w:type="dxa"/>
            <w:tcBorders>
              <w:left w:val="nil"/>
              <w:right w:val="nil"/>
            </w:tcBorders>
            <w:shd w:val="clear" w:color="auto" w:fill="auto"/>
            <w:vAlign w:val="center"/>
            <w:hideMark/>
          </w:tcPr>
          <w:p w:rsidR="003A3354" w:rsidRPr="00D578E2" w:rsidRDefault="003A3354" w:rsidP="003A3354">
            <w:pPr>
              <w:pStyle w:val="Financials"/>
              <w:rPr>
                <w:b/>
                <w:bCs/>
                <w:sz w:val="8"/>
                <w:szCs w:val="8"/>
                <w:lang w:eastAsia="en-AU"/>
              </w:rPr>
            </w:pPr>
            <w:r w:rsidRPr="005D6BC7">
              <w:rPr>
                <w:lang w:eastAsia="en-AU"/>
              </w:rPr>
              <w:t>Purchase of non-current physical assets</w:t>
            </w:r>
          </w:p>
        </w:tc>
        <w:tc>
          <w:tcPr>
            <w:tcW w:w="709" w:type="dxa"/>
            <w:tcBorders>
              <w:left w:val="nil"/>
              <w:right w:val="nil"/>
            </w:tcBorders>
            <w:shd w:val="clear" w:color="auto" w:fill="auto"/>
            <w:vAlign w:val="center"/>
            <w:hideMark/>
          </w:tcPr>
          <w:p w:rsidR="003A3354" w:rsidRPr="00D578E2" w:rsidRDefault="003A3354" w:rsidP="003A3354">
            <w:pPr>
              <w:pStyle w:val="Financials"/>
              <w:jc w:val="right"/>
              <w:rPr>
                <w:sz w:val="8"/>
                <w:szCs w:val="8"/>
                <w:lang w:eastAsia="en-AU"/>
              </w:rPr>
            </w:pPr>
          </w:p>
        </w:tc>
        <w:tc>
          <w:tcPr>
            <w:tcW w:w="1559" w:type="dxa"/>
            <w:tcBorders>
              <w:left w:val="nil"/>
              <w:right w:val="nil"/>
            </w:tcBorders>
            <w:shd w:val="clear" w:color="auto" w:fill="E0DCCB" w:themeFill="accent4" w:themeFillTint="66"/>
            <w:vAlign w:val="center"/>
          </w:tcPr>
          <w:p w:rsidR="003A3354" w:rsidRPr="00D578E2" w:rsidRDefault="003A3354" w:rsidP="003A3354">
            <w:pPr>
              <w:pStyle w:val="Financials"/>
              <w:jc w:val="right"/>
              <w:rPr>
                <w:b/>
                <w:bCs/>
                <w:sz w:val="8"/>
                <w:szCs w:val="8"/>
                <w:lang w:eastAsia="en-AU"/>
              </w:rPr>
            </w:pPr>
            <w:r>
              <w:rPr>
                <w:lang w:eastAsia="en-AU"/>
              </w:rPr>
              <w:t>(130,006)</w:t>
            </w:r>
          </w:p>
        </w:tc>
        <w:tc>
          <w:tcPr>
            <w:tcW w:w="1559" w:type="dxa"/>
            <w:tcBorders>
              <w:left w:val="nil"/>
              <w:right w:val="nil"/>
            </w:tcBorders>
            <w:shd w:val="clear" w:color="auto" w:fill="auto"/>
            <w:vAlign w:val="center"/>
            <w:hideMark/>
          </w:tcPr>
          <w:p w:rsidR="003A3354" w:rsidRPr="00D578E2" w:rsidRDefault="003A3354" w:rsidP="003A3354">
            <w:pPr>
              <w:pStyle w:val="Financials"/>
              <w:jc w:val="right"/>
              <w:rPr>
                <w:b/>
                <w:bCs/>
                <w:sz w:val="8"/>
                <w:szCs w:val="8"/>
                <w:lang w:eastAsia="en-AU"/>
              </w:rPr>
            </w:pPr>
            <w:r w:rsidRPr="005D6BC7">
              <w:rPr>
                <w:lang w:eastAsia="en-AU"/>
              </w:rPr>
              <w:t>(</w:t>
            </w:r>
            <w:r>
              <w:rPr>
                <w:lang w:eastAsia="en-AU"/>
              </w:rPr>
              <w:t>152,134</w:t>
            </w:r>
            <w:r w:rsidRPr="005D6BC7">
              <w:rPr>
                <w:lang w:eastAsia="en-AU"/>
              </w:rPr>
              <w:t>)</w:t>
            </w:r>
          </w:p>
        </w:tc>
      </w:tr>
      <w:tr w:rsidR="003A3354" w:rsidRPr="007043E4" w:rsidTr="003A3354">
        <w:trPr>
          <w:trHeight w:val="270"/>
        </w:trPr>
        <w:tc>
          <w:tcPr>
            <w:tcW w:w="5954" w:type="dxa"/>
            <w:tcBorders>
              <w:left w:val="nil"/>
              <w:right w:val="nil"/>
            </w:tcBorders>
            <w:shd w:val="clear" w:color="auto" w:fill="auto"/>
            <w:vAlign w:val="center"/>
            <w:hideMark/>
          </w:tcPr>
          <w:p w:rsidR="003A3354" w:rsidRPr="007043E4" w:rsidRDefault="003A3354" w:rsidP="003A3354">
            <w:pPr>
              <w:pStyle w:val="Financials"/>
              <w:rPr>
                <w:b/>
                <w:bCs/>
                <w:lang w:eastAsia="en-AU"/>
              </w:rPr>
            </w:pPr>
            <w:r w:rsidRPr="005D6BC7">
              <w:rPr>
                <w:b/>
                <w:bCs/>
                <w:lang w:eastAsia="en-AU"/>
              </w:rPr>
              <w:t>Receipts</w:t>
            </w:r>
          </w:p>
        </w:tc>
        <w:tc>
          <w:tcPr>
            <w:tcW w:w="709" w:type="dxa"/>
            <w:tcBorders>
              <w:left w:val="nil"/>
              <w:right w:val="nil"/>
            </w:tcBorders>
            <w:shd w:val="clear" w:color="auto" w:fill="auto"/>
            <w:vAlign w:val="center"/>
            <w:hideMark/>
          </w:tcPr>
          <w:p w:rsidR="003A3354" w:rsidRPr="007043E4" w:rsidRDefault="003A3354" w:rsidP="003A3354">
            <w:pPr>
              <w:pStyle w:val="Financials"/>
              <w:jc w:val="right"/>
              <w:rPr>
                <w:lang w:eastAsia="en-AU"/>
              </w:rPr>
            </w:pPr>
          </w:p>
        </w:tc>
        <w:tc>
          <w:tcPr>
            <w:tcW w:w="1559" w:type="dxa"/>
            <w:tcBorders>
              <w:left w:val="nil"/>
              <w:right w:val="nil"/>
            </w:tcBorders>
            <w:shd w:val="clear" w:color="auto" w:fill="E0DCCB" w:themeFill="accent4" w:themeFillTint="66"/>
            <w:vAlign w:val="center"/>
          </w:tcPr>
          <w:p w:rsidR="003A3354" w:rsidRPr="007043E4" w:rsidRDefault="003A3354" w:rsidP="003A3354">
            <w:pPr>
              <w:pStyle w:val="Financials"/>
              <w:jc w:val="right"/>
              <w:rPr>
                <w:b/>
                <w:bCs/>
                <w:highlight w:val="yellow"/>
                <w:lang w:eastAsia="en-AU"/>
              </w:rPr>
            </w:pPr>
          </w:p>
        </w:tc>
        <w:tc>
          <w:tcPr>
            <w:tcW w:w="1559" w:type="dxa"/>
            <w:tcBorders>
              <w:left w:val="nil"/>
              <w:right w:val="nil"/>
            </w:tcBorders>
            <w:shd w:val="clear" w:color="auto" w:fill="auto"/>
            <w:vAlign w:val="center"/>
            <w:hideMark/>
          </w:tcPr>
          <w:p w:rsidR="003A3354" w:rsidRPr="007043E4" w:rsidRDefault="003A3354" w:rsidP="003A3354">
            <w:pPr>
              <w:pStyle w:val="Financials"/>
              <w:jc w:val="right"/>
              <w:rPr>
                <w:b/>
                <w:bCs/>
                <w:lang w:eastAsia="en-AU"/>
              </w:rPr>
            </w:pPr>
          </w:p>
        </w:tc>
      </w:tr>
      <w:tr w:rsidR="003A3354" w:rsidRPr="00B856E3" w:rsidTr="003A3354">
        <w:trPr>
          <w:trHeight w:val="285"/>
        </w:trPr>
        <w:tc>
          <w:tcPr>
            <w:tcW w:w="5954" w:type="dxa"/>
            <w:tcBorders>
              <w:left w:val="nil"/>
              <w:bottom w:val="single" w:sz="4" w:space="0" w:color="E0DCCB" w:themeColor="accent4" w:themeTint="66"/>
              <w:right w:val="nil"/>
            </w:tcBorders>
            <w:shd w:val="clear" w:color="auto" w:fill="auto"/>
            <w:vAlign w:val="center"/>
            <w:hideMark/>
          </w:tcPr>
          <w:p w:rsidR="003A3354" w:rsidRPr="00B856E3" w:rsidRDefault="003A3354" w:rsidP="003A3354">
            <w:pPr>
              <w:pStyle w:val="Financials"/>
              <w:rPr>
                <w:bCs/>
                <w:lang w:eastAsia="en-AU"/>
              </w:rPr>
            </w:pPr>
            <w:r w:rsidRPr="00B856E3">
              <w:rPr>
                <w:lang w:eastAsia="en-AU"/>
              </w:rPr>
              <w:t>Proceeds from sale of non-current physical assets</w:t>
            </w:r>
          </w:p>
        </w:tc>
        <w:tc>
          <w:tcPr>
            <w:tcW w:w="709" w:type="dxa"/>
            <w:tcBorders>
              <w:left w:val="nil"/>
              <w:bottom w:val="single" w:sz="4" w:space="0" w:color="E0DCCB" w:themeColor="accent4" w:themeTint="66"/>
              <w:right w:val="nil"/>
            </w:tcBorders>
            <w:shd w:val="clear" w:color="auto" w:fill="auto"/>
            <w:vAlign w:val="center"/>
            <w:hideMark/>
          </w:tcPr>
          <w:p w:rsidR="003A3354" w:rsidRPr="00B856E3" w:rsidRDefault="003A3354" w:rsidP="003A3354">
            <w:pPr>
              <w:pStyle w:val="Financials"/>
              <w:jc w:val="right"/>
              <w:rPr>
                <w:lang w:eastAsia="en-AU"/>
              </w:rPr>
            </w:pPr>
          </w:p>
        </w:tc>
        <w:tc>
          <w:tcPr>
            <w:tcW w:w="1559" w:type="dxa"/>
            <w:tcBorders>
              <w:left w:val="nil"/>
              <w:bottom w:val="single" w:sz="4" w:space="0" w:color="FFFFFF" w:themeColor="background1"/>
              <w:right w:val="nil"/>
            </w:tcBorders>
            <w:shd w:val="clear" w:color="auto" w:fill="E0DCCB" w:themeFill="accent4" w:themeFillTint="66"/>
            <w:vAlign w:val="center"/>
          </w:tcPr>
          <w:p w:rsidR="003A3354" w:rsidRPr="00B856E3" w:rsidRDefault="003A3354" w:rsidP="003A3354">
            <w:pPr>
              <w:pStyle w:val="Financials"/>
              <w:jc w:val="right"/>
              <w:rPr>
                <w:bCs/>
                <w:highlight w:val="yellow"/>
                <w:lang w:eastAsia="en-AU"/>
              </w:rPr>
            </w:pPr>
            <w:r w:rsidRPr="00B856E3">
              <w:rPr>
                <w:lang w:eastAsia="en-AU"/>
              </w:rPr>
              <w:t>100,000</w:t>
            </w:r>
          </w:p>
        </w:tc>
        <w:tc>
          <w:tcPr>
            <w:tcW w:w="1559" w:type="dxa"/>
            <w:tcBorders>
              <w:left w:val="nil"/>
              <w:bottom w:val="single" w:sz="4" w:space="0" w:color="E0DCCB" w:themeColor="accent4" w:themeTint="66"/>
              <w:right w:val="nil"/>
            </w:tcBorders>
            <w:shd w:val="clear" w:color="auto" w:fill="auto"/>
            <w:vAlign w:val="center"/>
            <w:hideMark/>
          </w:tcPr>
          <w:p w:rsidR="003A3354" w:rsidRPr="00B856E3" w:rsidRDefault="003A3354" w:rsidP="003A3354">
            <w:pPr>
              <w:pStyle w:val="Financials"/>
              <w:jc w:val="right"/>
              <w:rPr>
                <w:bCs/>
                <w:lang w:eastAsia="en-AU"/>
              </w:rPr>
            </w:pPr>
            <w:r w:rsidRPr="00B856E3">
              <w:rPr>
                <w:lang w:eastAsia="en-AU"/>
              </w:rPr>
              <w:t>-</w:t>
            </w:r>
          </w:p>
        </w:tc>
      </w:tr>
      <w:tr w:rsidR="003A3354" w:rsidRPr="007043E4" w:rsidTr="003A3354">
        <w:trPr>
          <w:trHeight w:val="285"/>
        </w:trPr>
        <w:tc>
          <w:tcPr>
            <w:tcW w:w="5954"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3A3354" w:rsidRPr="005D6BC7" w:rsidRDefault="003A3354" w:rsidP="003A3354">
            <w:pPr>
              <w:pStyle w:val="Financials"/>
              <w:rPr>
                <w:lang w:eastAsia="en-AU"/>
              </w:rPr>
            </w:pPr>
            <w:r w:rsidRPr="005D6BC7">
              <w:rPr>
                <w:b/>
                <w:bCs/>
                <w:lang w:eastAsia="en-AU"/>
              </w:rPr>
              <w:t>Net cash provided by/(used in) investing activities</w:t>
            </w:r>
          </w:p>
        </w:tc>
        <w:tc>
          <w:tcPr>
            <w:tcW w:w="709"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3A3354" w:rsidRPr="005D6BC7" w:rsidRDefault="003A3354" w:rsidP="003A3354">
            <w:pPr>
              <w:pStyle w:val="Financials"/>
              <w:jc w:val="right"/>
              <w:rPr>
                <w:lang w:eastAsia="en-AU"/>
              </w:rPr>
            </w:pPr>
          </w:p>
        </w:tc>
        <w:tc>
          <w:tcPr>
            <w:tcW w:w="1559"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3A3354" w:rsidRDefault="003A3354" w:rsidP="003A3354">
            <w:pPr>
              <w:pStyle w:val="Financials"/>
              <w:jc w:val="right"/>
              <w:rPr>
                <w:lang w:eastAsia="en-AU"/>
              </w:rPr>
            </w:pPr>
            <w:r>
              <w:rPr>
                <w:b/>
                <w:bCs/>
                <w:lang w:eastAsia="en-AU"/>
              </w:rPr>
              <w:t>(30,006)</w:t>
            </w:r>
          </w:p>
        </w:tc>
        <w:tc>
          <w:tcPr>
            <w:tcW w:w="1559"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3A3354" w:rsidRPr="005D6BC7" w:rsidRDefault="003A3354" w:rsidP="003A3354">
            <w:pPr>
              <w:pStyle w:val="Financials"/>
              <w:jc w:val="right"/>
              <w:rPr>
                <w:lang w:eastAsia="en-AU"/>
              </w:rPr>
            </w:pPr>
            <w:r w:rsidRPr="005D6BC7">
              <w:rPr>
                <w:b/>
                <w:bCs/>
                <w:lang w:eastAsia="en-AU"/>
              </w:rPr>
              <w:t>(</w:t>
            </w:r>
            <w:r>
              <w:rPr>
                <w:b/>
                <w:bCs/>
                <w:lang w:eastAsia="en-AU"/>
              </w:rPr>
              <w:t>152,134</w:t>
            </w:r>
            <w:r w:rsidRPr="005D6BC7">
              <w:rPr>
                <w:b/>
                <w:bCs/>
                <w:lang w:eastAsia="en-AU"/>
              </w:rPr>
              <w:t>)</w:t>
            </w:r>
          </w:p>
        </w:tc>
      </w:tr>
      <w:tr w:rsidR="003A3354" w:rsidRPr="007043E4" w:rsidTr="003A3354">
        <w:trPr>
          <w:trHeight w:val="285"/>
        </w:trPr>
        <w:tc>
          <w:tcPr>
            <w:tcW w:w="5954" w:type="dxa"/>
            <w:tcBorders>
              <w:top w:val="single" w:sz="4" w:space="0" w:color="E0DCCB" w:themeColor="accent4" w:themeTint="66"/>
              <w:left w:val="nil"/>
              <w:right w:val="nil"/>
            </w:tcBorders>
            <w:shd w:val="clear" w:color="auto" w:fill="auto"/>
            <w:vAlign w:val="center"/>
          </w:tcPr>
          <w:p w:rsidR="003A3354" w:rsidRPr="005D6BC7" w:rsidRDefault="003A3354" w:rsidP="003A3354">
            <w:pPr>
              <w:pStyle w:val="Financials"/>
              <w:rPr>
                <w:lang w:eastAsia="en-AU"/>
              </w:rPr>
            </w:pPr>
          </w:p>
        </w:tc>
        <w:tc>
          <w:tcPr>
            <w:tcW w:w="709" w:type="dxa"/>
            <w:tcBorders>
              <w:top w:val="single" w:sz="4" w:space="0" w:color="E0DCCB" w:themeColor="accent4" w:themeTint="66"/>
              <w:left w:val="nil"/>
              <w:right w:val="nil"/>
            </w:tcBorders>
            <w:shd w:val="clear" w:color="auto" w:fill="auto"/>
            <w:vAlign w:val="center"/>
          </w:tcPr>
          <w:p w:rsidR="003A3354" w:rsidRPr="005D6BC7" w:rsidRDefault="003A3354" w:rsidP="003A3354">
            <w:pPr>
              <w:pStyle w:val="Financials"/>
              <w:jc w:val="right"/>
              <w:rPr>
                <w:lang w:eastAsia="en-AU"/>
              </w:rPr>
            </w:pPr>
          </w:p>
        </w:tc>
        <w:tc>
          <w:tcPr>
            <w:tcW w:w="1559" w:type="dxa"/>
            <w:tcBorders>
              <w:top w:val="single" w:sz="4" w:space="0" w:color="FFFFFF" w:themeColor="background1"/>
              <w:left w:val="nil"/>
              <w:right w:val="nil"/>
            </w:tcBorders>
            <w:shd w:val="clear" w:color="auto" w:fill="E0DCCB" w:themeFill="accent4" w:themeFillTint="66"/>
            <w:vAlign w:val="center"/>
          </w:tcPr>
          <w:p w:rsidR="003A3354" w:rsidRDefault="003A3354" w:rsidP="003A3354">
            <w:pPr>
              <w:pStyle w:val="Financials"/>
              <w:jc w:val="right"/>
              <w:rPr>
                <w:lang w:eastAsia="en-AU"/>
              </w:rPr>
            </w:pPr>
          </w:p>
        </w:tc>
        <w:tc>
          <w:tcPr>
            <w:tcW w:w="1559" w:type="dxa"/>
            <w:tcBorders>
              <w:top w:val="single" w:sz="4" w:space="0" w:color="E0DCCB" w:themeColor="accent4" w:themeTint="66"/>
              <w:left w:val="nil"/>
              <w:right w:val="nil"/>
            </w:tcBorders>
            <w:shd w:val="clear" w:color="auto" w:fill="auto"/>
            <w:vAlign w:val="center"/>
          </w:tcPr>
          <w:p w:rsidR="003A3354" w:rsidRPr="005D6BC7" w:rsidRDefault="003A3354" w:rsidP="003A3354">
            <w:pPr>
              <w:pStyle w:val="Financials"/>
              <w:jc w:val="right"/>
              <w:rPr>
                <w:lang w:eastAsia="en-AU"/>
              </w:rPr>
            </w:pPr>
          </w:p>
        </w:tc>
      </w:tr>
      <w:tr w:rsidR="003A3354" w:rsidRPr="007043E4" w:rsidTr="003A3354">
        <w:trPr>
          <w:trHeight w:val="285"/>
        </w:trPr>
        <w:tc>
          <w:tcPr>
            <w:tcW w:w="5954" w:type="dxa"/>
            <w:tcBorders>
              <w:left w:val="nil"/>
              <w:right w:val="nil"/>
            </w:tcBorders>
            <w:shd w:val="clear" w:color="auto" w:fill="auto"/>
            <w:vAlign w:val="center"/>
          </w:tcPr>
          <w:p w:rsidR="003A3354" w:rsidRPr="005D6BC7" w:rsidRDefault="003A3354" w:rsidP="003A3354">
            <w:pPr>
              <w:pStyle w:val="Financials"/>
              <w:rPr>
                <w:lang w:eastAsia="en-AU"/>
              </w:rPr>
            </w:pPr>
          </w:p>
        </w:tc>
        <w:tc>
          <w:tcPr>
            <w:tcW w:w="709" w:type="dxa"/>
            <w:tcBorders>
              <w:left w:val="nil"/>
              <w:right w:val="nil"/>
            </w:tcBorders>
            <w:shd w:val="clear" w:color="auto" w:fill="auto"/>
            <w:vAlign w:val="center"/>
          </w:tcPr>
          <w:p w:rsidR="003A3354" w:rsidRPr="005D6BC7" w:rsidRDefault="003A3354" w:rsidP="003A3354">
            <w:pPr>
              <w:pStyle w:val="Financials"/>
              <w:jc w:val="right"/>
              <w:rPr>
                <w:lang w:eastAsia="en-AU"/>
              </w:rPr>
            </w:pPr>
          </w:p>
        </w:tc>
        <w:tc>
          <w:tcPr>
            <w:tcW w:w="1559" w:type="dxa"/>
            <w:tcBorders>
              <w:left w:val="nil"/>
              <w:right w:val="nil"/>
            </w:tcBorders>
            <w:shd w:val="clear" w:color="auto" w:fill="E0DCCB" w:themeFill="accent4" w:themeFillTint="66"/>
            <w:vAlign w:val="center"/>
          </w:tcPr>
          <w:p w:rsidR="003A3354" w:rsidRDefault="003A3354" w:rsidP="003A3354">
            <w:pPr>
              <w:pStyle w:val="Financials"/>
              <w:jc w:val="right"/>
              <w:rPr>
                <w:lang w:eastAsia="en-AU"/>
              </w:rPr>
            </w:pPr>
          </w:p>
        </w:tc>
        <w:tc>
          <w:tcPr>
            <w:tcW w:w="1559" w:type="dxa"/>
            <w:tcBorders>
              <w:left w:val="nil"/>
              <w:right w:val="nil"/>
            </w:tcBorders>
            <w:shd w:val="clear" w:color="auto" w:fill="auto"/>
            <w:vAlign w:val="center"/>
          </w:tcPr>
          <w:p w:rsidR="003A3354" w:rsidRPr="005D6BC7" w:rsidRDefault="003A3354" w:rsidP="003A3354">
            <w:pPr>
              <w:pStyle w:val="Financials"/>
              <w:jc w:val="right"/>
              <w:rPr>
                <w:lang w:eastAsia="en-AU"/>
              </w:rPr>
            </w:pPr>
          </w:p>
        </w:tc>
      </w:tr>
      <w:tr w:rsidR="003A3354" w:rsidRPr="007043E4" w:rsidTr="003A3354">
        <w:trPr>
          <w:trHeight w:val="285"/>
        </w:trPr>
        <w:tc>
          <w:tcPr>
            <w:tcW w:w="5954" w:type="dxa"/>
            <w:tcBorders>
              <w:left w:val="nil"/>
              <w:right w:val="nil"/>
            </w:tcBorders>
            <w:shd w:val="clear" w:color="auto" w:fill="auto"/>
            <w:vAlign w:val="center"/>
          </w:tcPr>
          <w:p w:rsidR="003A3354" w:rsidRPr="005D6BC7" w:rsidRDefault="003A3354" w:rsidP="003A3354">
            <w:pPr>
              <w:pStyle w:val="Financials"/>
              <w:rPr>
                <w:lang w:eastAsia="en-AU"/>
              </w:rPr>
            </w:pPr>
            <w:r w:rsidRPr="005D6BC7">
              <w:rPr>
                <w:lang w:eastAsia="en-AU"/>
              </w:rPr>
              <w:t>Net increase/(decrease) in cash and cash equivalents</w:t>
            </w:r>
          </w:p>
        </w:tc>
        <w:tc>
          <w:tcPr>
            <w:tcW w:w="709" w:type="dxa"/>
            <w:tcBorders>
              <w:left w:val="nil"/>
              <w:right w:val="nil"/>
            </w:tcBorders>
            <w:shd w:val="clear" w:color="auto" w:fill="auto"/>
            <w:vAlign w:val="center"/>
          </w:tcPr>
          <w:p w:rsidR="003A3354" w:rsidRPr="005D6BC7" w:rsidRDefault="003A3354" w:rsidP="003A3354">
            <w:pPr>
              <w:pStyle w:val="Financials"/>
              <w:jc w:val="right"/>
              <w:rPr>
                <w:lang w:eastAsia="en-AU"/>
              </w:rPr>
            </w:pPr>
          </w:p>
        </w:tc>
        <w:tc>
          <w:tcPr>
            <w:tcW w:w="1559" w:type="dxa"/>
            <w:tcBorders>
              <w:left w:val="nil"/>
              <w:right w:val="nil"/>
            </w:tcBorders>
            <w:shd w:val="clear" w:color="auto" w:fill="E0DCCB" w:themeFill="accent4" w:themeFillTint="66"/>
            <w:vAlign w:val="center"/>
          </w:tcPr>
          <w:p w:rsidR="003A3354" w:rsidRDefault="003A3354" w:rsidP="003A3354">
            <w:pPr>
              <w:pStyle w:val="Financials"/>
              <w:jc w:val="right"/>
              <w:rPr>
                <w:lang w:eastAsia="en-AU"/>
              </w:rPr>
            </w:pPr>
            <w:r>
              <w:rPr>
                <w:lang w:eastAsia="en-AU"/>
              </w:rPr>
              <w:t>(171,632)</w:t>
            </w:r>
          </w:p>
        </w:tc>
        <w:tc>
          <w:tcPr>
            <w:tcW w:w="1559" w:type="dxa"/>
            <w:tcBorders>
              <w:left w:val="nil"/>
              <w:right w:val="nil"/>
            </w:tcBorders>
            <w:shd w:val="clear" w:color="auto" w:fill="auto"/>
            <w:vAlign w:val="center"/>
          </w:tcPr>
          <w:p w:rsidR="003A3354" w:rsidRPr="005D6BC7" w:rsidRDefault="003A3354" w:rsidP="003A3354">
            <w:pPr>
              <w:pStyle w:val="Financials"/>
              <w:jc w:val="right"/>
              <w:rPr>
                <w:lang w:eastAsia="en-AU"/>
              </w:rPr>
            </w:pPr>
            <w:r w:rsidRPr="005D6BC7">
              <w:rPr>
                <w:lang w:eastAsia="en-AU"/>
              </w:rPr>
              <w:t>(</w:t>
            </w:r>
            <w:r>
              <w:rPr>
                <w:lang w:eastAsia="en-AU"/>
              </w:rPr>
              <w:t>544,145</w:t>
            </w:r>
            <w:r w:rsidRPr="005D6BC7">
              <w:rPr>
                <w:lang w:eastAsia="en-AU"/>
              </w:rPr>
              <w:t>)</w:t>
            </w:r>
          </w:p>
        </w:tc>
      </w:tr>
      <w:tr w:rsidR="003A3354" w:rsidRPr="00CE4DA4" w:rsidTr="003A3354">
        <w:trPr>
          <w:trHeight w:val="285"/>
        </w:trPr>
        <w:tc>
          <w:tcPr>
            <w:tcW w:w="5954" w:type="dxa"/>
            <w:tcBorders>
              <w:left w:val="nil"/>
              <w:bottom w:val="single" w:sz="4" w:space="0" w:color="E0DCCB" w:themeColor="accent4" w:themeTint="66"/>
              <w:right w:val="nil"/>
            </w:tcBorders>
            <w:shd w:val="clear" w:color="auto" w:fill="auto"/>
            <w:vAlign w:val="center"/>
          </w:tcPr>
          <w:p w:rsidR="003A3354" w:rsidRPr="00CE4DA4" w:rsidRDefault="003A3354" w:rsidP="003A3354">
            <w:pPr>
              <w:pStyle w:val="Financials"/>
              <w:rPr>
                <w:sz w:val="8"/>
                <w:szCs w:val="8"/>
                <w:lang w:eastAsia="en-AU"/>
              </w:rPr>
            </w:pPr>
            <w:r w:rsidRPr="005D6BC7">
              <w:rPr>
                <w:lang w:eastAsia="en-AU"/>
              </w:rPr>
              <w:t>Cash and cash equivalents at the beginning of the period</w:t>
            </w:r>
          </w:p>
        </w:tc>
        <w:tc>
          <w:tcPr>
            <w:tcW w:w="709" w:type="dxa"/>
            <w:tcBorders>
              <w:left w:val="nil"/>
              <w:bottom w:val="single" w:sz="4" w:space="0" w:color="E0DCCB" w:themeColor="accent4" w:themeTint="66"/>
              <w:right w:val="nil"/>
            </w:tcBorders>
            <w:shd w:val="clear" w:color="auto" w:fill="auto"/>
            <w:vAlign w:val="center"/>
          </w:tcPr>
          <w:p w:rsidR="003A3354" w:rsidRPr="00CE4DA4" w:rsidRDefault="003A3354" w:rsidP="003A3354">
            <w:pPr>
              <w:pStyle w:val="Financials"/>
              <w:jc w:val="right"/>
              <w:rPr>
                <w:sz w:val="8"/>
                <w:szCs w:val="8"/>
                <w:lang w:eastAsia="en-AU"/>
              </w:rPr>
            </w:pPr>
          </w:p>
        </w:tc>
        <w:tc>
          <w:tcPr>
            <w:tcW w:w="1559" w:type="dxa"/>
            <w:tcBorders>
              <w:left w:val="nil"/>
              <w:bottom w:val="single" w:sz="4" w:space="0" w:color="FFFFFF" w:themeColor="background1"/>
              <w:right w:val="nil"/>
            </w:tcBorders>
            <w:shd w:val="clear" w:color="auto" w:fill="E0DCCB" w:themeFill="accent4" w:themeFillTint="66"/>
            <w:vAlign w:val="center"/>
          </w:tcPr>
          <w:p w:rsidR="003A3354" w:rsidRPr="00CE4DA4" w:rsidRDefault="003A3354" w:rsidP="003A3354">
            <w:pPr>
              <w:pStyle w:val="Financials"/>
              <w:jc w:val="right"/>
              <w:rPr>
                <w:sz w:val="8"/>
                <w:szCs w:val="8"/>
                <w:lang w:eastAsia="en-AU"/>
              </w:rPr>
            </w:pPr>
            <w:r>
              <w:rPr>
                <w:lang w:eastAsia="en-AU"/>
              </w:rPr>
              <w:t>709,815</w:t>
            </w:r>
          </w:p>
        </w:tc>
        <w:tc>
          <w:tcPr>
            <w:tcW w:w="1559" w:type="dxa"/>
            <w:tcBorders>
              <w:left w:val="nil"/>
              <w:bottom w:val="single" w:sz="4" w:space="0" w:color="E0DCCB" w:themeColor="accent4" w:themeTint="66"/>
              <w:right w:val="nil"/>
            </w:tcBorders>
            <w:shd w:val="clear" w:color="auto" w:fill="auto"/>
            <w:vAlign w:val="center"/>
          </w:tcPr>
          <w:p w:rsidR="003A3354" w:rsidRPr="00CE4DA4" w:rsidRDefault="003A3354" w:rsidP="003A3354">
            <w:pPr>
              <w:pStyle w:val="Financials"/>
              <w:jc w:val="right"/>
              <w:rPr>
                <w:sz w:val="8"/>
                <w:szCs w:val="8"/>
                <w:lang w:eastAsia="en-AU"/>
              </w:rPr>
            </w:pPr>
            <w:r>
              <w:rPr>
                <w:lang w:eastAsia="en-AU"/>
              </w:rPr>
              <w:t>1,253,960</w:t>
            </w:r>
          </w:p>
        </w:tc>
      </w:tr>
      <w:tr w:rsidR="003A3354" w:rsidRPr="007043E4" w:rsidTr="003A3354">
        <w:trPr>
          <w:trHeight w:val="285"/>
        </w:trPr>
        <w:tc>
          <w:tcPr>
            <w:tcW w:w="5954" w:type="dxa"/>
            <w:tcBorders>
              <w:top w:val="single" w:sz="4" w:space="0" w:color="E0DCCB" w:themeColor="accent4" w:themeTint="66"/>
              <w:left w:val="nil"/>
              <w:bottom w:val="single" w:sz="4" w:space="0" w:color="B2A97E" w:themeColor="accent4"/>
              <w:right w:val="nil"/>
            </w:tcBorders>
            <w:shd w:val="clear" w:color="auto" w:fill="auto"/>
            <w:vAlign w:val="center"/>
          </w:tcPr>
          <w:p w:rsidR="003A3354" w:rsidRPr="005D6BC7" w:rsidRDefault="003A3354" w:rsidP="003A3354">
            <w:pPr>
              <w:pStyle w:val="Financials"/>
              <w:rPr>
                <w:lang w:eastAsia="en-AU"/>
              </w:rPr>
            </w:pPr>
            <w:r w:rsidRPr="005D6BC7">
              <w:rPr>
                <w:b/>
                <w:bCs/>
                <w:lang w:eastAsia="en-AU"/>
              </w:rPr>
              <w:t>CASH AND CASH EQUIVALENTS AT THE END OF THE PERIOD</w:t>
            </w:r>
          </w:p>
        </w:tc>
        <w:tc>
          <w:tcPr>
            <w:tcW w:w="709" w:type="dxa"/>
            <w:tcBorders>
              <w:top w:val="single" w:sz="4" w:space="0" w:color="E0DCCB" w:themeColor="accent4" w:themeTint="66"/>
              <w:left w:val="nil"/>
              <w:bottom w:val="single" w:sz="4" w:space="0" w:color="B2A97E" w:themeColor="accent4"/>
              <w:right w:val="nil"/>
            </w:tcBorders>
            <w:shd w:val="clear" w:color="auto" w:fill="auto"/>
            <w:vAlign w:val="center"/>
          </w:tcPr>
          <w:p w:rsidR="003A3354" w:rsidRPr="005D6BC7" w:rsidRDefault="003A3354" w:rsidP="003A3354">
            <w:pPr>
              <w:pStyle w:val="Financials"/>
              <w:jc w:val="right"/>
              <w:rPr>
                <w:lang w:eastAsia="en-AU"/>
              </w:rPr>
            </w:pPr>
            <w:r>
              <w:rPr>
                <w:lang w:eastAsia="en-AU"/>
              </w:rPr>
              <w:t>24</w:t>
            </w:r>
          </w:p>
        </w:tc>
        <w:tc>
          <w:tcPr>
            <w:tcW w:w="1559"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3A3354" w:rsidRDefault="003A3354" w:rsidP="003A3354">
            <w:pPr>
              <w:pStyle w:val="Financials"/>
              <w:jc w:val="right"/>
              <w:rPr>
                <w:lang w:eastAsia="en-AU"/>
              </w:rPr>
            </w:pPr>
            <w:r>
              <w:rPr>
                <w:b/>
                <w:lang w:eastAsia="en-AU"/>
              </w:rPr>
              <w:t>538,183</w:t>
            </w:r>
          </w:p>
        </w:tc>
        <w:tc>
          <w:tcPr>
            <w:tcW w:w="1559" w:type="dxa"/>
            <w:tcBorders>
              <w:top w:val="single" w:sz="4" w:space="0" w:color="E0DCCB" w:themeColor="accent4" w:themeTint="66"/>
              <w:left w:val="nil"/>
              <w:bottom w:val="single" w:sz="4" w:space="0" w:color="B2A97E" w:themeColor="accent4"/>
              <w:right w:val="nil"/>
            </w:tcBorders>
            <w:shd w:val="clear" w:color="auto" w:fill="auto"/>
            <w:vAlign w:val="center"/>
          </w:tcPr>
          <w:p w:rsidR="003A3354" w:rsidRPr="005D6BC7" w:rsidRDefault="003A3354" w:rsidP="003A3354">
            <w:pPr>
              <w:pStyle w:val="Financials"/>
              <w:jc w:val="right"/>
              <w:rPr>
                <w:lang w:eastAsia="en-AU"/>
              </w:rPr>
            </w:pPr>
            <w:r>
              <w:rPr>
                <w:b/>
                <w:lang w:eastAsia="en-AU"/>
              </w:rPr>
              <w:t>709,815</w:t>
            </w:r>
          </w:p>
        </w:tc>
      </w:tr>
    </w:tbl>
    <w:p w:rsidR="009A5B6D" w:rsidRDefault="009A5B6D" w:rsidP="00087037"/>
    <w:p w:rsidR="003A3354" w:rsidRDefault="003A3354" w:rsidP="00087037">
      <w:r w:rsidRPr="005D6BC7">
        <w:rPr>
          <w:rFonts w:ascii="Arial" w:eastAsia="Times New Roman" w:hAnsi="Arial" w:cs="Arial"/>
          <w:sz w:val="20"/>
          <w:szCs w:val="20"/>
          <w:lang w:eastAsia="en-AU"/>
        </w:rPr>
        <w:t>The Statement of Cash Flows should be read in conjunction with the accompanying notes.</w:t>
      </w:r>
    </w:p>
    <w:p w:rsidR="00286F0F" w:rsidRDefault="00286F0F">
      <w:pPr>
        <w:sectPr w:rsidR="00286F0F" w:rsidSect="007A586B">
          <w:headerReference w:type="even" r:id="rId63"/>
          <w:headerReference w:type="default" r:id="rId64"/>
          <w:pgSz w:w="11906" w:h="16838"/>
          <w:pgMar w:top="1245" w:right="993" w:bottom="1440" w:left="1440" w:header="568" w:footer="170" w:gutter="0"/>
          <w:cols w:space="709"/>
          <w:docGrid w:linePitch="360"/>
        </w:sectPr>
      </w:pPr>
    </w:p>
    <w:p w:rsidR="00AE2DE2" w:rsidRDefault="00AE2DE2" w:rsidP="001C2C47">
      <w:pPr>
        <w:pStyle w:val="Financialsheading1"/>
      </w:pPr>
      <w:bookmarkStart w:id="97" w:name="_Toc425254041"/>
      <w:bookmarkStart w:id="98" w:name="_Toc428279207"/>
      <w:r>
        <w:lastRenderedPageBreak/>
        <w:t>Schedule of Income and Expenses by Service</w:t>
      </w:r>
      <w:bookmarkEnd w:id="97"/>
      <w:bookmarkEnd w:id="98"/>
    </w:p>
    <w:p w:rsidR="00286F0F" w:rsidRDefault="00AE2DE2" w:rsidP="00AE2DE2">
      <w:pPr>
        <w:pStyle w:val="Financialsheading2"/>
      </w:pPr>
      <w:bookmarkStart w:id="99" w:name="_Toc425254042"/>
      <w:r>
        <w:t>For the year ended 30 June 2015</w:t>
      </w:r>
      <w:bookmarkEnd w:id="99"/>
    </w:p>
    <w:tbl>
      <w:tblPr>
        <w:tblW w:w="14034" w:type="dxa"/>
        <w:tblInd w:w="108" w:type="dxa"/>
        <w:tblLayout w:type="fixed"/>
        <w:tblLook w:val="04A0" w:firstRow="1" w:lastRow="0" w:firstColumn="1" w:lastColumn="0" w:noHBand="0" w:noVBand="1"/>
      </w:tblPr>
      <w:tblGrid>
        <w:gridCol w:w="3828"/>
        <w:gridCol w:w="1644"/>
        <w:gridCol w:w="1644"/>
        <w:gridCol w:w="1644"/>
        <w:gridCol w:w="1304"/>
        <w:gridCol w:w="1304"/>
        <w:gridCol w:w="1304"/>
        <w:gridCol w:w="1362"/>
      </w:tblGrid>
      <w:tr w:rsidR="001E5AC1" w:rsidRPr="00175535" w:rsidTr="004442D4">
        <w:trPr>
          <w:trHeight w:val="255"/>
        </w:trPr>
        <w:tc>
          <w:tcPr>
            <w:tcW w:w="3828" w:type="dxa"/>
            <w:tcBorders>
              <w:right w:val="single" w:sz="4" w:space="0" w:color="FFFFFF" w:themeColor="background1"/>
            </w:tcBorders>
            <w:shd w:val="clear" w:color="auto" w:fill="E0DCCB" w:themeFill="accent4" w:themeFillTint="66"/>
            <w:vAlign w:val="center"/>
          </w:tcPr>
          <w:p w:rsidR="001D32CC" w:rsidRPr="00175535" w:rsidRDefault="001D32CC" w:rsidP="00175535">
            <w:pPr>
              <w:pStyle w:val="Financials"/>
              <w:ind w:left="-108"/>
              <w:rPr>
                <w:rFonts w:cstheme="minorHAnsi"/>
                <w:sz w:val="20"/>
                <w:szCs w:val="20"/>
                <w:lang w:eastAsia="en-AU"/>
              </w:rPr>
            </w:pPr>
          </w:p>
        </w:tc>
        <w:tc>
          <w:tcPr>
            <w:tcW w:w="1644" w:type="dxa"/>
            <w:tcBorders>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tcPr>
          <w:p w:rsidR="001D32CC" w:rsidRPr="00175535" w:rsidRDefault="001D32CC" w:rsidP="00617077">
            <w:pPr>
              <w:pStyle w:val="Financials"/>
              <w:ind w:left="-108"/>
              <w:jc w:val="center"/>
              <w:rPr>
                <w:rFonts w:cstheme="minorHAnsi"/>
                <w:b/>
                <w:bCs/>
                <w:sz w:val="20"/>
                <w:szCs w:val="20"/>
                <w:lang w:eastAsia="en-AU"/>
              </w:rPr>
            </w:pPr>
            <w:r>
              <w:rPr>
                <w:rFonts w:cstheme="minorHAnsi"/>
                <w:b/>
                <w:bCs/>
                <w:sz w:val="20"/>
                <w:szCs w:val="20"/>
                <w:lang w:eastAsia="en-AU"/>
              </w:rPr>
              <w:t xml:space="preserve">Service 1 - </w:t>
            </w:r>
            <w:r w:rsidRPr="00175535">
              <w:rPr>
                <w:rFonts w:cstheme="minorHAnsi"/>
                <w:b/>
                <w:bCs/>
                <w:sz w:val="20"/>
                <w:szCs w:val="20"/>
                <w:lang w:eastAsia="en-AU"/>
              </w:rPr>
              <w:t xml:space="preserve">Environmental </w:t>
            </w:r>
            <w:r>
              <w:rPr>
                <w:rFonts w:cstheme="minorHAnsi"/>
                <w:b/>
                <w:bCs/>
                <w:sz w:val="20"/>
                <w:szCs w:val="20"/>
                <w:lang w:eastAsia="en-AU"/>
              </w:rPr>
              <w:t xml:space="preserve">Impact Assessment </w:t>
            </w:r>
            <w:r w:rsidRPr="00175535">
              <w:rPr>
                <w:rFonts w:cstheme="minorHAnsi"/>
                <w:b/>
                <w:bCs/>
                <w:sz w:val="20"/>
                <w:szCs w:val="20"/>
                <w:lang w:eastAsia="en-AU"/>
              </w:rPr>
              <w:t>Services to the EPA</w:t>
            </w:r>
            <w:r w:rsidRPr="008C148C">
              <w:rPr>
                <w:rFonts w:cstheme="minorHAnsi"/>
                <w:b/>
                <w:bCs/>
                <w:sz w:val="20"/>
                <w:szCs w:val="20"/>
                <w:vertAlign w:val="superscript"/>
                <w:lang w:eastAsia="en-AU"/>
              </w:rPr>
              <w:t>(a)</w:t>
            </w:r>
          </w:p>
        </w:tc>
        <w:tc>
          <w:tcPr>
            <w:tcW w:w="1644" w:type="dxa"/>
            <w:tcBorders>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tcPr>
          <w:p w:rsidR="001D32CC" w:rsidRPr="00175535" w:rsidRDefault="001D32CC" w:rsidP="00E83A8D">
            <w:pPr>
              <w:pStyle w:val="Financials"/>
              <w:ind w:left="-108"/>
              <w:jc w:val="center"/>
              <w:rPr>
                <w:rFonts w:cstheme="minorHAnsi"/>
                <w:b/>
                <w:bCs/>
                <w:sz w:val="20"/>
                <w:szCs w:val="20"/>
                <w:lang w:eastAsia="en-AU"/>
              </w:rPr>
            </w:pPr>
            <w:r>
              <w:rPr>
                <w:rFonts w:cstheme="minorHAnsi"/>
                <w:b/>
                <w:bCs/>
                <w:sz w:val="20"/>
                <w:szCs w:val="20"/>
                <w:lang w:eastAsia="en-AU"/>
              </w:rPr>
              <w:t xml:space="preserve">Service 2 - </w:t>
            </w:r>
            <w:r w:rsidRPr="00175535">
              <w:rPr>
                <w:rFonts w:cstheme="minorHAnsi"/>
                <w:b/>
                <w:bCs/>
                <w:sz w:val="20"/>
                <w:szCs w:val="20"/>
                <w:lang w:eastAsia="en-AU"/>
              </w:rPr>
              <w:t>Environmental Management Services to the EPA</w:t>
            </w:r>
            <w:r w:rsidRPr="008C148C">
              <w:rPr>
                <w:rFonts w:cstheme="minorHAnsi"/>
                <w:b/>
                <w:bCs/>
                <w:sz w:val="20"/>
                <w:szCs w:val="20"/>
                <w:vertAlign w:val="superscript"/>
                <w:lang w:eastAsia="en-AU"/>
              </w:rPr>
              <w:t>(a)</w:t>
            </w:r>
          </w:p>
        </w:tc>
        <w:tc>
          <w:tcPr>
            <w:tcW w:w="1644" w:type="dxa"/>
            <w:tcBorders>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tcPr>
          <w:p w:rsidR="001D32CC" w:rsidRDefault="001D32CC" w:rsidP="00175535">
            <w:pPr>
              <w:pStyle w:val="Financials"/>
              <w:ind w:left="-108"/>
              <w:jc w:val="center"/>
              <w:rPr>
                <w:rFonts w:cstheme="minorHAnsi"/>
                <w:b/>
                <w:bCs/>
                <w:sz w:val="20"/>
                <w:szCs w:val="20"/>
                <w:lang w:eastAsia="en-AU"/>
              </w:rPr>
            </w:pPr>
            <w:r>
              <w:rPr>
                <w:rFonts w:cstheme="minorHAnsi"/>
                <w:b/>
                <w:bCs/>
                <w:sz w:val="20"/>
                <w:szCs w:val="20"/>
                <w:lang w:eastAsia="en-AU"/>
              </w:rPr>
              <w:t>2014</w:t>
            </w:r>
          </w:p>
          <w:p w:rsidR="001D32CC" w:rsidRPr="00175535" w:rsidRDefault="001D32CC" w:rsidP="0074267C">
            <w:pPr>
              <w:pStyle w:val="Financials"/>
              <w:ind w:left="-108"/>
              <w:jc w:val="center"/>
              <w:rPr>
                <w:rFonts w:cstheme="minorHAnsi"/>
                <w:b/>
                <w:bCs/>
                <w:sz w:val="20"/>
                <w:szCs w:val="20"/>
                <w:lang w:eastAsia="en-AU"/>
              </w:rPr>
            </w:pPr>
            <w:r>
              <w:rPr>
                <w:rFonts w:cstheme="minorHAnsi"/>
                <w:b/>
                <w:bCs/>
                <w:sz w:val="20"/>
                <w:szCs w:val="20"/>
                <w:lang w:eastAsia="en-AU"/>
              </w:rPr>
              <w:t xml:space="preserve">Service 1 - </w:t>
            </w:r>
            <w:r w:rsidRPr="00175535">
              <w:rPr>
                <w:rFonts w:cstheme="minorHAnsi"/>
                <w:b/>
                <w:bCs/>
                <w:sz w:val="20"/>
                <w:szCs w:val="20"/>
                <w:lang w:eastAsia="en-AU"/>
              </w:rPr>
              <w:t xml:space="preserve">Environmental </w:t>
            </w:r>
            <w:r>
              <w:rPr>
                <w:rFonts w:cstheme="minorHAnsi"/>
                <w:b/>
                <w:bCs/>
                <w:sz w:val="20"/>
                <w:szCs w:val="20"/>
                <w:lang w:eastAsia="en-AU"/>
              </w:rPr>
              <w:t>Impact Assessment and Policies</w:t>
            </w:r>
          </w:p>
        </w:tc>
        <w:tc>
          <w:tcPr>
            <w:tcW w:w="2608" w:type="dxa"/>
            <w:gridSpan w:val="2"/>
            <w:tcBorders>
              <w:left w:val="single" w:sz="4" w:space="0" w:color="FFFFFF" w:themeColor="background1"/>
              <w:bottom w:val="single" w:sz="4" w:space="0" w:color="FFFFFF" w:themeColor="background1"/>
            </w:tcBorders>
            <w:shd w:val="clear" w:color="auto" w:fill="E0DCCB" w:themeFill="accent4" w:themeFillTint="66"/>
          </w:tcPr>
          <w:p w:rsidR="001D32CC" w:rsidRPr="00175535" w:rsidRDefault="005834FD" w:rsidP="00175535">
            <w:pPr>
              <w:pStyle w:val="Financials"/>
              <w:ind w:left="-108"/>
              <w:jc w:val="center"/>
              <w:rPr>
                <w:rFonts w:cstheme="minorHAnsi"/>
                <w:b/>
                <w:bCs/>
                <w:sz w:val="20"/>
                <w:szCs w:val="20"/>
                <w:lang w:eastAsia="en-AU"/>
              </w:rPr>
            </w:pPr>
            <w:r>
              <w:rPr>
                <w:rFonts w:cstheme="minorHAnsi"/>
                <w:b/>
                <w:bCs/>
                <w:sz w:val="20"/>
                <w:szCs w:val="20"/>
                <w:lang w:eastAsia="en-AU"/>
              </w:rPr>
              <w:t xml:space="preserve">Service 3 – </w:t>
            </w:r>
            <w:r w:rsidR="004442D4">
              <w:rPr>
                <w:rFonts w:cstheme="minorHAnsi"/>
                <w:b/>
                <w:bCs/>
                <w:sz w:val="20"/>
                <w:szCs w:val="20"/>
                <w:lang w:eastAsia="en-AU"/>
              </w:rPr>
              <w:br/>
            </w:r>
            <w:r>
              <w:rPr>
                <w:rFonts w:cstheme="minorHAnsi"/>
                <w:b/>
                <w:bCs/>
                <w:sz w:val="20"/>
                <w:szCs w:val="20"/>
                <w:lang w:eastAsia="en-AU"/>
              </w:rPr>
              <w:t>Compliance Monitoring Services to the Minister</w:t>
            </w:r>
          </w:p>
        </w:tc>
        <w:tc>
          <w:tcPr>
            <w:tcW w:w="2666" w:type="dxa"/>
            <w:gridSpan w:val="2"/>
            <w:tcBorders>
              <w:left w:val="single" w:sz="4" w:space="0" w:color="FFFFFF" w:themeColor="background1"/>
              <w:bottom w:val="single" w:sz="4" w:space="0" w:color="FFFFFF" w:themeColor="background1"/>
            </w:tcBorders>
            <w:shd w:val="clear" w:color="auto" w:fill="E0DCCB" w:themeFill="accent4" w:themeFillTint="66"/>
          </w:tcPr>
          <w:p w:rsidR="001D32CC" w:rsidRPr="00175535" w:rsidRDefault="005834FD" w:rsidP="00175535">
            <w:pPr>
              <w:pStyle w:val="Financials"/>
              <w:ind w:left="-108"/>
              <w:jc w:val="center"/>
              <w:rPr>
                <w:rFonts w:cstheme="minorHAnsi"/>
                <w:b/>
                <w:bCs/>
                <w:sz w:val="20"/>
                <w:szCs w:val="20"/>
                <w:lang w:eastAsia="en-AU"/>
              </w:rPr>
            </w:pPr>
            <w:r>
              <w:rPr>
                <w:rFonts w:cstheme="minorHAnsi"/>
                <w:b/>
                <w:bCs/>
                <w:sz w:val="20"/>
                <w:szCs w:val="20"/>
                <w:lang w:eastAsia="en-AU"/>
              </w:rPr>
              <w:t>Total</w:t>
            </w:r>
          </w:p>
        </w:tc>
      </w:tr>
      <w:tr w:rsidR="001E5AC1" w:rsidRPr="00175535" w:rsidTr="004442D4">
        <w:trPr>
          <w:trHeight w:val="255"/>
        </w:trPr>
        <w:tc>
          <w:tcPr>
            <w:tcW w:w="3828" w:type="dxa"/>
            <w:tcBorders>
              <w:right w:val="single" w:sz="4" w:space="0" w:color="FFFFFF" w:themeColor="background1"/>
            </w:tcBorders>
            <w:shd w:val="clear" w:color="auto" w:fill="E0DCCB" w:themeFill="accent4" w:themeFillTint="66"/>
            <w:vAlign w:val="center"/>
            <w:hideMark/>
          </w:tcPr>
          <w:p w:rsidR="008C148C" w:rsidRPr="00175535" w:rsidRDefault="008C148C" w:rsidP="00175535">
            <w:pPr>
              <w:pStyle w:val="Financials"/>
              <w:ind w:left="-108"/>
              <w:rPr>
                <w:rFonts w:cstheme="minorHAnsi"/>
                <w:sz w:val="20"/>
                <w:szCs w:val="20"/>
                <w:lang w:eastAsia="en-AU"/>
              </w:rPr>
            </w:pPr>
          </w:p>
        </w:tc>
        <w:tc>
          <w:tcPr>
            <w:tcW w:w="1644" w:type="dxa"/>
            <w:tcBorders>
              <w:top w:val="single" w:sz="4" w:space="0" w:color="FFFFFF" w:themeColor="background1"/>
              <w:left w:val="single" w:sz="4" w:space="0" w:color="FFFFFF" w:themeColor="background1"/>
            </w:tcBorders>
            <w:shd w:val="clear" w:color="auto" w:fill="E0DCCB" w:themeFill="accent4" w:themeFillTint="66"/>
            <w:vAlign w:val="center"/>
            <w:hideMark/>
          </w:tcPr>
          <w:p w:rsidR="008C148C" w:rsidRPr="00175535" w:rsidRDefault="008C148C" w:rsidP="00175535">
            <w:pPr>
              <w:pStyle w:val="Financials"/>
              <w:ind w:left="-108"/>
              <w:jc w:val="center"/>
              <w:rPr>
                <w:rFonts w:cstheme="minorHAnsi"/>
                <w:b/>
                <w:bCs/>
                <w:sz w:val="20"/>
                <w:szCs w:val="20"/>
                <w:lang w:eastAsia="en-AU"/>
              </w:rPr>
            </w:pPr>
            <w:r w:rsidRPr="00175535">
              <w:rPr>
                <w:rFonts w:cstheme="minorHAnsi"/>
                <w:b/>
                <w:bCs/>
                <w:sz w:val="20"/>
                <w:szCs w:val="20"/>
                <w:lang w:eastAsia="en-AU"/>
              </w:rPr>
              <w:t>2015</w:t>
            </w:r>
          </w:p>
        </w:tc>
        <w:tc>
          <w:tcPr>
            <w:tcW w:w="1644" w:type="dxa"/>
            <w:tcBorders>
              <w:top w:val="single" w:sz="4" w:space="0" w:color="FFFFFF" w:themeColor="background1"/>
              <w:left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8C148C" w:rsidP="00E83A8D">
            <w:pPr>
              <w:pStyle w:val="Financials"/>
              <w:ind w:left="-108"/>
              <w:jc w:val="center"/>
              <w:rPr>
                <w:rFonts w:cstheme="minorHAnsi"/>
                <w:b/>
                <w:bCs/>
                <w:sz w:val="20"/>
                <w:szCs w:val="20"/>
                <w:lang w:eastAsia="en-AU"/>
              </w:rPr>
            </w:pPr>
            <w:r w:rsidRPr="00175535">
              <w:rPr>
                <w:rFonts w:cstheme="minorHAnsi"/>
                <w:b/>
                <w:bCs/>
                <w:sz w:val="20"/>
                <w:szCs w:val="20"/>
                <w:lang w:eastAsia="en-AU"/>
              </w:rPr>
              <w:t>2015</w:t>
            </w:r>
          </w:p>
        </w:tc>
        <w:tc>
          <w:tcPr>
            <w:tcW w:w="1644" w:type="dxa"/>
            <w:tcBorders>
              <w:top w:val="single" w:sz="4" w:space="0" w:color="FFFFFF" w:themeColor="background1"/>
              <w:left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8C148C" w:rsidP="0074267C">
            <w:pPr>
              <w:pStyle w:val="Financials"/>
              <w:ind w:left="-108"/>
              <w:jc w:val="center"/>
              <w:rPr>
                <w:rFonts w:cstheme="minorHAnsi"/>
                <w:b/>
                <w:bCs/>
                <w:sz w:val="20"/>
                <w:szCs w:val="20"/>
                <w:lang w:eastAsia="en-AU"/>
              </w:rPr>
            </w:pPr>
            <w:r w:rsidRPr="00175535">
              <w:rPr>
                <w:rFonts w:cstheme="minorHAnsi"/>
                <w:b/>
                <w:bCs/>
                <w:sz w:val="20"/>
                <w:szCs w:val="20"/>
                <w:lang w:eastAsia="en-AU"/>
              </w:rPr>
              <w:t>201</w:t>
            </w:r>
            <w:r w:rsidR="0074267C">
              <w:rPr>
                <w:rFonts w:cstheme="minorHAnsi"/>
                <w:b/>
                <w:bCs/>
                <w:sz w:val="20"/>
                <w:szCs w:val="20"/>
                <w:lang w:eastAsia="en-AU"/>
              </w:rPr>
              <w:t>4</w:t>
            </w:r>
          </w:p>
        </w:tc>
        <w:tc>
          <w:tcPr>
            <w:tcW w:w="1304" w:type="dxa"/>
            <w:tcBorders>
              <w:top w:val="single" w:sz="4" w:space="0" w:color="FFFFFF" w:themeColor="background1"/>
              <w:left w:val="single" w:sz="4" w:space="0" w:color="FFFFFF" w:themeColor="background1"/>
            </w:tcBorders>
            <w:shd w:val="clear" w:color="auto" w:fill="E0DCCB" w:themeFill="accent4" w:themeFillTint="66"/>
          </w:tcPr>
          <w:p w:rsidR="008C148C" w:rsidRPr="00175535" w:rsidRDefault="008C148C" w:rsidP="00175535">
            <w:pPr>
              <w:pStyle w:val="Financials"/>
              <w:ind w:left="-108"/>
              <w:jc w:val="center"/>
              <w:rPr>
                <w:rFonts w:cstheme="minorHAnsi"/>
                <w:b/>
                <w:bCs/>
                <w:sz w:val="20"/>
                <w:szCs w:val="20"/>
                <w:lang w:eastAsia="en-AU"/>
              </w:rPr>
            </w:pPr>
            <w:r w:rsidRPr="00175535">
              <w:rPr>
                <w:rFonts w:cstheme="minorHAnsi"/>
                <w:b/>
                <w:bCs/>
                <w:sz w:val="20"/>
                <w:szCs w:val="20"/>
                <w:lang w:eastAsia="en-AU"/>
              </w:rPr>
              <w:t>2015</w:t>
            </w:r>
          </w:p>
        </w:tc>
        <w:tc>
          <w:tcPr>
            <w:tcW w:w="1304" w:type="dxa"/>
            <w:tcBorders>
              <w:top w:val="single" w:sz="4" w:space="0" w:color="FFFFFF" w:themeColor="background1"/>
              <w:right w:val="single" w:sz="4" w:space="0" w:color="FFFFFF" w:themeColor="background1"/>
            </w:tcBorders>
            <w:shd w:val="clear" w:color="auto" w:fill="E0DCCB" w:themeFill="accent4" w:themeFillTint="66"/>
          </w:tcPr>
          <w:p w:rsidR="008C148C" w:rsidRPr="00175535" w:rsidRDefault="008C148C" w:rsidP="00175535">
            <w:pPr>
              <w:pStyle w:val="Financials"/>
              <w:ind w:left="-108"/>
              <w:jc w:val="center"/>
              <w:rPr>
                <w:rFonts w:cstheme="minorHAnsi"/>
                <w:b/>
                <w:bCs/>
                <w:sz w:val="20"/>
                <w:szCs w:val="20"/>
                <w:lang w:eastAsia="en-AU"/>
              </w:rPr>
            </w:pPr>
            <w:r w:rsidRPr="00175535">
              <w:rPr>
                <w:rFonts w:cstheme="minorHAnsi"/>
                <w:b/>
                <w:bCs/>
                <w:sz w:val="20"/>
                <w:szCs w:val="20"/>
                <w:lang w:eastAsia="en-AU"/>
              </w:rPr>
              <w:t>2014</w:t>
            </w:r>
          </w:p>
        </w:tc>
        <w:tc>
          <w:tcPr>
            <w:tcW w:w="1304" w:type="dxa"/>
            <w:tcBorders>
              <w:top w:val="single" w:sz="4" w:space="0" w:color="FFFFFF" w:themeColor="background1"/>
              <w:lef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center"/>
              <w:rPr>
                <w:rFonts w:cstheme="minorHAnsi"/>
                <w:b/>
                <w:bCs/>
                <w:sz w:val="20"/>
                <w:szCs w:val="20"/>
                <w:lang w:eastAsia="en-AU"/>
              </w:rPr>
            </w:pPr>
            <w:r w:rsidRPr="00175535">
              <w:rPr>
                <w:rFonts w:cstheme="minorHAnsi"/>
                <w:b/>
                <w:bCs/>
                <w:sz w:val="20"/>
                <w:szCs w:val="20"/>
                <w:lang w:eastAsia="en-AU"/>
              </w:rPr>
              <w:t>2015</w:t>
            </w:r>
          </w:p>
        </w:tc>
        <w:tc>
          <w:tcPr>
            <w:tcW w:w="1362" w:type="dxa"/>
            <w:tcBorders>
              <w:top w:val="single" w:sz="4" w:space="0" w:color="FFFFFF" w:themeColor="background1"/>
              <w:left w:val="nil"/>
            </w:tcBorders>
            <w:shd w:val="clear" w:color="auto" w:fill="E0DCCB" w:themeFill="accent4" w:themeFillTint="66"/>
          </w:tcPr>
          <w:p w:rsidR="008C148C" w:rsidRPr="00175535" w:rsidRDefault="008C148C" w:rsidP="00175535">
            <w:pPr>
              <w:pStyle w:val="Financials"/>
              <w:ind w:left="-108"/>
              <w:jc w:val="center"/>
              <w:rPr>
                <w:rFonts w:cstheme="minorHAnsi"/>
                <w:b/>
                <w:bCs/>
                <w:sz w:val="20"/>
                <w:szCs w:val="20"/>
                <w:lang w:eastAsia="en-AU"/>
              </w:rPr>
            </w:pPr>
            <w:r w:rsidRPr="00175535">
              <w:rPr>
                <w:rFonts w:cstheme="minorHAnsi"/>
                <w:b/>
                <w:bCs/>
                <w:sz w:val="20"/>
                <w:szCs w:val="20"/>
                <w:lang w:eastAsia="en-AU"/>
              </w:rPr>
              <w:t>2014</w:t>
            </w:r>
          </w:p>
        </w:tc>
      </w:tr>
      <w:tr w:rsidR="001E5AC1" w:rsidRPr="00175535" w:rsidTr="004442D4">
        <w:trPr>
          <w:trHeight w:val="255"/>
        </w:trPr>
        <w:tc>
          <w:tcPr>
            <w:tcW w:w="3828" w:type="dxa"/>
            <w:tcBorders>
              <w:right w:val="single" w:sz="4" w:space="0" w:color="FFFFFF" w:themeColor="background1"/>
            </w:tcBorders>
            <w:shd w:val="clear" w:color="auto" w:fill="E0DCCB" w:themeFill="accent4" w:themeFillTint="66"/>
            <w:vAlign w:val="center"/>
            <w:hideMark/>
          </w:tcPr>
          <w:p w:rsidR="008C148C" w:rsidRPr="00175535" w:rsidRDefault="008C148C" w:rsidP="00175535">
            <w:pPr>
              <w:pStyle w:val="Financials"/>
              <w:ind w:left="-108"/>
              <w:rPr>
                <w:rFonts w:cstheme="minorHAnsi"/>
                <w:sz w:val="20"/>
                <w:szCs w:val="20"/>
                <w:lang w:eastAsia="en-AU"/>
              </w:rPr>
            </w:pPr>
          </w:p>
        </w:tc>
        <w:tc>
          <w:tcPr>
            <w:tcW w:w="1644" w:type="dxa"/>
            <w:tcBorders>
              <w:left w:val="single" w:sz="4" w:space="0" w:color="FFFFFF" w:themeColor="background1"/>
              <w:bottom w:val="single" w:sz="4" w:space="0" w:color="FFFFFF" w:themeColor="background1"/>
            </w:tcBorders>
            <w:shd w:val="clear" w:color="auto" w:fill="E0DCCB" w:themeFill="accent4" w:themeFillTint="66"/>
            <w:vAlign w:val="center"/>
            <w:hideMark/>
          </w:tcPr>
          <w:p w:rsidR="008C148C" w:rsidRPr="00175535" w:rsidRDefault="008C148C" w:rsidP="00175535">
            <w:pPr>
              <w:pStyle w:val="Financials"/>
              <w:ind w:left="-108"/>
              <w:jc w:val="center"/>
              <w:rPr>
                <w:rFonts w:cstheme="minorHAnsi"/>
                <w:b/>
                <w:bCs/>
                <w:sz w:val="20"/>
                <w:szCs w:val="20"/>
                <w:lang w:eastAsia="en-AU"/>
              </w:rPr>
            </w:pPr>
            <w:r w:rsidRPr="00175535">
              <w:rPr>
                <w:rFonts w:cstheme="minorHAnsi"/>
                <w:b/>
                <w:bCs/>
                <w:sz w:val="20"/>
                <w:szCs w:val="20"/>
                <w:lang w:eastAsia="en-AU"/>
              </w:rPr>
              <w:t>$</w:t>
            </w:r>
          </w:p>
        </w:tc>
        <w:tc>
          <w:tcPr>
            <w:tcW w:w="1644" w:type="dxa"/>
            <w:tcBorders>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8C148C" w:rsidP="00E83A8D">
            <w:pPr>
              <w:pStyle w:val="Financials"/>
              <w:ind w:left="-108"/>
              <w:jc w:val="center"/>
              <w:rPr>
                <w:rFonts w:cstheme="minorHAnsi"/>
                <w:b/>
                <w:bCs/>
                <w:sz w:val="20"/>
                <w:szCs w:val="20"/>
                <w:lang w:eastAsia="en-AU"/>
              </w:rPr>
            </w:pPr>
            <w:r w:rsidRPr="00175535">
              <w:rPr>
                <w:rFonts w:cstheme="minorHAnsi"/>
                <w:b/>
                <w:bCs/>
                <w:sz w:val="20"/>
                <w:szCs w:val="20"/>
                <w:lang w:eastAsia="en-AU"/>
              </w:rPr>
              <w:t>$</w:t>
            </w:r>
          </w:p>
        </w:tc>
        <w:tc>
          <w:tcPr>
            <w:tcW w:w="1644" w:type="dxa"/>
            <w:tcBorders>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center"/>
              <w:rPr>
                <w:rFonts w:cstheme="minorHAnsi"/>
                <w:b/>
                <w:bCs/>
                <w:sz w:val="20"/>
                <w:szCs w:val="20"/>
                <w:lang w:eastAsia="en-AU"/>
              </w:rPr>
            </w:pPr>
            <w:r w:rsidRPr="00175535">
              <w:rPr>
                <w:rFonts w:cstheme="minorHAnsi"/>
                <w:b/>
                <w:bCs/>
                <w:sz w:val="20"/>
                <w:szCs w:val="20"/>
                <w:lang w:eastAsia="en-AU"/>
              </w:rPr>
              <w:t>$</w:t>
            </w:r>
          </w:p>
        </w:tc>
        <w:tc>
          <w:tcPr>
            <w:tcW w:w="1304" w:type="dxa"/>
            <w:tcBorders>
              <w:left w:val="single" w:sz="4" w:space="0" w:color="FFFFFF" w:themeColor="background1"/>
              <w:bottom w:val="single" w:sz="4" w:space="0" w:color="FFFFFF" w:themeColor="background1"/>
            </w:tcBorders>
            <w:shd w:val="clear" w:color="auto" w:fill="E0DCCB" w:themeFill="accent4" w:themeFillTint="66"/>
          </w:tcPr>
          <w:p w:rsidR="008C148C" w:rsidRPr="00175535" w:rsidRDefault="008C148C" w:rsidP="00175535">
            <w:pPr>
              <w:pStyle w:val="Financials"/>
              <w:ind w:left="-108"/>
              <w:jc w:val="center"/>
              <w:rPr>
                <w:rFonts w:cstheme="minorHAnsi"/>
                <w:b/>
                <w:bCs/>
                <w:sz w:val="20"/>
                <w:szCs w:val="20"/>
                <w:lang w:eastAsia="en-AU"/>
              </w:rPr>
            </w:pPr>
            <w:r w:rsidRPr="00175535">
              <w:rPr>
                <w:rFonts w:cstheme="minorHAnsi"/>
                <w:b/>
                <w:bCs/>
                <w:sz w:val="20"/>
                <w:szCs w:val="20"/>
                <w:lang w:eastAsia="en-AU"/>
              </w:rPr>
              <w:t>$</w:t>
            </w:r>
          </w:p>
        </w:tc>
        <w:tc>
          <w:tcPr>
            <w:tcW w:w="1304" w:type="dxa"/>
            <w:tcBorders>
              <w:bottom w:val="single" w:sz="4" w:space="0" w:color="FFFFFF" w:themeColor="background1"/>
              <w:right w:val="single" w:sz="4" w:space="0" w:color="FFFFFF" w:themeColor="background1"/>
            </w:tcBorders>
            <w:shd w:val="clear" w:color="auto" w:fill="E0DCCB" w:themeFill="accent4" w:themeFillTint="66"/>
          </w:tcPr>
          <w:p w:rsidR="008C148C" w:rsidRPr="00175535" w:rsidRDefault="008C148C" w:rsidP="00175535">
            <w:pPr>
              <w:pStyle w:val="Financials"/>
              <w:ind w:left="-108"/>
              <w:jc w:val="center"/>
              <w:rPr>
                <w:rFonts w:cstheme="minorHAnsi"/>
                <w:b/>
                <w:bCs/>
                <w:sz w:val="20"/>
                <w:szCs w:val="20"/>
                <w:lang w:eastAsia="en-AU"/>
              </w:rPr>
            </w:pPr>
            <w:r w:rsidRPr="00175535">
              <w:rPr>
                <w:rFonts w:cstheme="minorHAnsi"/>
                <w:b/>
                <w:bCs/>
                <w:sz w:val="20"/>
                <w:szCs w:val="20"/>
                <w:lang w:eastAsia="en-AU"/>
              </w:rPr>
              <w:t>$</w:t>
            </w:r>
          </w:p>
        </w:tc>
        <w:tc>
          <w:tcPr>
            <w:tcW w:w="1304" w:type="dxa"/>
            <w:tcBorders>
              <w:left w:val="single" w:sz="4" w:space="0" w:color="FFFFFF" w:themeColor="background1"/>
              <w:bottom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center"/>
              <w:rPr>
                <w:rFonts w:cstheme="minorHAnsi"/>
                <w:b/>
                <w:bCs/>
                <w:sz w:val="20"/>
                <w:szCs w:val="20"/>
                <w:lang w:eastAsia="en-AU"/>
              </w:rPr>
            </w:pPr>
            <w:r w:rsidRPr="00175535">
              <w:rPr>
                <w:rFonts w:cstheme="minorHAnsi"/>
                <w:b/>
                <w:bCs/>
                <w:sz w:val="20"/>
                <w:szCs w:val="20"/>
                <w:lang w:eastAsia="en-AU"/>
              </w:rPr>
              <w:t>$</w:t>
            </w:r>
          </w:p>
        </w:tc>
        <w:tc>
          <w:tcPr>
            <w:tcW w:w="1362" w:type="dxa"/>
            <w:tcBorders>
              <w:left w:val="nil"/>
              <w:bottom w:val="single" w:sz="4" w:space="0" w:color="FFFFFF" w:themeColor="background1"/>
            </w:tcBorders>
            <w:shd w:val="clear" w:color="auto" w:fill="E0DCCB" w:themeFill="accent4" w:themeFillTint="66"/>
          </w:tcPr>
          <w:p w:rsidR="008C148C" w:rsidRPr="00175535" w:rsidRDefault="008C148C" w:rsidP="00175535">
            <w:pPr>
              <w:pStyle w:val="Financials"/>
              <w:ind w:left="-108"/>
              <w:jc w:val="center"/>
              <w:rPr>
                <w:rFonts w:cstheme="minorHAnsi"/>
                <w:b/>
                <w:bCs/>
                <w:sz w:val="20"/>
                <w:szCs w:val="20"/>
                <w:lang w:eastAsia="en-AU"/>
              </w:rPr>
            </w:pPr>
            <w:r w:rsidRPr="00175535">
              <w:rPr>
                <w:rFonts w:cstheme="minorHAnsi"/>
                <w:b/>
                <w:bCs/>
                <w:sz w:val="20"/>
                <w:szCs w:val="20"/>
                <w:lang w:eastAsia="en-AU"/>
              </w:rPr>
              <w:t>$</w:t>
            </w:r>
          </w:p>
        </w:tc>
      </w:tr>
      <w:tr w:rsidR="001E5AC1" w:rsidRPr="00175535" w:rsidTr="004442D4">
        <w:trPr>
          <w:trHeight w:val="255"/>
        </w:trPr>
        <w:tc>
          <w:tcPr>
            <w:tcW w:w="3828" w:type="dxa"/>
            <w:shd w:val="clear" w:color="auto" w:fill="auto"/>
            <w:vAlign w:val="center"/>
            <w:hideMark/>
          </w:tcPr>
          <w:p w:rsidR="008C148C" w:rsidRPr="00175535" w:rsidRDefault="008C148C" w:rsidP="00175535">
            <w:pPr>
              <w:pStyle w:val="Financials"/>
              <w:ind w:left="-108"/>
              <w:rPr>
                <w:rFonts w:cstheme="minorHAnsi"/>
                <w:b/>
                <w:bCs/>
                <w:sz w:val="20"/>
                <w:szCs w:val="20"/>
                <w:lang w:eastAsia="en-AU"/>
              </w:rPr>
            </w:pPr>
            <w:r w:rsidRPr="00175535">
              <w:rPr>
                <w:rFonts w:cstheme="minorHAnsi"/>
                <w:b/>
                <w:bCs/>
                <w:sz w:val="20"/>
                <w:szCs w:val="20"/>
                <w:lang w:eastAsia="en-AU"/>
              </w:rPr>
              <w:t>COST OF SERVICES</w:t>
            </w:r>
          </w:p>
        </w:tc>
        <w:tc>
          <w:tcPr>
            <w:tcW w:w="1644" w:type="dxa"/>
            <w:tcBorders>
              <w:top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p>
        </w:tc>
        <w:tc>
          <w:tcPr>
            <w:tcW w:w="1644" w:type="dxa"/>
            <w:tcBorders>
              <w:top w:val="single" w:sz="4" w:space="0" w:color="FFFFFF" w:themeColor="background1"/>
              <w:left w:val="single" w:sz="4" w:space="0" w:color="FFFFFF" w:themeColor="background1"/>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p>
        </w:tc>
        <w:tc>
          <w:tcPr>
            <w:tcW w:w="1644" w:type="dxa"/>
            <w:tcBorders>
              <w:top w:val="single" w:sz="4" w:space="0" w:color="FFFFFF" w:themeColor="background1"/>
            </w:tcBorders>
            <w:shd w:val="clear" w:color="auto" w:fill="FFFFFF" w:themeFill="background1"/>
            <w:vAlign w:val="center"/>
          </w:tcPr>
          <w:p w:rsidR="008C148C" w:rsidRPr="00175535" w:rsidRDefault="008C148C" w:rsidP="00175535">
            <w:pPr>
              <w:pStyle w:val="Financials"/>
              <w:ind w:left="-108"/>
              <w:jc w:val="right"/>
              <w:rPr>
                <w:rFonts w:cstheme="minorHAnsi"/>
                <w:sz w:val="20"/>
                <w:szCs w:val="20"/>
                <w:lang w:eastAsia="en-AU"/>
              </w:rPr>
            </w:pPr>
          </w:p>
        </w:tc>
        <w:tc>
          <w:tcPr>
            <w:tcW w:w="1304" w:type="dxa"/>
            <w:tcBorders>
              <w:top w:val="single" w:sz="4" w:space="0" w:color="FFFFFF" w:themeColor="background1"/>
            </w:tcBorders>
            <w:shd w:val="clear" w:color="auto" w:fill="E0DCCB" w:themeFill="accent4" w:themeFillTint="66"/>
          </w:tcPr>
          <w:p w:rsidR="008C148C" w:rsidRPr="00175535" w:rsidRDefault="008C148C" w:rsidP="00175535">
            <w:pPr>
              <w:pStyle w:val="Financials"/>
              <w:ind w:left="-108"/>
              <w:jc w:val="right"/>
              <w:rPr>
                <w:rFonts w:cstheme="minorHAnsi"/>
                <w:sz w:val="20"/>
                <w:szCs w:val="20"/>
                <w:lang w:eastAsia="en-AU"/>
              </w:rPr>
            </w:pPr>
          </w:p>
        </w:tc>
        <w:tc>
          <w:tcPr>
            <w:tcW w:w="1304" w:type="dxa"/>
            <w:tcBorders>
              <w:top w:val="single" w:sz="4" w:space="0" w:color="FFFFFF" w:themeColor="background1"/>
            </w:tcBorders>
            <w:shd w:val="clear" w:color="auto" w:fill="auto"/>
          </w:tcPr>
          <w:p w:rsidR="008C148C" w:rsidRPr="00175535" w:rsidRDefault="008C148C" w:rsidP="00175535">
            <w:pPr>
              <w:pStyle w:val="Financials"/>
              <w:ind w:left="-108"/>
              <w:jc w:val="right"/>
              <w:rPr>
                <w:rFonts w:cstheme="minorHAnsi"/>
                <w:sz w:val="20"/>
                <w:szCs w:val="20"/>
                <w:lang w:eastAsia="en-AU"/>
              </w:rPr>
            </w:pPr>
          </w:p>
        </w:tc>
        <w:tc>
          <w:tcPr>
            <w:tcW w:w="1304" w:type="dxa"/>
            <w:tcBorders>
              <w:top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p>
        </w:tc>
        <w:tc>
          <w:tcPr>
            <w:tcW w:w="1362" w:type="dxa"/>
            <w:tcBorders>
              <w:top w:val="single" w:sz="4" w:space="0" w:color="FFFFFF" w:themeColor="background1"/>
            </w:tcBorders>
            <w:vAlign w:val="center"/>
          </w:tcPr>
          <w:p w:rsidR="008C148C" w:rsidRPr="00175535" w:rsidRDefault="008C148C" w:rsidP="00175535">
            <w:pPr>
              <w:pStyle w:val="Financials"/>
              <w:ind w:left="-108"/>
              <w:jc w:val="right"/>
              <w:rPr>
                <w:rFonts w:cstheme="minorHAnsi"/>
                <w:sz w:val="20"/>
                <w:szCs w:val="20"/>
                <w:lang w:eastAsia="en-AU"/>
              </w:rPr>
            </w:pPr>
          </w:p>
        </w:tc>
      </w:tr>
      <w:tr w:rsidR="001E5AC1" w:rsidRPr="00175535" w:rsidTr="004442D4">
        <w:trPr>
          <w:trHeight w:val="255"/>
        </w:trPr>
        <w:tc>
          <w:tcPr>
            <w:tcW w:w="3828" w:type="dxa"/>
            <w:tcBorders>
              <w:left w:val="nil"/>
              <w:bottom w:val="nil"/>
              <w:right w:val="nil"/>
            </w:tcBorders>
            <w:shd w:val="clear" w:color="auto" w:fill="auto"/>
            <w:vAlign w:val="center"/>
            <w:hideMark/>
          </w:tcPr>
          <w:p w:rsidR="008C148C" w:rsidRPr="00175535" w:rsidRDefault="008C148C" w:rsidP="00175535">
            <w:pPr>
              <w:pStyle w:val="Financials"/>
              <w:ind w:left="-108"/>
              <w:rPr>
                <w:rFonts w:cstheme="minorHAnsi"/>
                <w:b/>
                <w:bCs/>
                <w:sz w:val="20"/>
                <w:szCs w:val="20"/>
                <w:lang w:eastAsia="en-AU"/>
              </w:rPr>
            </w:pPr>
            <w:r w:rsidRPr="00175535">
              <w:rPr>
                <w:rFonts w:cstheme="minorHAnsi"/>
                <w:sz w:val="20"/>
                <w:szCs w:val="20"/>
                <w:u w:val="single"/>
                <w:lang w:eastAsia="en-AU"/>
              </w:rPr>
              <w:t xml:space="preserve">Expenses </w:t>
            </w:r>
          </w:p>
        </w:tc>
        <w:tc>
          <w:tcPr>
            <w:tcW w:w="1644" w:type="dxa"/>
            <w:tcBorders>
              <w:left w:val="nil"/>
              <w:bottom w:val="nil"/>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p>
        </w:tc>
        <w:tc>
          <w:tcPr>
            <w:tcW w:w="1644" w:type="dxa"/>
            <w:tcBorders>
              <w:left w:val="single" w:sz="4" w:space="0" w:color="FFFFFF" w:themeColor="background1"/>
              <w:bottom w:val="nil"/>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p>
        </w:tc>
        <w:tc>
          <w:tcPr>
            <w:tcW w:w="1644" w:type="dxa"/>
            <w:tcBorders>
              <w:left w:val="nil"/>
              <w:bottom w:val="nil"/>
              <w:right w:val="nil"/>
            </w:tcBorders>
            <w:shd w:val="clear" w:color="auto" w:fill="FFFFFF" w:themeFill="background1"/>
            <w:vAlign w:val="center"/>
          </w:tcPr>
          <w:p w:rsidR="008C148C" w:rsidRPr="00175535" w:rsidRDefault="008C148C" w:rsidP="00175535">
            <w:pPr>
              <w:pStyle w:val="Financials"/>
              <w:ind w:left="-108"/>
              <w:jc w:val="right"/>
              <w:rPr>
                <w:rFonts w:cstheme="minorHAnsi"/>
                <w:sz w:val="20"/>
                <w:szCs w:val="20"/>
                <w:lang w:eastAsia="en-AU"/>
              </w:rPr>
            </w:pPr>
          </w:p>
        </w:tc>
        <w:tc>
          <w:tcPr>
            <w:tcW w:w="1304" w:type="dxa"/>
            <w:tcBorders>
              <w:left w:val="nil"/>
              <w:bottom w:val="nil"/>
              <w:right w:val="nil"/>
            </w:tcBorders>
            <w:shd w:val="clear" w:color="auto" w:fill="E0DCCB" w:themeFill="accent4" w:themeFillTint="66"/>
          </w:tcPr>
          <w:p w:rsidR="008C148C" w:rsidRPr="00175535" w:rsidRDefault="008C148C" w:rsidP="00175535">
            <w:pPr>
              <w:pStyle w:val="Financials"/>
              <w:ind w:left="-108"/>
              <w:jc w:val="right"/>
              <w:rPr>
                <w:rFonts w:cstheme="minorHAnsi"/>
                <w:sz w:val="20"/>
                <w:szCs w:val="20"/>
                <w:lang w:eastAsia="en-AU"/>
              </w:rPr>
            </w:pPr>
          </w:p>
        </w:tc>
        <w:tc>
          <w:tcPr>
            <w:tcW w:w="1304" w:type="dxa"/>
            <w:tcBorders>
              <w:left w:val="nil"/>
              <w:bottom w:val="nil"/>
              <w:right w:val="nil"/>
            </w:tcBorders>
            <w:shd w:val="clear" w:color="auto" w:fill="auto"/>
          </w:tcPr>
          <w:p w:rsidR="008C148C" w:rsidRPr="00175535" w:rsidRDefault="008C148C" w:rsidP="00175535">
            <w:pPr>
              <w:pStyle w:val="Financials"/>
              <w:ind w:left="-108"/>
              <w:jc w:val="right"/>
              <w:rPr>
                <w:rFonts w:cstheme="minorHAnsi"/>
                <w:sz w:val="20"/>
                <w:szCs w:val="20"/>
                <w:lang w:eastAsia="en-AU"/>
              </w:rPr>
            </w:pPr>
          </w:p>
        </w:tc>
        <w:tc>
          <w:tcPr>
            <w:tcW w:w="1304" w:type="dxa"/>
            <w:tcBorders>
              <w:left w:val="nil"/>
              <w:bottom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p>
        </w:tc>
        <w:tc>
          <w:tcPr>
            <w:tcW w:w="1362" w:type="dxa"/>
            <w:tcBorders>
              <w:left w:val="nil"/>
              <w:bottom w:val="nil"/>
              <w:right w:val="nil"/>
            </w:tcBorders>
            <w:vAlign w:val="center"/>
          </w:tcPr>
          <w:p w:rsidR="008C148C" w:rsidRPr="00175535" w:rsidRDefault="008C148C" w:rsidP="00175535">
            <w:pPr>
              <w:pStyle w:val="Financials"/>
              <w:ind w:left="-108"/>
              <w:jc w:val="right"/>
              <w:rPr>
                <w:rFonts w:cstheme="minorHAnsi"/>
                <w:sz w:val="20"/>
                <w:szCs w:val="20"/>
                <w:lang w:eastAsia="en-AU"/>
              </w:rPr>
            </w:pPr>
          </w:p>
        </w:tc>
      </w:tr>
      <w:tr w:rsidR="001E5AC1" w:rsidRPr="00175535" w:rsidTr="004442D4">
        <w:trPr>
          <w:trHeight w:val="255"/>
        </w:trPr>
        <w:tc>
          <w:tcPr>
            <w:tcW w:w="3828" w:type="dxa"/>
            <w:tcBorders>
              <w:top w:val="nil"/>
              <w:left w:val="nil"/>
              <w:bottom w:val="nil"/>
              <w:right w:val="nil"/>
            </w:tcBorders>
            <w:shd w:val="clear" w:color="auto" w:fill="auto"/>
            <w:vAlign w:val="center"/>
            <w:hideMark/>
          </w:tcPr>
          <w:p w:rsidR="008C148C" w:rsidRPr="00175535" w:rsidRDefault="008C148C" w:rsidP="00175535">
            <w:pPr>
              <w:pStyle w:val="Financials"/>
              <w:ind w:left="-108"/>
              <w:rPr>
                <w:rFonts w:cstheme="minorHAnsi"/>
                <w:sz w:val="20"/>
                <w:szCs w:val="20"/>
                <w:lang w:eastAsia="en-AU"/>
              </w:rPr>
            </w:pPr>
            <w:r w:rsidRPr="00175535">
              <w:rPr>
                <w:rFonts w:cstheme="minorHAnsi"/>
                <w:sz w:val="20"/>
                <w:szCs w:val="20"/>
                <w:lang w:eastAsia="en-AU"/>
              </w:rPr>
              <w:t>Employee benefits expense</w:t>
            </w:r>
          </w:p>
        </w:tc>
        <w:tc>
          <w:tcPr>
            <w:tcW w:w="1644" w:type="dxa"/>
            <w:tcBorders>
              <w:top w:val="nil"/>
              <w:left w:val="nil"/>
              <w:bottom w:val="nil"/>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7,314,221</w:t>
            </w:r>
          </w:p>
        </w:tc>
        <w:tc>
          <w:tcPr>
            <w:tcW w:w="1644" w:type="dxa"/>
            <w:tcBorders>
              <w:top w:val="nil"/>
              <w:left w:val="single" w:sz="4" w:space="0" w:color="FFFFFF" w:themeColor="background1"/>
              <w:bottom w:val="nil"/>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r w:rsidRPr="00175535">
              <w:rPr>
                <w:rFonts w:cstheme="minorHAnsi"/>
                <w:sz w:val="20"/>
                <w:szCs w:val="20"/>
                <w:lang w:eastAsia="en-AU"/>
              </w:rPr>
              <w:t>2,783,902</w:t>
            </w:r>
          </w:p>
        </w:tc>
        <w:tc>
          <w:tcPr>
            <w:tcW w:w="1644" w:type="dxa"/>
            <w:tcBorders>
              <w:top w:val="nil"/>
              <w:left w:val="nil"/>
              <w:bottom w:val="nil"/>
              <w:right w:val="nil"/>
            </w:tcBorders>
            <w:shd w:val="clear" w:color="auto" w:fill="FFFFFF" w:themeFill="background1"/>
            <w:vAlign w:val="center"/>
          </w:tcPr>
          <w:p w:rsidR="008C148C" w:rsidRPr="00175535" w:rsidRDefault="0074267C" w:rsidP="00175535">
            <w:pPr>
              <w:pStyle w:val="Financials"/>
              <w:ind w:left="-108"/>
              <w:jc w:val="right"/>
              <w:rPr>
                <w:rFonts w:cstheme="minorHAnsi"/>
                <w:sz w:val="20"/>
                <w:szCs w:val="20"/>
                <w:lang w:eastAsia="en-AU"/>
              </w:rPr>
            </w:pPr>
            <w:r>
              <w:rPr>
                <w:rFonts w:cstheme="minorHAnsi"/>
                <w:sz w:val="20"/>
                <w:szCs w:val="20"/>
                <w:lang w:eastAsia="en-AU"/>
              </w:rPr>
              <w:t>10,603,889</w:t>
            </w:r>
          </w:p>
        </w:tc>
        <w:tc>
          <w:tcPr>
            <w:tcW w:w="1304" w:type="dxa"/>
            <w:tcBorders>
              <w:top w:val="nil"/>
              <w:left w:val="nil"/>
              <w:bottom w:val="nil"/>
              <w:right w:val="nil"/>
            </w:tcBorders>
            <w:shd w:val="clear" w:color="auto" w:fill="E0DCCB" w:themeFill="accent4" w:themeFillTint="66"/>
            <w:vAlign w:val="center"/>
          </w:tcPr>
          <w:p w:rsidR="008C148C" w:rsidRPr="00175535" w:rsidRDefault="008C148C" w:rsidP="000E334B">
            <w:pPr>
              <w:pStyle w:val="Financials"/>
              <w:ind w:left="-108"/>
              <w:jc w:val="right"/>
              <w:rPr>
                <w:rFonts w:cstheme="minorHAnsi"/>
                <w:sz w:val="20"/>
                <w:szCs w:val="20"/>
                <w:lang w:eastAsia="en-AU"/>
              </w:rPr>
            </w:pPr>
            <w:r w:rsidRPr="00175535">
              <w:rPr>
                <w:rFonts w:cstheme="minorHAnsi"/>
                <w:sz w:val="20"/>
                <w:szCs w:val="20"/>
                <w:lang w:eastAsia="en-AU"/>
              </w:rPr>
              <w:t>1,53</w:t>
            </w:r>
            <w:r w:rsidR="000E334B">
              <w:rPr>
                <w:rFonts w:cstheme="minorHAnsi"/>
                <w:sz w:val="20"/>
                <w:szCs w:val="20"/>
                <w:lang w:eastAsia="en-AU"/>
              </w:rPr>
              <w:t>9</w:t>
            </w:r>
            <w:r w:rsidRPr="00175535">
              <w:rPr>
                <w:rFonts w:cstheme="minorHAnsi"/>
                <w:sz w:val="20"/>
                <w:szCs w:val="20"/>
                <w:lang w:eastAsia="en-AU"/>
              </w:rPr>
              <w:t>,754</w:t>
            </w:r>
          </w:p>
        </w:tc>
        <w:tc>
          <w:tcPr>
            <w:tcW w:w="1304" w:type="dxa"/>
            <w:tcBorders>
              <w:top w:val="nil"/>
              <w:left w:val="nil"/>
              <w:bottom w:val="nil"/>
              <w:right w:val="nil"/>
            </w:tcBorders>
            <w:shd w:val="clear" w:color="auto" w:fill="auto"/>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1,464,994</w:t>
            </w:r>
          </w:p>
        </w:tc>
        <w:tc>
          <w:tcPr>
            <w:tcW w:w="1304" w:type="dxa"/>
            <w:tcBorders>
              <w:top w:val="nil"/>
              <w:left w:val="nil"/>
              <w:bottom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11,637,877</w:t>
            </w:r>
          </w:p>
        </w:tc>
        <w:tc>
          <w:tcPr>
            <w:tcW w:w="1362" w:type="dxa"/>
            <w:tcBorders>
              <w:top w:val="nil"/>
              <w:left w:val="nil"/>
              <w:bottom w:val="nil"/>
              <w:right w:val="nil"/>
            </w:tcBorders>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12,068,882</w:t>
            </w:r>
          </w:p>
        </w:tc>
      </w:tr>
      <w:tr w:rsidR="001E5AC1" w:rsidRPr="00175535" w:rsidTr="004442D4">
        <w:trPr>
          <w:trHeight w:val="255"/>
        </w:trPr>
        <w:tc>
          <w:tcPr>
            <w:tcW w:w="3828" w:type="dxa"/>
            <w:tcBorders>
              <w:top w:val="nil"/>
              <w:left w:val="nil"/>
              <w:right w:val="nil"/>
            </w:tcBorders>
            <w:shd w:val="clear" w:color="auto" w:fill="auto"/>
            <w:vAlign w:val="center"/>
            <w:hideMark/>
          </w:tcPr>
          <w:p w:rsidR="008C148C" w:rsidRPr="00175535" w:rsidRDefault="008C148C" w:rsidP="00175535">
            <w:pPr>
              <w:pStyle w:val="Financials"/>
              <w:ind w:left="-108"/>
              <w:rPr>
                <w:rFonts w:cstheme="minorHAnsi"/>
                <w:sz w:val="20"/>
                <w:szCs w:val="20"/>
                <w:lang w:eastAsia="en-AU"/>
              </w:rPr>
            </w:pPr>
            <w:r w:rsidRPr="00175535">
              <w:rPr>
                <w:rFonts w:cstheme="minorHAnsi"/>
                <w:sz w:val="20"/>
                <w:szCs w:val="20"/>
                <w:lang w:eastAsia="en-AU"/>
              </w:rPr>
              <w:t>Supplies and services</w:t>
            </w:r>
          </w:p>
        </w:tc>
        <w:tc>
          <w:tcPr>
            <w:tcW w:w="1644" w:type="dxa"/>
            <w:tcBorders>
              <w:top w:val="nil"/>
              <w:left w:val="nil"/>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1,008,166</w:t>
            </w:r>
          </w:p>
        </w:tc>
        <w:tc>
          <w:tcPr>
            <w:tcW w:w="1644" w:type="dxa"/>
            <w:tcBorders>
              <w:top w:val="nil"/>
              <w:left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bCs/>
                <w:sz w:val="20"/>
                <w:szCs w:val="20"/>
                <w:lang w:eastAsia="en-AU"/>
              </w:rPr>
            </w:pPr>
            <w:r w:rsidRPr="00175535">
              <w:rPr>
                <w:rFonts w:cstheme="minorHAnsi"/>
                <w:sz w:val="20"/>
                <w:szCs w:val="20"/>
                <w:lang w:eastAsia="en-AU"/>
              </w:rPr>
              <w:t>368,369</w:t>
            </w:r>
          </w:p>
        </w:tc>
        <w:tc>
          <w:tcPr>
            <w:tcW w:w="1644" w:type="dxa"/>
            <w:tcBorders>
              <w:top w:val="nil"/>
              <w:left w:val="nil"/>
              <w:right w:val="nil"/>
            </w:tcBorders>
            <w:shd w:val="clear" w:color="auto" w:fill="FFFFFF" w:themeFill="background1"/>
            <w:vAlign w:val="center"/>
          </w:tcPr>
          <w:p w:rsidR="008C148C" w:rsidRPr="00175535" w:rsidRDefault="0074267C" w:rsidP="00175535">
            <w:pPr>
              <w:pStyle w:val="Financials"/>
              <w:ind w:left="-108"/>
              <w:jc w:val="right"/>
              <w:rPr>
                <w:rFonts w:cstheme="minorHAnsi"/>
                <w:bCs/>
                <w:sz w:val="20"/>
                <w:szCs w:val="20"/>
                <w:lang w:eastAsia="en-AU"/>
              </w:rPr>
            </w:pPr>
            <w:r>
              <w:rPr>
                <w:rFonts w:cstheme="minorHAnsi"/>
                <w:bCs/>
                <w:sz w:val="20"/>
                <w:szCs w:val="20"/>
                <w:lang w:eastAsia="en-AU"/>
              </w:rPr>
              <w:t>2,089,076</w:t>
            </w:r>
          </w:p>
        </w:tc>
        <w:tc>
          <w:tcPr>
            <w:tcW w:w="1304" w:type="dxa"/>
            <w:tcBorders>
              <w:top w:val="nil"/>
              <w:left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197,395</w:t>
            </w:r>
          </w:p>
        </w:tc>
        <w:tc>
          <w:tcPr>
            <w:tcW w:w="1304" w:type="dxa"/>
            <w:tcBorders>
              <w:top w:val="nil"/>
              <w:left w:val="nil"/>
              <w:right w:val="nil"/>
            </w:tcBorders>
            <w:shd w:val="clear" w:color="auto" w:fill="auto"/>
            <w:vAlign w:val="center"/>
          </w:tcPr>
          <w:p w:rsidR="008C148C" w:rsidRPr="00175535" w:rsidRDefault="000E334B" w:rsidP="00175535">
            <w:pPr>
              <w:pStyle w:val="Financials"/>
              <w:ind w:left="-108"/>
              <w:jc w:val="right"/>
              <w:rPr>
                <w:rFonts w:cstheme="minorHAnsi"/>
                <w:bCs/>
                <w:sz w:val="20"/>
                <w:szCs w:val="20"/>
                <w:lang w:eastAsia="en-AU"/>
              </w:rPr>
            </w:pPr>
            <w:r>
              <w:rPr>
                <w:rFonts w:cstheme="minorHAnsi"/>
                <w:sz w:val="20"/>
                <w:szCs w:val="20"/>
                <w:lang w:eastAsia="en-AU"/>
              </w:rPr>
              <w:t>273,757</w:t>
            </w:r>
          </w:p>
        </w:tc>
        <w:tc>
          <w:tcPr>
            <w:tcW w:w="1304" w:type="dxa"/>
            <w:tcBorders>
              <w:top w:val="nil"/>
              <w:left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bCs/>
                <w:sz w:val="20"/>
                <w:szCs w:val="20"/>
                <w:lang w:eastAsia="en-AU"/>
              </w:rPr>
            </w:pPr>
            <w:r w:rsidRPr="00175535">
              <w:rPr>
                <w:rFonts w:cstheme="minorHAnsi"/>
                <w:sz w:val="20"/>
                <w:szCs w:val="20"/>
                <w:lang w:eastAsia="en-AU"/>
              </w:rPr>
              <w:t>1,573,930</w:t>
            </w:r>
          </w:p>
        </w:tc>
        <w:tc>
          <w:tcPr>
            <w:tcW w:w="1362" w:type="dxa"/>
            <w:tcBorders>
              <w:top w:val="nil"/>
              <w:left w:val="nil"/>
              <w:right w:val="nil"/>
            </w:tcBorders>
            <w:vAlign w:val="center"/>
          </w:tcPr>
          <w:p w:rsidR="008C148C" w:rsidRPr="00175535" w:rsidRDefault="00136EDA" w:rsidP="00175535">
            <w:pPr>
              <w:pStyle w:val="Financials"/>
              <w:ind w:left="-108"/>
              <w:jc w:val="right"/>
              <w:rPr>
                <w:rFonts w:cstheme="minorHAnsi"/>
                <w:bCs/>
                <w:sz w:val="20"/>
                <w:szCs w:val="20"/>
                <w:lang w:eastAsia="en-AU"/>
              </w:rPr>
            </w:pPr>
            <w:r>
              <w:rPr>
                <w:rFonts w:cstheme="minorHAnsi"/>
                <w:sz w:val="20"/>
                <w:szCs w:val="20"/>
                <w:lang w:eastAsia="en-AU"/>
              </w:rPr>
              <w:t>2,362,833</w:t>
            </w:r>
          </w:p>
        </w:tc>
      </w:tr>
      <w:tr w:rsidR="001E5AC1" w:rsidRPr="00175535" w:rsidTr="004442D4">
        <w:trPr>
          <w:trHeight w:val="255"/>
        </w:trPr>
        <w:tc>
          <w:tcPr>
            <w:tcW w:w="3828" w:type="dxa"/>
            <w:tcBorders>
              <w:left w:val="nil"/>
              <w:right w:val="nil"/>
            </w:tcBorders>
            <w:shd w:val="clear" w:color="auto" w:fill="auto"/>
            <w:vAlign w:val="center"/>
          </w:tcPr>
          <w:p w:rsidR="008C148C" w:rsidRPr="00175535" w:rsidRDefault="008C148C" w:rsidP="00175535">
            <w:pPr>
              <w:pStyle w:val="Financials"/>
              <w:ind w:left="-108"/>
              <w:rPr>
                <w:rFonts w:cstheme="minorHAnsi"/>
                <w:sz w:val="20"/>
                <w:szCs w:val="20"/>
                <w:lang w:eastAsia="en-AU"/>
              </w:rPr>
            </w:pPr>
            <w:r w:rsidRPr="00175535">
              <w:rPr>
                <w:rFonts w:cstheme="minorHAnsi"/>
                <w:sz w:val="20"/>
                <w:szCs w:val="20"/>
                <w:lang w:eastAsia="en-AU"/>
              </w:rPr>
              <w:t>Accommodation</w:t>
            </w:r>
          </w:p>
        </w:tc>
        <w:tc>
          <w:tcPr>
            <w:tcW w:w="1644" w:type="dxa"/>
            <w:tcBorders>
              <w:left w:val="nil"/>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528,702</w:t>
            </w:r>
          </w:p>
        </w:tc>
        <w:tc>
          <w:tcPr>
            <w:tcW w:w="1644" w:type="dxa"/>
            <w:tcBorders>
              <w:left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r w:rsidRPr="00175535">
              <w:rPr>
                <w:rFonts w:cstheme="minorHAnsi"/>
                <w:sz w:val="20"/>
                <w:szCs w:val="20"/>
                <w:lang w:eastAsia="en-AU"/>
              </w:rPr>
              <w:t>190,002</w:t>
            </w:r>
          </w:p>
        </w:tc>
        <w:tc>
          <w:tcPr>
            <w:tcW w:w="1644" w:type="dxa"/>
            <w:tcBorders>
              <w:left w:val="nil"/>
              <w:right w:val="nil"/>
            </w:tcBorders>
            <w:shd w:val="clear" w:color="auto" w:fill="FFFFFF" w:themeFill="background1"/>
            <w:vAlign w:val="center"/>
          </w:tcPr>
          <w:p w:rsidR="008C148C" w:rsidRPr="00175535" w:rsidRDefault="0074267C" w:rsidP="00175535">
            <w:pPr>
              <w:pStyle w:val="Financials"/>
              <w:ind w:left="-108"/>
              <w:jc w:val="right"/>
              <w:rPr>
                <w:rFonts w:cstheme="minorHAnsi"/>
                <w:sz w:val="20"/>
                <w:szCs w:val="20"/>
                <w:lang w:eastAsia="en-AU"/>
              </w:rPr>
            </w:pPr>
            <w:r>
              <w:rPr>
                <w:rFonts w:cstheme="minorHAnsi"/>
                <w:sz w:val="20"/>
                <w:szCs w:val="20"/>
                <w:lang w:eastAsia="en-AU"/>
              </w:rPr>
              <w:t>738,995</w:t>
            </w:r>
          </w:p>
        </w:tc>
        <w:tc>
          <w:tcPr>
            <w:tcW w:w="1304" w:type="dxa"/>
            <w:tcBorders>
              <w:left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107,393</w:t>
            </w:r>
          </w:p>
        </w:tc>
        <w:tc>
          <w:tcPr>
            <w:tcW w:w="1304" w:type="dxa"/>
            <w:tcBorders>
              <w:left w:val="nil"/>
              <w:right w:val="nil"/>
            </w:tcBorders>
            <w:shd w:val="clear" w:color="auto" w:fill="auto"/>
            <w:vAlign w:val="center"/>
          </w:tcPr>
          <w:p w:rsidR="008C148C" w:rsidRPr="00175535" w:rsidRDefault="000E334B" w:rsidP="00175535">
            <w:pPr>
              <w:pStyle w:val="Financials"/>
              <w:ind w:left="-108"/>
              <w:jc w:val="right"/>
              <w:rPr>
                <w:rFonts w:cstheme="minorHAnsi"/>
                <w:sz w:val="20"/>
                <w:szCs w:val="20"/>
                <w:lang w:eastAsia="en-AU"/>
              </w:rPr>
            </w:pPr>
            <w:r>
              <w:rPr>
                <w:rFonts w:cstheme="minorHAnsi"/>
                <w:sz w:val="20"/>
                <w:szCs w:val="20"/>
                <w:lang w:eastAsia="en-AU"/>
              </w:rPr>
              <w:t>110,425</w:t>
            </w:r>
          </w:p>
        </w:tc>
        <w:tc>
          <w:tcPr>
            <w:tcW w:w="1304" w:type="dxa"/>
            <w:tcBorders>
              <w:left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826,097</w:t>
            </w:r>
          </w:p>
        </w:tc>
        <w:tc>
          <w:tcPr>
            <w:tcW w:w="1362" w:type="dxa"/>
            <w:tcBorders>
              <w:left w:val="nil"/>
              <w:right w:val="nil"/>
            </w:tcBorders>
            <w:vAlign w:val="center"/>
          </w:tcPr>
          <w:p w:rsidR="008C148C" w:rsidRPr="00175535" w:rsidRDefault="00136EDA" w:rsidP="00175535">
            <w:pPr>
              <w:pStyle w:val="Financials"/>
              <w:ind w:left="-108"/>
              <w:jc w:val="right"/>
              <w:rPr>
                <w:rFonts w:cstheme="minorHAnsi"/>
                <w:sz w:val="20"/>
                <w:szCs w:val="20"/>
                <w:lang w:eastAsia="en-AU"/>
              </w:rPr>
            </w:pPr>
            <w:r>
              <w:rPr>
                <w:rFonts w:cstheme="minorHAnsi"/>
                <w:sz w:val="20"/>
                <w:szCs w:val="20"/>
                <w:lang w:eastAsia="en-AU"/>
              </w:rPr>
              <w:t>849,420</w:t>
            </w:r>
          </w:p>
        </w:tc>
      </w:tr>
      <w:tr w:rsidR="001E5AC1" w:rsidRPr="00175535" w:rsidTr="004442D4">
        <w:trPr>
          <w:trHeight w:val="255"/>
        </w:trPr>
        <w:tc>
          <w:tcPr>
            <w:tcW w:w="3828" w:type="dxa"/>
            <w:tcBorders>
              <w:left w:val="nil"/>
              <w:right w:val="nil"/>
            </w:tcBorders>
            <w:shd w:val="clear" w:color="auto" w:fill="auto"/>
            <w:vAlign w:val="center"/>
            <w:hideMark/>
          </w:tcPr>
          <w:p w:rsidR="008C148C" w:rsidRPr="00175535" w:rsidRDefault="008C148C" w:rsidP="00175535">
            <w:pPr>
              <w:pStyle w:val="Financials"/>
              <w:ind w:left="-108"/>
              <w:rPr>
                <w:rFonts w:cstheme="minorHAnsi"/>
                <w:sz w:val="20"/>
                <w:szCs w:val="20"/>
                <w:lang w:eastAsia="en-AU"/>
              </w:rPr>
            </w:pPr>
            <w:r w:rsidRPr="00175535">
              <w:rPr>
                <w:rFonts w:cstheme="minorHAnsi"/>
                <w:sz w:val="20"/>
                <w:szCs w:val="20"/>
                <w:lang w:eastAsia="en-AU"/>
              </w:rPr>
              <w:t>Depreciation and amortisation expense</w:t>
            </w:r>
          </w:p>
        </w:tc>
        <w:tc>
          <w:tcPr>
            <w:tcW w:w="1644" w:type="dxa"/>
            <w:tcBorders>
              <w:left w:val="nil"/>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126,285</w:t>
            </w:r>
          </w:p>
        </w:tc>
        <w:tc>
          <w:tcPr>
            <w:tcW w:w="1644" w:type="dxa"/>
            <w:tcBorders>
              <w:left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b/>
                <w:bCs/>
                <w:sz w:val="20"/>
                <w:szCs w:val="20"/>
                <w:lang w:eastAsia="en-AU"/>
              </w:rPr>
            </w:pPr>
            <w:r w:rsidRPr="00175535">
              <w:rPr>
                <w:rFonts w:cstheme="minorHAnsi"/>
                <w:sz w:val="20"/>
                <w:szCs w:val="20"/>
                <w:lang w:eastAsia="en-AU"/>
              </w:rPr>
              <w:t>45,384</w:t>
            </w:r>
          </w:p>
        </w:tc>
        <w:tc>
          <w:tcPr>
            <w:tcW w:w="1644" w:type="dxa"/>
            <w:tcBorders>
              <w:left w:val="nil"/>
              <w:right w:val="nil"/>
            </w:tcBorders>
            <w:shd w:val="clear" w:color="auto" w:fill="FFFFFF" w:themeFill="background1"/>
            <w:vAlign w:val="center"/>
          </w:tcPr>
          <w:p w:rsidR="008C148C" w:rsidRPr="0074267C" w:rsidRDefault="0074267C" w:rsidP="00175535">
            <w:pPr>
              <w:pStyle w:val="Financials"/>
              <w:ind w:left="-108"/>
              <w:jc w:val="right"/>
              <w:rPr>
                <w:rFonts w:cstheme="minorHAnsi"/>
                <w:bCs/>
                <w:sz w:val="20"/>
                <w:szCs w:val="20"/>
                <w:lang w:eastAsia="en-AU"/>
              </w:rPr>
            </w:pPr>
            <w:r w:rsidRPr="0074267C">
              <w:rPr>
                <w:rFonts w:cstheme="minorHAnsi"/>
                <w:bCs/>
                <w:sz w:val="20"/>
                <w:szCs w:val="20"/>
                <w:lang w:eastAsia="en-AU"/>
              </w:rPr>
              <w:t>175,778</w:t>
            </w:r>
          </w:p>
        </w:tc>
        <w:tc>
          <w:tcPr>
            <w:tcW w:w="1304" w:type="dxa"/>
            <w:tcBorders>
              <w:left w:val="nil"/>
              <w:right w:val="nil"/>
            </w:tcBorders>
            <w:shd w:val="clear" w:color="auto" w:fill="E0DCCB" w:themeFill="accent4" w:themeFillTint="66"/>
            <w:vAlign w:val="center"/>
          </w:tcPr>
          <w:p w:rsidR="008C148C" w:rsidRPr="0074267C" w:rsidRDefault="008C148C" w:rsidP="00175535">
            <w:pPr>
              <w:pStyle w:val="Financials"/>
              <w:ind w:left="-108"/>
              <w:jc w:val="right"/>
              <w:rPr>
                <w:rFonts w:cstheme="minorHAnsi"/>
                <w:sz w:val="20"/>
                <w:szCs w:val="20"/>
                <w:lang w:eastAsia="en-AU"/>
              </w:rPr>
            </w:pPr>
            <w:r w:rsidRPr="0074267C">
              <w:rPr>
                <w:rFonts w:cstheme="minorHAnsi"/>
                <w:sz w:val="20"/>
                <w:szCs w:val="20"/>
                <w:lang w:eastAsia="en-AU"/>
              </w:rPr>
              <w:t>25,652</w:t>
            </w:r>
          </w:p>
        </w:tc>
        <w:tc>
          <w:tcPr>
            <w:tcW w:w="1304" w:type="dxa"/>
            <w:tcBorders>
              <w:left w:val="nil"/>
              <w:right w:val="nil"/>
            </w:tcBorders>
            <w:shd w:val="clear" w:color="auto" w:fill="auto"/>
            <w:vAlign w:val="center"/>
          </w:tcPr>
          <w:p w:rsidR="008C148C" w:rsidRPr="00175535" w:rsidRDefault="008C148C" w:rsidP="00175535">
            <w:pPr>
              <w:pStyle w:val="Financials"/>
              <w:ind w:left="-108"/>
              <w:jc w:val="right"/>
              <w:rPr>
                <w:rFonts w:cstheme="minorHAnsi"/>
                <w:b/>
                <w:bCs/>
                <w:sz w:val="20"/>
                <w:szCs w:val="20"/>
                <w:lang w:eastAsia="en-AU"/>
              </w:rPr>
            </w:pPr>
            <w:r w:rsidRPr="00175535">
              <w:rPr>
                <w:rFonts w:cstheme="minorHAnsi"/>
                <w:sz w:val="20"/>
                <w:szCs w:val="20"/>
                <w:lang w:eastAsia="en-AU"/>
              </w:rPr>
              <w:t>26,266</w:t>
            </w:r>
          </w:p>
        </w:tc>
        <w:tc>
          <w:tcPr>
            <w:tcW w:w="1304" w:type="dxa"/>
            <w:tcBorders>
              <w:left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b/>
                <w:bCs/>
                <w:sz w:val="20"/>
                <w:szCs w:val="20"/>
                <w:lang w:eastAsia="en-AU"/>
              </w:rPr>
            </w:pPr>
            <w:r w:rsidRPr="00175535">
              <w:rPr>
                <w:rFonts w:cstheme="minorHAnsi"/>
                <w:sz w:val="20"/>
                <w:szCs w:val="20"/>
                <w:lang w:eastAsia="en-AU"/>
              </w:rPr>
              <w:t>197,321</w:t>
            </w:r>
          </w:p>
        </w:tc>
        <w:tc>
          <w:tcPr>
            <w:tcW w:w="1362" w:type="dxa"/>
            <w:tcBorders>
              <w:left w:val="nil"/>
              <w:right w:val="nil"/>
            </w:tcBorders>
            <w:vAlign w:val="center"/>
          </w:tcPr>
          <w:p w:rsidR="008C148C" w:rsidRPr="00175535" w:rsidRDefault="008C148C" w:rsidP="00175535">
            <w:pPr>
              <w:pStyle w:val="Financials"/>
              <w:ind w:left="-108"/>
              <w:jc w:val="right"/>
              <w:rPr>
                <w:rFonts w:cstheme="minorHAnsi"/>
                <w:b/>
                <w:bCs/>
                <w:sz w:val="20"/>
                <w:szCs w:val="20"/>
                <w:lang w:eastAsia="en-AU"/>
              </w:rPr>
            </w:pPr>
            <w:r w:rsidRPr="00175535">
              <w:rPr>
                <w:rFonts w:cstheme="minorHAnsi"/>
                <w:sz w:val="20"/>
                <w:szCs w:val="20"/>
                <w:lang w:eastAsia="en-AU"/>
              </w:rPr>
              <w:t>202,044</w:t>
            </w:r>
          </w:p>
        </w:tc>
      </w:tr>
      <w:tr w:rsidR="001E5AC1" w:rsidRPr="00175535" w:rsidTr="004442D4">
        <w:trPr>
          <w:trHeight w:val="270"/>
        </w:trPr>
        <w:tc>
          <w:tcPr>
            <w:tcW w:w="3828" w:type="dxa"/>
            <w:tcBorders>
              <w:left w:val="nil"/>
              <w:right w:val="nil"/>
            </w:tcBorders>
            <w:shd w:val="clear" w:color="auto" w:fill="auto"/>
            <w:vAlign w:val="center"/>
          </w:tcPr>
          <w:p w:rsidR="008C148C" w:rsidRPr="00175535" w:rsidRDefault="008C148C" w:rsidP="00175535">
            <w:pPr>
              <w:pStyle w:val="Financials"/>
              <w:ind w:left="-108"/>
              <w:rPr>
                <w:rFonts w:cstheme="minorHAnsi"/>
                <w:sz w:val="20"/>
                <w:szCs w:val="20"/>
                <w:lang w:eastAsia="en-AU"/>
              </w:rPr>
            </w:pPr>
            <w:r w:rsidRPr="00175535">
              <w:rPr>
                <w:rFonts w:cstheme="minorHAnsi"/>
                <w:sz w:val="20"/>
                <w:szCs w:val="20"/>
                <w:lang w:eastAsia="en-AU"/>
              </w:rPr>
              <w:t>Grants and subsidies</w:t>
            </w:r>
          </w:p>
        </w:tc>
        <w:tc>
          <w:tcPr>
            <w:tcW w:w="1644" w:type="dxa"/>
            <w:tcBorders>
              <w:left w:val="nil"/>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w:t>
            </w:r>
          </w:p>
        </w:tc>
        <w:tc>
          <w:tcPr>
            <w:tcW w:w="1644" w:type="dxa"/>
            <w:tcBorders>
              <w:left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r w:rsidRPr="00175535">
              <w:rPr>
                <w:rFonts w:cstheme="minorHAnsi"/>
                <w:sz w:val="20"/>
                <w:szCs w:val="20"/>
                <w:lang w:eastAsia="en-AU"/>
              </w:rPr>
              <w:t>-</w:t>
            </w:r>
          </w:p>
        </w:tc>
        <w:tc>
          <w:tcPr>
            <w:tcW w:w="1644" w:type="dxa"/>
            <w:tcBorders>
              <w:left w:val="nil"/>
              <w:right w:val="nil"/>
            </w:tcBorders>
            <w:shd w:val="clear" w:color="auto" w:fill="FFFFFF" w:themeFill="background1"/>
            <w:vAlign w:val="center"/>
          </w:tcPr>
          <w:p w:rsidR="008C148C" w:rsidRPr="0074267C" w:rsidRDefault="003E7B66" w:rsidP="00175535">
            <w:pPr>
              <w:pStyle w:val="Financials"/>
              <w:ind w:left="-108"/>
              <w:jc w:val="right"/>
              <w:rPr>
                <w:rFonts w:cstheme="minorHAnsi"/>
                <w:sz w:val="20"/>
                <w:szCs w:val="20"/>
                <w:lang w:eastAsia="en-AU"/>
              </w:rPr>
            </w:pPr>
            <w:r>
              <w:rPr>
                <w:rFonts w:cstheme="minorHAnsi"/>
                <w:sz w:val="20"/>
                <w:szCs w:val="20"/>
                <w:lang w:eastAsia="en-AU"/>
              </w:rPr>
              <w:t>109,000</w:t>
            </w:r>
          </w:p>
        </w:tc>
        <w:tc>
          <w:tcPr>
            <w:tcW w:w="1304" w:type="dxa"/>
            <w:tcBorders>
              <w:left w:val="nil"/>
              <w:right w:val="nil"/>
            </w:tcBorders>
            <w:shd w:val="clear" w:color="auto" w:fill="E0DCCB" w:themeFill="accent4" w:themeFillTint="66"/>
            <w:vAlign w:val="center"/>
          </w:tcPr>
          <w:p w:rsidR="008C148C" w:rsidRPr="0074267C" w:rsidRDefault="008C148C" w:rsidP="00175535">
            <w:pPr>
              <w:pStyle w:val="Financials"/>
              <w:ind w:left="-108"/>
              <w:jc w:val="right"/>
              <w:rPr>
                <w:rFonts w:cstheme="minorHAnsi"/>
                <w:sz w:val="20"/>
                <w:szCs w:val="20"/>
                <w:lang w:eastAsia="en-AU"/>
              </w:rPr>
            </w:pPr>
            <w:r w:rsidRPr="0074267C">
              <w:rPr>
                <w:rFonts w:cstheme="minorHAnsi"/>
                <w:sz w:val="20"/>
                <w:szCs w:val="20"/>
                <w:lang w:eastAsia="en-AU"/>
              </w:rPr>
              <w:t>-</w:t>
            </w:r>
          </w:p>
        </w:tc>
        <w:tc>
          <w:tcPr>
            <w:tcW w:w="1304" w:type="dxa"/>
            <w:tcBorders>
              <w:left w:val="nil"/>
              <w:right w:val="nil"/>
            </w:tcBorders>
            <w:shd w:val="clear" w:color="auto" w:fill="auto"/>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1,000</w:t>
            </w:r>
          </w:p>
        </w:tc>
        <w:tc>
          <w:tcPr>
            <w:tcW w:w="1304" w:type="dxa"/>
            <w:tcBorders>
              <w:left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w:t>
            </w:r>
          </w:p>
        </w:tc>
        <w:tc>
          <w:tcPr>
            <w:tcW w:w="1362" w:type="dxa"/>
            <w:tcBorders>
              <w:left w:val="nil"/>
              <w:right w:val="nil"/>
            </w:tcBorders>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110,000</w:t>
            </w:r>
          </w:p>
        </w:tc>
      </w:tr>
      <w:tr w:rsidR="0016305F" w:rsidRPr="00175535" w:rsidTr="004442D4">
        <w:trPr>
          <w:trHeight w:val="270"/>
        </w:trPr>
        <w:tc>
          <w:tcPr>
            <w:tcW w:w="3828" w:type="dxa"/>
            <w:tcBorders>
              <w:left w:val="nil"/>
              <w:bottom w:val="single" w:sz="4" w:space="0" w:color="E0DCCB" w:themeColor="accent4" w:themeTint="66"/>
              <w:right w:val="nil"/>
            </w:tcBorders>
            <w:shd w:val="clear" w:color="auto" w:fill="auto"/>
            <w:vAlign w:val="center"/>
            <w:hideMark/>
          </w:tcPr>
          <w:p w:rsidR="008C148C" w:rsidRPr="00175535" w:rsidRDefault="008C148C" w:rsidP="00175535">
            <w:pPr>
              <w:pStyle w:val="Financials"/>
              <w:ind w:left="-108"/>
              <w:rPr>
                <w:rFonts w:cstheme="minorHAnsi"/>
                <w:sz w:val="20"/>
                <w:szCs w:val="20"/>
                <w:lang w:eastAsia="en-AU"/>
              </w:rPr>
            </w:pPr>
            <w:r w:rsidRPr="00175535">
              <w:rPr>
                <w:rFonts w:cstheme="minorHAnsi"/>
                <w:sz w:val="20"/>
                <w:szCs w:val="20"/>
                <w:lang w:eastAsia="en-AU"/>
              </w:rPr>
              <w:t xml:space="preserve">Other expenses </w:t>
            </w:r>
          </w:p>
        </w:tc>
        <w:tc>
          <w:tcPr>
            <w:tcW w:w="1644" w:type="dxa"/>
            <w:tcBorders>
              <w:left w:val="nil"/>
              <w:bottom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200,491</w:t>
            </w:r>
          </w:p>
        </w:tc>
        <w:tc>
          <w:tcPr>
            <w:tcW w:w="1644" w:type="dxa"/>
            <w:tcBorders>
              <w:left w:val="single" w:sz="4" w:space="0" w:color="FFFFFF" w:themeColor="background1"/>
              <w:bottom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highlight w:val="yellow"/>
                <w:lang w:eastAsia="en-AU"/>
              </w:rPr>
            </w:pPr>
            <w:r w:rsidRPr="00175535">
              <w:rPr>
                <w:rFonts w:cstheme="minorHAnsi"/>
                <w:sz w:val="20"/>
                <w:szCs w:val="20"/>
                <w:lang w:eastAsia="en-AU"/>
              </w:rPr>
              <w:t>83,323</w:t>
            </w:r>
          </w:p>
        </w:tc>
        <w:tc>
          <w:tcPr>
            <w:tcW w:w="1644" w:type="dxa"/>
            <w:tcBorders>
              <w:left w:val="nil"/>
              <w:bottom w:val="single" w:sz="4" w:space="0" w:color="E0DCCB" w:themeColor="accent4" w:themeTint="66"/>
              <w:right w:val="nil"/>
            </w:tcBorders>
            <w:shd w:val="clear" w:color="auto" w:fill="FFFFFF" w:themeFill="background1"/>
            <w:vAlign w:val="center"/>
          </w:tcPr>
          <w:p w:rsidR="008C148C" w:rsidRPr="003E7B66" w:rsidRDefault="003E7B66" w:rsidP="00175535">
            <w:pPr>
              <w:pStyle w:val="Financials"/>
              <w:ind w:left="-108"/>
              <w:jc w:val="right"/>
              <w:rPr>
                <w:rFonts w:cstheme="minorHAnsi"/>
                <w:sz w:val="20"/>
                <w:szCs w:val="20"/>
                <w:lang w:eastAsia="en-AU"/>
              </w:rPr>
            </w:pPr>
            <w:r w:rsidRPr="003E7B66">
              <w:rPr>
                <w:rFonts w:cstheme="minorHAnsi"/>
                <w:sz w:val="20"/>
                <w:szCs w:val="20"/>
                <w:lang w:eastAsia="en-AU"/>
              </w:rPr>
              <w:t>394,568</w:t>
            </w:r>
          </w:p>
        </w:tc>
        <w:tc>
          <w:tcPr>
            <w:tcW w:w="1304" w:type="dxa"/>
            <w:tcBorders>
              <w:left w:val="nil"/>
              <w:bottom w:val="single" w:sz="4" w:space="0" w:color="FFFFFF" w:themeColor="background1"/>
              <w:right w:val="nil"/>
            </w:tcBorders>
            <w:shd w:val="clear" w:color="auto" w:fill="E0DCCB" w:themeFill="accent4" w:themeFillTint="66"/>
            <w:vAlign w:val="center"/>
          </w:tcPr>
          <w:p w:rsidR="008C148C" w:rsidRPr="0074267C" w:rsidRDefault="008C148C" w:rsidP="00175535">
            <w:pPr>
              <w:pStyle w:val="Financials"/>
              <w:ind w:left="-108"/>
              <w:jc w:val="right"/>
              <w:rPr>
                <w:rFonts w:cstheme="minorHAnsi"/>
                <w:sz w:val="20"/>
                <w:szCs w:val="20"/>
                <w:lang w:eastAsia="en-AU"/>
              </w:rPr>
            </w:pPr>
            <w:r w:rsidRPr="0074267C">
              <w:rPr>
                <w:rFonts w:cstheme="minorHAnsi"/>
                <w:sz w:val="20"/>
                <w:szCs w:val="20"/>
                <w:lang w:eastAsia="en-AU"/>
              </w:rPr>
              <w:t>41,385</w:t>
            </w:r>
          </w:p>
        </w:tc>
        <w:tc>
          <w:tcPr>
            <w:tcW w:w="1304" w:type="dxa"/>
            <w:tcBorders>
              <w:left w:val="nil"/>
              <w:bottom w:val="single" w:sz="6" w:space="0" w:color="E0DCCB" w:themeColor="accent4" w:themeTint="66"/>
              <w:right w:val="nil"/>
            </w:tcBorders>
            <w:shd w:val="clear" w:color="auto" w:fill="auto"/>
            <w:vAlign w:val="center"/>
          </w:tcPr>
          <w:p w:rsidR="008C148C" w:rsidRPr="00175535" w:rsidRDefault="008C148C" w:rsidP="00175535">
            <w:pPr>
              <w:pStyle w:val="Financials"/>
              <w:ind w:left="-108"/>
              <w:jc w:val="right"/>
              <w:rPr>
                <w:rFonts w:cstheme="minorHAnsi"/>
                <w:sz w:val="20"/>
                <w:szCs w:val="20"/>
                <w:highlight w:val="yellow"/>
                <w:lang w:eastAsia="en-AU"/>
              </w:rPr>
            </w:pPr>
            <w:r w:rsidRPr="00175535">
              <w:rPr>
                <w:rFonts w:cstheme="minorHAnsi"/>
                <w:sz w:val="20"/>
                <w:szCs w:val="20"/>
                <w:lang w:eastAsia="en-AU"/>
              </w:rPr>
              <w:t>55,450</w:t>
            </w:r>
          </w:p>
        </w:tc>
        <w:tc>
          <w:tcPr>
            <w:tcW w:w="1304" w:type="dxa"/>
            <w:tcBorders>
              <w:left w:val="nil"/>
              <w:bottom w:val="single" w:sz="4" w:space="0" w:color="FFFFFF" w:themeColor="background1"/>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highlight w:val="yellow"/>
                <w:lang w:eastAsia="en-AU"/>
              </w:rPr>
            </w:pPr>
            <w:r w:rsidRPr="00175535">
              <w:rPr>
                <w:rFonts w:cstheme="minorHAnsi"/>
                <w:sz w:val="20"/>
                <w:szCs w:val="20"/>
                <w:lang w:eastAsia="en-AU"/>
              </w:rPr>
              <w:t>325,199</w:t>
            </w:r>
          </w:p>
        </w:tc>
        <w:tc>
          <w:tcPr>
            <w:tcW w:w="1362" w:type="dxa"/>
            <w:tcBorders>
              <w:left w:val="nil"/>
              <w:bottom w:val="single" w:sz="4" w:space="0" w:color="E0DCCB" w:themeColor="accent4" w:themeTint="66"/>
              <w:right w:val="nil"/>
            </w:tcBorders>
            <w:vAlign w:val="center"/>
          </w:tcPr>
          <w:p w:rsidR="008C148C" w:rsidRPr="00175535" w:rsidRDefault="008C148C" w:rsidP="00175535">
            <w:pPr>
              <w:pStyle w:val="Financials"/>
              <w:ind w:left="-108"/>
              <w:jc w:val="right"/>
              <w:rPr>
                <w:rFonts w:cstheme="minorHAnsi"/>
                <w:sz w:val="20"/>
                <w:szCs w:val="20"/>
                <w:highlight w:val="yellow"/>
                <w:lang w:eastAsia="en-AU"/>
              </w:rPr>
            </w:pPr>
            <w:r w:rsidRPr="00175535">
              <w:rPr>
                <w:rFonts w:cstheme="minorHAnsi"/>
                <w:sz w:val="20"/>
                <w:szCs w:val="20"/>
                <w:lang w:eastAsia="en-AU"/>
              </w:rPr>
              <w:t>450,018</w:t>
            </w:r>
          </w:p>
        </w:tc>
      </w:tr>
      <w:tr w:rsidR="0016305F" w:rsidRPr="00175535" w:rsidTr="004442D4">
        <w:trPr>
          <w:trHeight w:val="270"/>
        </w:trPr>
        <w:tc>
          <w:tcPr>
            <w:tcW w:w="3828"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C148C" w:rsidRPr="00175535" w:rsidRDefault="008C148C" w:rsidP="00175535">
            <w:pPr>
              <w:pStyle w:val="Financials"/>
              <w:ind w:left="-108"/>
              <w:rPr>
                <w:rFonts w:cstheme="minorHAnsi"/>
                <w:b/>
                <w:bCs/>
                <w:sz w:val="20"/>
                <w:szCs w:val="20"/>
                <w:lang w:eastAsia="en-AU"/>
              </w:rPr>
            </w:pPr>
            <w:r w:rsidRPr="00175535">
              <w:rPr>
                <w:rFonts w:cstheme="minorHAnsi"/>
                <w:b/>
                <w:bCs/>
                <w:sz w:val="20"/>
                <w:szCs w:val="20"/>
                <w:lang w:eastAsia="en-AU"/>
              </w:rPr>
              <w:t>Total cost of services</w:t>
            </w:r>
          </w:p>
        </w:tc>
        <w:tc>
          <w:tcPr>
            <w:tcW w:w="1644" w:type="dxa"/>
            <w:tcBorders>
              <w:top w:val="single" w:sz="4" w:space="0" w:color="FFFFFF" w:themeColor="background1"/>
              <w:left w:val="nil"/>
              <w:bottom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9,177,865</w:t>
            </w:r>
            <w:r w:rsidRPr="00175535">
              <w:rPr>
                <w:rFonts w:cstheme="minorHAnsi"/>
                <w:b/>
                <w:bCs/>
                <w:sz w:val="20"/>
                <w:szCs w:val="20"/>
                <w:lang w:eastAsia="en-AU"/>
              </w:rPr>
              <w:fldChar w:fldCharType="end"/>
            </w:r>
          </w:p>
        </w:tc>
        <w:tc>
          <w:tcPr>
            <w:tcW w:w="1644" w:type="dxa"/>
            <w:tcBorders>
              <w:top w:val="single" w:sz="4" w:space="0" w:color="FFFFFF" w:themeColor="background1"/>
              <w:left w:val="single" w:sz="4" w:space="0" w:color="FFFFFF" w:themeColor="background1"/>
              <w:bottom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b/>
                <w:bCs/>
                <w:sz w:val="20"/>
                <w:szCs w:val="20"/>
                <w:highlight w:val="yellow"/>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3,470,980</w:t>
            </w:r>
            <w:r w:rsidRPr="00175535">
              <w:rPr>
                <w:rFonts w:cstheme="minorHAnsi"/>
                <w:b/>
                <w:bCs/>
                <w:sz w:val="20"/>
                <w:szCs w:val="20"/>
                <w:lang w:eastAsia="en-AU"/>
              </w:rPr>
              <w:fldChar w:fldCharType="end"/>
            </w:r>
          </w:p>
        </w:tc>
        <w:tc>
          <w:tcPr>
            <w:tcW w:w="1644" w:type="dxa"/>
            <w:tcBorders>
              <w:top w:val="single" w:sz="4" w:space="0" w:color="E0DCCB" w:themeColor="accent4" w:themeTint="66"/>
              <w:left w:val="nil"/>
              <w:bottom w:val="single" w:sz="4" w:space="0" w:color="E0DCCB" w:themeColor="accent4" w:themeTint="66"/>
              <w:right w:val="nil"/>
            </w:tcBorders>
            <w:shd w:val="clear" w:color="auto" w:fill="FFFFFF" w:themeFill="background1"/>
            <w:vAlign w:val="center"/>
          </w:tcPr>
          <w:p w:rsidR="008C148C" w:rsidRPr="003E7B66" w:rsidRDefault="001D32CC" w:rsidP="00175535">
            <w:pPr>
              <w:pStyle w:val="Financials"/>
              <w:ind w:left="-108"/>
              <w:jc w:val="right"/>
              <w:rPr>
                <w:rFonts w:cstheme="minorHAnsi"/>
                <w:b/>
                <w:bCs/>
                <w:sz w:val="20"/>
                <w:szCs w:val="20"/>
                <w:lang w:eastAsia="en-AU"/>
              </w:rPr>
            </w:pPr>
            <w:r>
              <w:rPr>
                <w:rFonts w:cstheme="minorHAnsi"/>
                <w:b/>
                <w:bCs/>
                <w:sz w:val="20"/>
                <w:szCs w:val="20"/>
                <w:lang w:eastAsia="en-AU"/>
              </w:rPr>
              <w:t>14,111,305</w:t>
            </w:r>
          </w:p>
        </w:tc>
        <w:tc>
          <w:tcPr>
            <w:tcW w:w="130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b/>
                <w:bCs/>
                <w:sz w:val="20"/>
                <w:szCs w:val="20"/>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1,911,579</w:t>
            </w:r>
            <w:r w:rsidRPr="00175535">
              <w:rPr>
                <w:rFonts w:cstheme="minorHAnsi"/>
                <w:b/>
                <w:bCs/>
                <w:sz w:val="20"/>
                <w:szCs w:val="20"/>
                <w:lang w:eastAsia="en-AU"/>
              </w:rPr>
              <w:fldChar w:fldCharType="end"/>
            </w:r>
          </w:p>
        </w:tc>
        <w:tc>
          <w:tcPr>
            <w:tcW w:w="1304" w:type="dxa"/>
            <w:tcBorders>
              <w:top w:val="single" w:sz="6" w:space="0" w:color="E0DCCB" w:themeColor="accent4" w:themeTint="66"/>
              <w:left w:val="nil"/>
              <w:bottom w:val="single" w:sz="6" w:space="0" w:color="E0DCCB" w:themeColor="accent4" w:themeTint="66"/>
              <w:right w:val="nil"/>
            </w:tcBorders>
            <w:shd w:val="clear" w:color="auto" w:fill="auto"/>
            <w:vAlign w:val="center"/>
          </w:tcPr>
          <w:p w:rsidR="008C148C" w:rsidRPr="00175535" w:rsidRDefault="008C148C" w:rsidP="00175535">
            <w:pPr>
              <w:pStyle w:val="Financials"/>
              <w:ind w:left="-108"/>
              <w:jc w:val="right"/>
              <w:rPr>
                <w:rFonts w:cstheme="minorHAnsi"/>
                <w:b/>
                <w:bCs/>
                <w:sz w:val="20"/>
                <w:szCs w:val="20"/>
                <w:highlight w:val="yellow"/>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1,931,892</w:t>
            </w:r>
            <w:r w:rsidRPr="00175535">
              <w:rPr>
                <w:rFonts w:cstheme="minorHAnsi"/>
                <w:b/>
                <w:bCs/>
                <w:sz w:val="20"/>
                <w:szCs w:val="20"/>
                <w:lang w:eastAsia="en-AU"/>
              </w:rPr>
              <w:fldChar w:fldCharType="end"/>
            </w:r>
          </w:p>
        </w:tc>
        <w:tc>
          <w:tcPr>
            <w:tcW w:w="130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b/>
                <w:bCs/>
                <w:sz w:val="20"/>
                <w:szCs w:val="20"/>
                <w:highlight w:val="yellow"/>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14,560,424</w:t>
            </w:r>
            <w:r w:rsidRPr="00175535">
              <w:rPr>
                <w:rFonts w:cstheme="minorHAnsi"/>
                <w:b/>
                <w:bCs/>
                <w:sz w:val="20"/>
                <w:szCs w:val="20"/>
                <w:lang w:eastAsia="en-AU"/>
              </w:rPr>
              <w:fldChar w:fldCharType="end"/>
            </w:r>
          </w:p>
        </w:tc>
        <w:tc>
          <w:tcPr>
            <w:tcW w:w="1362" w:type="dxa"/>
            <w:tcBorders>
              <w:top w:val="single" w:sz="4" w:space="0" w:color="E0DCCB" w:themeColor="accent4" w:themeTint="66"/>
              <w:left w:val="nil"/>
              <w:bottom w:val="single" w:sz="4" w:space="0" w:color="E0DCCB" w:themeColor="accent4" w:themeTint="66"/>
              <w:right w:val="nil"/>
            </w:tcBorders>
            <w:vAlign w:val="center"/>
          </w:tcPr>
          <w:p w:rsidR="008C148C" w:rsidRPr="00175535" w:rsidRDefault="008C148C" w:rsidP="00175535">
            <w:pPr>
              <w:pStyle w:val="Financials"/>
              <w:ind w:left="-108"/>
              <w:jc w:val="right"/>
              <w:rPr>
                <w:rFonts w:cstheme="minorHAnsi"/>
                <w:b/>
                <w:bCs/>
                <w:sz w:val="20"/>
                <w:szCs w:val="20"/>
                <w:highlight w:val="yellow"/>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16,043,197</w:t>
            </w:r>
            <w:r w:rsidRPr="00175535">
              <w:rPr>
                <w:rFonts w:cstheme="minorHAnsi"/>
                <w:b/>
                <w:bCs/>
                <w:sz w:val="20"/>
                <w:szCs w:val="20"/>
                <w:lang w:eastAsia="en-AU"/>
              </w:rPr>
              <w:fldChar w:fldCharType="end"/>
            </w:r>
          </w:p>
        </w:tc>
      </w:tr>
      <w:tr w:rsidR="001E5AC1" w:rsidRPr="00827E96" w:rsidTr="004442D4">
        <w:trPr>
          <w:trHeight w:val="168"/>
        </w:trPr>
        <w:tc>
          <w:tcPr>
            <w:tcW w:w="3828" w:type="dxa"/>
            <w:tcBorders>
              <w:top w:val="single" w:sz="4" w:space="0" w:color="E0DCCB" w:themeColor="accent4" w:themeTint="66"/>
              <w:left w:val="nil"/>
              <w:bottom w:val="nil"/>
              <w:right w:val="nil"/>
            </w:tcBorders>
            <w:shd w:val="clear" w:color="auto" w:fill="auto"/>
            <w:vAlign w:val="center"/>
          </w:tcPr>
          <w:p w:rsidR="008C148C" w:rsidRPr="00827E96" w:rsidRDefault="008C148C" w:rsidP="00175535">
            <w:pPr>
              <w:pStyle w:val="Financials"/>
              <w:ind w:left="-108"/>
              <w:rPr>
                <w:rFonts w:cstheme="minorHAnsi"/>
                <w:sz w:val="16"/>
                <w:szCs w:val="16"/>
                <w:lang w:eastAsia="en-AU"/>
              </w:rPr>
            </w:pPr>
          </w:p>
        </w:tc>
        <w:tc>
          <w:tcPr>
            <w:tcW w:w="1644" w:type="dxa"/>
            <w:tcBorders>
              <w:top w:val="single" w:sz="4" w:space="0" w:color="FFFFFF" w:themeColor="background1"/>
              <w:left w:val="nil"/>
              <w:bottom w:val="nil"/>
              <w:right w:val="single" w:sz="4" w:space="0" w:color="FFFFFF" w:themeColor="background1"/>
            </w:tcBorders>
            <w:shd w:val="clear" w:color="auto" w:fill="E0DCCB" w:themeFill="accent4" w:themeFillTint="66"/>
            <w:vAlign w:val="center"/>
          </w:tcPr>
          <w:p w:rsidR="008C148C" w:rsidRPr="00827E96" w:rsidRDefault="008C148C" w:rsidP="00175535">
            <w:pPr>
              <w:pStyle w:val="Financials"/>
              <w:ind w:left="-108"/>
              <w:jc w:val="right"/>
              <w:rPr>
                <w:rFonts w:cstheme="minorHAnsi"/>
                <w:sz w:val="16"/>
                <w:szCs w:val="16"/>
                <w:lang w:eastAsia="en-AU"/>
              </w:rPr>
            </w:pPr>
          </w:p>
        </w:tc>
        <w:tc>
          <w:tcPr>
            <w:tcW w:w="1644" w:type="dxa"/>
            <w:tcBorders>
              <w:top w:val="single" w:sz="4" w:space="0" w:color="FFFFFF" w:themeColor="background1"/>
              <w:left w:val="single" w:sz="4" w:space="0" w:color="FFFFFF" w:themeColor="background1"/>
              <w:bottom w:val="nil"/>
              <w:right w:val="nil"/>
            </w:tcBorders>
            <w:shd w:val="clear" w:color="auto" w:fill="E0DCCB" w:themeFill="accent4" w:themeFillTint="66"/>
            <w:vAlign w:val="center"/>
          </w:tcPr>
          <w:p w:rsidR="008C148C" w:rsidRPr="00827E96" w:rsidRDefault="008C148C" w:rsidP="00E83A8D">
            <w:pPr>
              <w:pStyle w:val="Financials"/>
              <w:ind w:left="-108"/>
              <w:jc w:val="right"/>
              <w:rPr>
                <w:rFonts w:cstheme="minorHAnsi"/>
                <w:sz w:val="16"/>
                <w:szCs w:val="16"/>
                <w:lang w:eastAsia="en-AU"/>
              </w:rPr>
            </w:pPr>
          </w:p>
        </w:tc>
        <w:tc>
          <w:tcPr>
            <w:tcW w:w="1644" w:type="dxa"/>
            <w:tcBorders>
              <w:top w:val="single" w:sz="4" w:space="0" w:color="E0DCCB" w:themeColor="accent4" w:themeTint="66"/>
              <w:left w:val="nil"/>
              <w:bottom w:val="nil"/>
              <w:right w:val="nil"/>
            </w:tcBorders>
            <w:shd w:val="clear" w:color="auto" w:fill="FFFFFF" w:themeFill="background1"/>
            <w:vAlign w:val="center"/>
          </w:tcPr>
          <w:p w:rsidR="008C148C" w:rsidRPr="003E7B66" w:rsidRDefault="008C148C" w:rsidP="00175535">
            <w:pPr>
              <w:pStyle w:val="Financials"/>
              <w:ind w:left="-108"/>
              <w:jc w:val="right"/>
              <w:rPr>
                <w:rFonts w:cstheme="minorHAnsi"/>
                <w:sz w:val="16"/>
                <w:szCs w:val="16"/>
                <w:lang w:eastAsia="en-AU"/>
              </w:rPr>
            </w:pPr>
          </w:p>
        </w:tc>
        <w:tc>
          <w:tcPr>
            <w:tcW w:w="1304" w:type="dxa"/>
            <w:tcBorders>
              <w:top w:val="single" w:sz="4" w:space="0" w:color="FFFFFF" w:themeColor="background1"/>
              <w:left w:val="nil"/>
              <w:bottom w:val="nil"/>
              <w:right w:val="nil"/>
            </w:tcBorders>
            <w:shd w:val="clear" w:color="auto" w:fill="E0DCCB" w:themeFill="accent4" w:themeFillTint="66"/>
          </w:tcPr>
          <w:p w:rsidR="008C148C" w:rsidRPr="00827E96" w:rsidRDefault="008C148C" w:rsidP="00175535">
            <w:pPr>
              <w:pStyle w:val="Financials"/>
              <w:ind w:left="-108"/>
              <w:jc w:val="right"/>
              <w:rPr>
                <w:rFonts w:cstheme="minorHAnsi"/>
                <w:sz w:val="16"/>
                <w:szCs w:val="16"/>
                <w:lang w:eastAsia="en-AU"/>
              </w:rPr>
            </w:pPr>
          </w:p>
        </w:tc>
        <w:tc>
          <w:tcPr>
            <w:tcW w:w="1304" w:type="dxa"/>
            <w:tcBorders>
              <w:top w:val="single" w:sz="6" w:space="0" w:color="E0DCCB" w:themeColor="accent4" w:themeTint="66"/>
              <w:left w:val="nil"/>
              <w:bottom w:val="nil"/>
              <w:right w:val="nil"/>
            </w:tcBorders>
            <w:shd w:val="clear" w:color="auto" w:fill="auto"/>
          </w:tcPr>
          <w:p w:rsidR="008C148C" w:rsidRPr="00827E96" w:rsidRDefault="008C148C" w:rsidP="00175535">
            <w:pPr>
              <w:pStyle w:val="Financials"/>
              <w:ind w:left="-108"/>
              <w:jc w:val="right"/>
              <w:rPr>
                <w:rFonts w:cstheme="minorHAnsi"/>
                <w:sz w:val="16"/>
                <w:szCs w:val="16"/>
                <w:lang w:eastAsia="en-AU"/>
              </w:rPr>
            </w:pPr>
          </w:p>
        </w:tc>
        <w:tc>
          <w:tcPr>
            <w:tcW w:w="1304" w:type="dxa"/>
            <w:tcBorders>
              <w:top w:val="single" w:sz="4" w:space="0" w:color="FFFFFF" w:themeColor="background1"/>
              <w:left w:val="nil"/>
              <w:bottom w:val="nil"/>
              <w:right w:val="nil"/>
            </w:tcBorders>
            <w:shd w:val="clear" w:color="auto" w:fill="E0DCCB" w:themeFill="accent4" w:themeFillTint="66"/>
            <w:vAlign w:val="center"/>
          </w:tcPr>
          <w:p w:rsidR="008C148C" w:rsidRPr="00827E96" w:rsidRDefault="008C148C" w:rsidP="00175535">
            <w:pPr>
              <w:pStyle w:val="Financials"/>
              <w:ind w:left="-108"/>
              <w:jc w:val="right"/>
              <w:rPr>
                <w:rFonts w:cstheme="minorHAnsi"/>
                <w:sz w:val="16"/>
                <w:szCs w:val="16"/>
                <w:lang w:eastAsia="en-AU"/>
              </w:rPr>
            </w:pPr>
          </w:p>
        </w:tc>
        <w:tc>
          <w:tcPr>
            <w:tcW w:w="1362" w:type="dxa"/>
            <w:tcBorders>
              <w:top w:val="single" w:sz="4" w:space="0" w:color="E0DCCB" w:themeColor="accent4" w:themeTint="66"/>
              <w:left w:val="nil"/>
              <w:bottom w:val="nil"/>
              <w:right w:val="nil"/>
            </w:tcBorders>
            <w:vAlign w:val="center"/>
          </w:tcPr>
          <w:p w:rsidR="008C148C" w:rsidRPr="00827E96" w:rsidRDefault="008C148C" w:rsidP="00175535">
            <w:pPr>
              <w:pStyle w:val="Financials"/>
              <w:ind w:left="-108"/>
              <w:jc w:val="right"/>
              <w:rPr>
                <w:rFonts w:cstheme="minorHAnsi"/>
                <w:sz w:val="16"/>
                <w:szCs w:val="16"/>
                <w:lang w:eastAsia="en-AU"/>
              </w:rPr>
            </w:pPr>
          </w:p>
        </w:tc>
      </w:tr>
      <w:tr w:rsidR="001E5AC1" w:rsidRPr="00175535" w:rsidTr="004442D4">
        <w:trPr>
          <w:trHeight w:val="255"/>
        </w:trPr>
        <w:tc>
          <w:tcPr>
            <w:tcW w:w="3828" w:type="dxa"/>
            <w:tcBorders>
              <w:top w:val="nil"/>
              <w:left w:val="nil"/>
              <w:bottom w:val="nil"/>
              <w:right w:val="nil"/>
            </w:tcBorders>
            <w:shd w:val="clear" w:color="auto" w:fill="auto"/>
            <w:vAlign w:val="center"/>
          </w:tcPr>
          <w:p w:rsidR="008C148C" w:rsidRPr="00175535" w:rsidRDefault="008C148C" w:rsidP="00175535">
            <w:pPr>
              <w:pStyle w:val="Financials"/>
              <w:ind w:left="-108"/>
              <w:rPr>
                <w:rFonts w:cstheme="minorHAnsi"/>
                <w:b/>
                <w:bCs/>
                <w:sz w:val="20"/>
                <w:szCs w:val="20"/>
                <w:lang w:eastAsia="en-AU"/>
              </w:rPr>
            </w:pPr>
            <w:r w:rsidRPr="00175535">
              <w:rPr>
                <w:rFonts w:cstheme="minorHAnsi"/>
                <w:sz w:val="20"/>
                <w:szCs w:val="20"/>
                <w:u w:val="single"/>
                <w:lang w:eastAsia="en-AU"/>
              </w:rPr>
              <w:t xml:space="preserve">Income </w:t>
            </w:r>
          </w:p>
        </w:tc>
        <w:tc>
          <w:tcPr>
            <w:tcW w:w="1644" w:type="dxa"/>
            <w:tcBorders>
              <w:top w:val="nil"/>
              <w:left w:val="nil"/>
              <w:bottom w:val="nil"/>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p>
        </w:tc>
        <w:tc>
          <w:tcPr>
            <w:tcW w:w="1644" w:type="dxa"/>
            <w:tcBorders>
              <w:top w:val="nil"/>
              <w:left w:val="single" w:sz="4" w:space="0" w:color="FFFFFF" w:themeColor="background1"/>
              <w:bottom w:val="nil"/>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p>
        </w:tc>
        <w:tc>
          <w:tcPr>
            <w:tcW w:w="1644" w:type="dxa"/>
            <w:tcBorders>
              <w:top w:val="nil"/>
              <w:left w:val="nil"/>
              <w:bottom w:val="nil"/>
              <w:right w:val="nil"/>
            </w:tcBorders>
            <w:shd w:val="clear" w:color="auto" w:fill="FFFFFF" w:themeFill="background1"/>
            <w:vAlign w:val="center"/>
          </w:tcPr>
          <w:p w:rsidR="008C148C" w:rsidRPr="003E7B66" w:rsidRDefault="008C148C" w:rsidP="00175535">
            <w:pPr>
              <w:pStyle w:val="Financials"/>
              <w:ind w:left="-108"/>
              <w:jc w:val="right"/>
              <w:rPr>
                <w:rFonts w:cstheme="minorHAnsi"/>
                <w:sz w:val="20"/>
                <w:szCs w:val="20"/>
                <w:lang w:eastAsia="en-AU"/>
              </w:rPr>
            </w:pPr>
          </w:p>
        </w:tc>
        <w:tc>
          <w:tcPr>
            <w:tcW w:w="1304" w:type="dxa"/>
            <w:tcBorders>
              <w:top w:val="nil"/>
              <w:left w:val="nil"/>
              <w:bottom w:val="nil"/>
              <w:right w:val="nil"/>
            </w:tcBorders>
            <w:shd w:val="clear" w:color="auto" w:fill="E0DCCB" w:themeFill="accent4" w:themeFillTint="66"/>
          </w:tcPr>
          <w:p w:rsidR="008C148C" w:rsidRPr="00175535" w:rsidRDefault="008C148C" w:rsidP="00175535">
            <w:pPr>
              <w:pStyle w:val="Financials"/>
              <w:ind w:left="-108"/>
              <w:jc w:val="right"/>
              <w:rPr>
                <w:rFonts w:cstheme="minorHAnsi"/>
                <w:sz w:val="20"/>
                <w:szCs w:val="20"/>
                <w:lang w:eastAsia="en-AU"/>
              </w:rPr>
            </w:pPr>
          </w:p>
        </w:tc>
        <w:tc>
          <w:tcPr>
            <w:tcW w:w="1304" w:type="dxa"/>
            <w:tcBorders>
              <w:top w:val="nil"/>
              <w:left w:val="nil"/>
              <w:bottom w:val="nil"/>
              <w:right w:val="nil"/>
            </w:tcBorders>
            <w:shd w:val="clear" w:color="auto" w:fill="auto"/>
          </w:tcPr>
          <w:p w:rsidR="008C148C" w:rsidRPr="00175535" w:rsidRDefault="008C148C" w:rsidP="00175535">
            <w:pPr>
              <w:pStyle w:val="Financials"/>
              <w:ind w:left="-108"/>
              <w:jc w:val="right"/>
              <w:rPr>
                <w:rFonts w:cstheme="minorHAnsi"/>
                <w:sz w:val="20"/>
                <w:szCs w:val="20"/>
                <w:lang w:eastAsia="en-AU"/>
              </w:rPr>
            </w:pPr>
          </w:p>
        </w:tc>
        <w:tc>
          <w:tcPr>
            <w:tcW w:w="1304" w:type="dxa"/>
            <w:tcBorders>
              <w:top w:val="nil"/>
              <w:left w:val="nil"/>
              <w:bottom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p>
        </w:tc>
        <w:tc>
          <w:tcPr>
            <w:tcW w:w="1362" w:type="dxa"/>
            <w:tcBorders>
              <w:top w:val="nil"/>
              <w:left w:val="nil"/>
              <w:bottom w:val="nil"/>
              <w:right w:val="nil"/>
            </w:tcBorders>
            <w:vAlign w:val="center"/>
          </w:tcPr>
          <w:p w:rsidR="008C148C" w:rsidRPr="00175535" w:rsidRDefault="008C148C" w:rsidP="00175535">
            <w:pPr>
              <w:pStyle w:val="Financials"/>
              <w:ind w:left="-108"/>
              <w:jc w:val="right"/>
              <w:rPr>
                <w:rFonts w:cstheme="minorHAnsi"/>
                <w:sz w:val="20"/>
                <w:szCs w:val="20"/>
                <w:lang w:eastAsia="en-AU"/>
              </w:rPr>
            </w:pPr>
          </w:p>
        </w:tc>
      </w:tr>
      <w:tr w:rsidR="001E5AC1" w:rsidRPr="00175535" w:rsidTr="004442D4">
        <w:trPr>
          <w:trHeight w:val="255"/>
        </w:trPr>
        <w:tc>
          <w:tcPr>
            <w:tcW w:w="3828" w:type="dxa"/>
            <w:tcBorders>
              <w:top w:val="nil"/>
              <w:left w:val="nil"/>
              <w:bottom w:val="nil"/>
              <w:right w:val="nil"/>
            </w:tcBorders>
            <w:shd w:val="clear" w:color="auto" w:fill="auto"/>
            <w:vAlign w:val="center"/>
          </w:tcPr>
          <w:p w:rsidR="008C148C" w:rsidRPr="00175535" w:rsidRDefault="008C148C" w:rsidP="00175535">
            <w:pPr>
              <w:pStyle w:val="Financials"/>
              <w:ind w:left="-108"/>
              <w:rPr>
                <w:rFonts w:cstheme="minorHAnsi"/>
                <w:i/>
                <w:iCs/>
                <w:sz w:val="20"/>
                <w:szCs w:val="20"/>
                <w:lang w:eastAsia="en-AU"/>
              </w:rPr>
            </w:pPr>
            <w:r w:rsidRPr="00175535">
              <w:rPr>
                <w:rFonts w:cstheme="minorHAnsi"/>
                <w:sz w:val="20"/>
                <w:szCs w:val="20"/>
                <w:lang w:eastAsia="en-AU"/>
              </w:rPr>
              <w:t>Other revenue</w:t>
            </w:r>
          </w:p>
        </w:tc>
        <w:tc>
          <w:tcPr>
            <w:tcW w:w="1644" w:type="dxa"/>
            <w:tcBorders>
              <w:top w:val="nil"/>
              <w:left w:val="nil"/>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13,136</w:t>
            </w:r>
          </w:p>
        </w:tc>
        <w:tc>
          <w:tcPr>
            <w:tcW w:w="1644" w:type="dxa"/>
            <w:tcBorders>
              <w:top w:val="nil"/>
              <w:left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r w:rsidRPr="00175535">
              <w:rPr>
                <w:rFonts w:cstheme="minorHAnsi"/>
                <w:sz w:val="20"/>
                <w:szCs w:val="20"/>
                <w:lang w:eastAsia="en-AU"/>
              </w:rPr>
              <w:t>4,671</w:t>
            </w:r>
          </w:p>
        </w:tc>
        <w:tc>
          <w:tcPr>
            <w:tcW w:w="1644" w:type="dxa"/>
            <w:tcBorders>
              <w:top w:val="nil"/>
              <w:left w:val="nil"/>
              <w:right w:val="nil"/>
            </w:tcBorders>
            <w:shd w:val="clear" w:color="auto" w:fill="FFFFFF" w:themeFill="background1"/>
            <w:vAlign w:val="center"/>
          </w:tcPr>
          <w:p w:rsidR="008C148C" w:rsidRPr="003E7B66" w:rsidRDefault="001D32CC" w:rsidP="00175535">
            <w:pPr>
              <w:pStyle w:val="Financials"/>
              <w:ind w:left="-108"/>
              <w:jc w:val="right"/>
              <w:rPr>
                <w:rFonts w:cstheme="minorHAnsi"/>
                <w:sz w:val="20"/>
                <w:szCs w:val="20"/>
                <w:lang w:eastAsia="en-AU"/>
              </w:rPr>
            </w:pPr>
            <w:r>
              <w:rPr>
                <w:rFonts w:cstheme="minorHAnsi"/>
                <w:sz w:val="20"/>
                <w:szCs w:val="20"/>
                <w:lang w:eastAsia="en-AU"/>
              </w:rPr>
              <w:t>73,489</w:t>
            </w:r>
          </w:p>
        </w:tc>
        <w:tc>
          <w:tcPr>
            <w:tcW w:w="1304" w:type="dxa"/>
            <w:tcBorders>
              <w:top w:val="nil"/>
              <w:left w:val="nil"/>
              <w:right w:val="nil"/>
            </w:tcBorders>
            <w:shd w:val="clear" w:color="auto" w:fill="E0DCCB" w:themeFill="accent4" w:themeFillTint="66"/>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2,628</w:t>
            </w:r>
          </w:p>
        </w:tc>
        <w:tc>
          <w:tcPr>
            <w:tcW w:w="1304" w:type="dxa"/>
            <w:tcBorders>
              <w:top w:val="nil"/>
              <w:left w:val="nil"/>
              <w:right w:val="nil"/>
            </w:tcBorders>
            <w:shd w:val="clear" w:color="auto" w:fill="auto"/>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14,181</w:t>
            </w:r>
          </w:p>
        </w:tc>
        <w:tc>
          <w:tcPr>
            <w:tcW w:w="1304" w:type="dxa"/>
            <w:tcBorders>
              <w:top w:val="nil"/>
              <w:left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20,435</w:t>
            </w:r>
          </w:p>
        </w:tc>
        <w:tc>
          <w:tcPr>
            <w:tcW w:w="1362" w:type="dxa"/>
            <w:tcBorders>
              <w:top w:val="nil"/>
              <w:left w:val="nil"/>
              <w:bottom w:val="nil"/>
              <w:right w:val="nil"/>
            </w:tcBorders>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87,670</w:t>
            </w:r>
          </w:p>
        </w:tc>
      </w:tr>
      <w:tr w:rsidR="0016305F" w:rsidRPr="00175535" w:rsidTr="004442D4">
        <w:trPr>
          <w:trHeight w:val="270"/>
        </w:trPr>
        <w:tc>
          <w:tcPr>
            <w:tcW w:w="3828" w:type="dxa"/>
            <w:tcBorders>
              <w:top w:val="nil"/>
              <w:left w:val="nil"/>
              <w:bottom w:val="single" w:sz="4" w:space="0" w:color="E0DCCB" w:themeColor="accent4" w:themeTint="66"/>
              <w:right w:val="nil"/>
            </w:tcBorders>
            <w:shd w:val="clear" w:color="auto" w:fill="auto"/>
            <w:vAlign w:val="center"/>
          </w:tcPr>
          <w:p w:rsidR="008C148C" w:rsidRPr="00175535" w:rsidRDefault="008C148C" w:rsidP="00175535">
            <w:pPr>
              <w:pStyle w:val="Financials"/>
              <w:ind w:left="-108"/>
              <w:rPr>
                <w:rFonts w:cstheme="minorHAnsi"/>
                <w:sz w:val="20"/>
                <w:szCs w:val="20"/>
                <w:lang w:eastAsia="en-AU"/>
              </w:rPr>
            </w:pPr>
            <w:r w:rsidRPr="00175535">
              <w:rPr>
                <w:rFonts w:cstheme="minorHAnsi"/>
                <w:sz w:val="20"/>
                <w:szCs w:val="20"/>
                <w:lang w:eastAsia="en-AU"/>
              </w:rPr>
              <w:t>Gain on disposal of non-current assets</w:t>
            </w:r>
          </w:p>
        </w:tc>
        <w:tc>
          <w:tcPr>
            <w:tcW w:w="1644" w:type="dxa"/>
            <w:tcBorders>
              <w:top w:val="nil"/>
              <w:left w:val="nil"/>
              <w:bottom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5,847</w:t>
            </w:r>
          </w:p>
        </w:tc>
        <w:tc>
          <w:tcPr>
            <w:tcW w:w="1644" w:type="dxa"/>
            <w:tcBorders>
              <w:top w:val="nil"/>
              <w:left w:val="single" w:sz="4" w:space="0" w:color="FFFFFF" w:themeColor="background1"/>
              <w:bottom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r w:rsidRPr="00175535">
              <w:rPr>
                <w:rFonts w:cstheme="minorHAnsi"/>
                <w:sz w:val="20"/>
                <w:szCs w:val="20"/>
                <w:lang w:eastAsia="en-AU"/>
              </w:rPr>
              <w:t>2,101</w:t>
            </w:r>
          </w:p>
        </w:tc>
        <w:tc>
          <w:tcPr>
            <w:tcW w:w="1644" w:type="dxa"/>
            <w:tcBorders>
              <w:top w:val="nil"/>
              <w:left w:val="nil"/>
              <w:bottom w:val="single" w:sz="4" w:space="0" w:color="E0DCCB" w:themeColor="accent4" w:themeTint="66"/>
              <w:right w:val="nil"/>
            </w:tcBorders>
            <w:shd w:val="clear" w:color="auto" w:fill="FFFFFF" w:themeFill="background1"/>
            <w:vAlign w:val="center"/>
          </w:tcPr>
          <w:p w:rsidR="008C148C" w:rsidRPr="003E7B66" w:rsidRDefault="001D32CC" w:rsidP="00175535">
            <w:pPr>
              <w:pStyle w:val="Financials"/>
              <w:ind w:left="-108"/>
              <w:jc w:val="right"/>
              <w:rPr>
                <w:rFonts w:cstheme="minorHAnsi"/>
                <w:sz w:val="20"/>
                <w:szCs w:val="20"/>
                <w:lang w:eastAsia="en-AU"/>
              </w:rPr>
            </w:pPr>
            <w:r>
              <w:rPr>
                <w:rFonts w:cstheme="minorHAnsi"/>
                <w:sz w:val="20"/>
                <w:szCs w:val="20"/>
                <w:lang w:eastAsia="en-AU"/>
              </w:rPr>
              <w:t>-</w:t>
            </w:r>
          </w:p>
        </w:tc>
        <w:tc>
          <w:tcPr>
            <w:tcW w:w="1304" w:type="dxa"/>
            <w:tcBorders>
              <w:top w:val="nil"/>
              <w:left w:val="nil"/>
              <w:bottom w:val="single" w:sz="4" w:space="0" w:color="FFFFFF" w:themeColor="background1"/>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1,187</w:t>
            </w:r>
          </w:p>
        </w:tc>
        <w:tc>
          <w:tcPr>
            <w:tcW w:w="1304" w:type="dxa"/>
            <w:tcBorders>
              <w:top w:val="nil"/>
              <w:left w:val="nil"/>
              <w:bottom w:val="single" w:sz="6" w:space="0" w:color="E0DCCB" w:themeColor="accent4" w:themeTint="66"/>
              <w:right w:val="nil"/>
            </w:tcBorders>
            <w:shd w:val="clear" w:color="auto" w:fill="auto"/>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w:t>
            </w:r>
          </w:p>
        </w:tc>
        <w:tc>
          <w:tcPr>
            <w:tcW w:w="1304" w:type="dxa"/>
            <w:tcBorders>
              <w:top w:val="nil"/>
              <w:left w:val="nil"/>
              <w:bottom w:val="single" w:sz="4" w:space="0" w:color="FFFFFF" w:themeColor="background1"/>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9,135</w:t>
            </w:r>
          </w:p>
        </w:tc>
        <w:tc>
          <w:tcPr>
            <w:tcW w:w="1362" w:type="dxa"/>
            <w:tcBorders>
              <w:top w:val="nil"/>
              <w:left w:val="nil"/>
              <w:bottom w:val="single" w:sz="4" w:space="0" w:color="E0DCCB" w:themeColor="accent4" w:themeTint="66"/>
              <w:right w:val="nil"/>
            </w:tcBorders>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w:t>
            </w:r>
          </w:p>
        </w:tc>
      </w:tr>
      <w:tr w:rsidR="00136EDA" w:rsidRPr="00175535" w:rsidTr="004442D4">
        <w:trPr>
          <w:trHeight w:val="270"/>
        </w:trPr>
        <w:tc>
          <w:tcPr>
            <w:tcW w:w="3828"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8C148C" w:rsidRPr="00175535" w:rsidRDefault="008C148C" w:rsidP="00175535">
            <w:pPr>
              <w:pStyle w:val="Financials"/>
              <w:ind w:left="-108"/>
              <w:rPr>
                <w:rFonts w:cstheme="minorHAnsi"/>
                <w:b/>
                <w:bCs/>
                <w:sz w:val="20"/>
                <w:szCs w:val="20"/>
                <w:lang w:eastAsia="en-AU"/>
              </w:rPr>
            </w:pPr>
            <w:r w:rsidRPr="00175535">
              <w:rPr>
                <w:rFonts w:cstheme="minorHAnsi"/>
                <w:b/>
                <w:bCs/>
                <w:sz w:val="20"/>
                <w:szCs w:val="20"/>
                <w:lang w:eastAsia="en-AU"/>
              </w:rPr>
              <w:t xml:space="preserve">Total income other than income from State Government </w:t>
            </w:r>
          </w:p>
        </w:tc>
        <w:tc>
          <w:tcPr>
            <w:tcW w:w="1644" w:type="dxa"/>
            <w:tcBorders>
              <w:top w:val="single" w:sz="4" w:space="0" w:color="FFFFFF" w:themeColor="background1"/>
              <w:left w:val="nil"/>
              <w:bottom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18,983</w:t>
            </w:r>
            <w:r w:rsidRPr="00175535">
              <w:rPr>
                <w:rFonts w:cstheme="minorHAnsi"/>
                <w:b/>
                <w:bCs/>
                <w:sz w:val="20"/>
                <w:szCs w:val="20"/>
                <w:lang w:eastAsia="en-AU"/>
              </w:rPr>
              <w:fldChar w:fldCharType="end"/>
            </w:r>
          </w:p>
        </w:tc>
        <w:tc>
          <w:tcPr>
            <w:tcW w:w="1644" w:type="dxa"/>
            <w:tcBorders>
              <w:top w:val="single" w:sz="4" w:space="0" w:color="FFFFFF" w:themeColor="background1"/>
              <w:left w:val="single" w:sz="4" w:space="0" w:color="FFFFFF" w:themeColor="background1"/>
              <w:bottom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6,772</w:t>
            </w:r>
            <w:r w:rsidRPr="00175535">
              <w:rPr>
                <w:rFonts w:cstheme="minorHAnsi"/>
                <w:b/>
                <w:bCs/>
                <w:sz w:val="20"/>
                <w:szCs w:val="20"/>
                <w:lang w:eastAsia="en-AU"/>
              </w:rPr>
              <w:fldChar w:fldCharType="end"/>
            </w:r>
          </w:p>
        </w:tc>
        <w:tc>
          <w:tcPr>
            <w:tcW w:w="1644" w:type="dxa"/>
            <w:tcBorders>
              <w:top w:val="single" w:sz="4" w:space="0" w:color="E0DCCB" w:themeColor="accent4" w:themeTint="66"/>
              <w:left w:val="nil"/>
              <w:bottom w:val="single" w:sz="4" w:space="0" w:color="E0DCCB" w:themeColor="accent4" w:themeTint="66"/>
              <w:right w:val="nil"/>
            </w:tcBorders>
            <w:shd w:val="clear" w:color="auto" w:fill="FFFFFF" w:themeFill="background1"/>
            <w:vAlign w:val="center"/>
          </w:tcPr>
          <w:p w:rsidR="008C148C" w:rsidRPr="001D32CC" w:rsidRDefault="001D32CC" w:rsidP="00175535">
            <w:pPr>
              <w:pStyle w:val="Financials"/>
              <w:ind w:left="-108"/>
              <w:jc w:val="right"/>
              <w:rPr>
                <w:rFonts w:cstheme="minorHAnsi"/>
                <w:b/>
                <w:sz w:val="20"/>
                <w:szCs w:val="20"/>
                <w:lang w:eastAsia="en-AU"/>
              </w:rPr>
            </w:pPr>
            <w:r w:rsidRPr="001D32CC">
              <w:rPr>
                <w:rFonts w:cstheme="minorHAnsi"/>
                <w:b/>
                <w:sz w:val="20"/>
                <w:szCs w:val="20"/>
                <w:lang w:eastAsia="en-AU"/>
              </w:rPr>
              <w:t>73,489</w:t>
            </w:r>
          </w:p>
        </w:tc>
        <w:tc>
          <w:tcPr>
            <w:tcW w:w="130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b/>
                <w:bCs/>
                <w:sz w:val="20"/>
                <w:szCs w:val="20"/>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3,815</w:t>
            </w:r>
            <w:r w:rsidRPr="00175535">
              <w:rPr>
                <w:rFonts w:cstheme="minorHAnsi"/>
                <w:b/>
                <w:bCs/>
                <w:sz w:val="20"/>
                <w:szCs w:val="20"/>
                <w:lang w:eastAsia="en-AU"/>
              </w:rPr>
              <w:fldChar w:fldCharType="end"/>
            </w:r>
          </w:p>
        </w:tc>
        <w:tc>
          <w:tcPr>
            <w:tcW w:w="1304" w:type="dxa"/>
            <w:tcBorders>
              <w:top w:val="single" w:sz="6" w:space="0" w:color="E0DCCB" w:themeColor="accent4" w:themeTint="66"/>
              <w:left w:val="nil"/>
              <w:bottom w:val="single" w:sz="6" w:space="0" w:color="E0DCCB" w:themeColor="accent4" w:themeTint="66"/>
              <w:right w:val="nil"/>
            </w:tcBorders>
            <w:shd w:val="clear" w:color="auto" w:fill="auto"/>
            <w:vAlign w:val="center"/>
          </w:tcPr>
          <w:p w:rsidR="008C148C" w:rsidRPr="00175535" w:rsidRDefault="008C148C" w:rsidP="00175535">
            <w:pPr>
              <w:pStyle w:val="Financials"/>
              <w:ind w:left="-108"/>
              <w:jc w:val="right"/>
              <w:rPr>
                <w:rFonts w:cstheme="minorHAnsi"/>
                <w:b/>
                <w:bCs/>
                <w:sz w:val="20"/>
                <w:szCs w:val="20"/>
                <w:lang w:eastAsia="en-AU"/>
              </w:rPr>
            </w:pPr>
            <w:r w:rsidRPr="00175535">
              <w:rPr>
                <w:rFonts w:cstheme="minorHAnsi"/>
                <w:b/>
                <w:bCs/>
                <w:sz w:val="20"/>
                <w:szCs w:val="20"/>
                <w:lang w:eastAsia="en-AU"/>
              </w:rPr>
              <w:t>14,181</w:t>
            </w:r>
          </w:p>
        </w:tc>
        <w:tc>
          <w:tcPr>
            <w:tcW w:w="130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29,570</w:t>
            </w:r>
            <w:r w:rsidRPr="00175535">
              <w:rPr>
                <w:rFonts w:cstheme="minorHAnsi"/>
                <w:b/>
                <w:bCs/>
                <w:sz w:val="20"/>
                <w:szCs w:val="20"/>
                <w:lang w:eastAsia="en-AU"/>
              </w:rPr>
              <w:fldChar w:fldCharType="end"/>
            </w:r>
          </w:p>
        </w:tc>
        <w:tc>
          <w:tcPr>
            <w:tcW w:w="1362" w:type="dxa"/>
            <w:tcBorders>
              <w:top w:val="single" w:sz="4" w:space="0" w:color="E0DCCB" w:themeColor="accent4" w:themeTint="66"/>
              <w:left w:val="nil"/>
              <w:bottom w:val="single" w:sz="4" w:space="0" w:color="E0DCCB" w:themeColor="accent4" w:themeTint="66"/>
              <w:right w:val="nil"/>
            </w:tcBorders>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87,670</w:t>
            </w:r>
            <w:r w:rsidRPr="00175535">
              <w:rPr>
                <w:rFonts w:cstheme="minorHAnsi"/>
                <w:b/>
                <w:bCs/>
                <w:sz w:val="20"/>
                <w:szCs w:val="20"/>
                <w:lang w:eastAsia="en-AU"/>
              </w:rPr>
              <w:fldChar w:fldCharType="end"/>
            </w:r>
          </w:p>
        </w:tc>
      </w:tr>
      <w:tr w:rsidR="0016305F" w:rsidRPr="00175535" w:rsidTr="004442D4">
        <w:trPr>
          <w:trHeight w:val="255"/>
        </w:trPr>
        <w:tc>
          <w:tcPr>
            <w:tcW w:w="3828"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8C148C" w:rsidRPr="00175535" w:rsidRDefault="008C148C" w:rsidP="00175535">
            <w:pPr>
              <w:pStyle w:val="Financials"/>
              <w:ind w:left="-108"/>
              <w:rPr>
                <w:rFonts w:cstheme="minorHAnsi"/>
                <w:sz w:val="20"/>
                <w:szCs w:val="20"/>
                <w:lang w:eastAsia="en-AU"/>
              </w:rPr>
            </w:pPr>
            <w:r w:rsidRPr="00175535">
              <w:rPr>
                <w:rFonts w:cstheme="minorHAnsi"/>
                <w:b/>
                <w:bCs/>
                <w:sz w:val="20"/>
                <w:szCs w:val="20"/>
                <w:lang w:eastAsia="en-AU"/>
              </w:rPr>
              <w:t>NET COST OF SERVICES</w:t>
            </w:r>
          </w:p>
        </w:tc>
        <w:tc>
          <w:tcPr>
            <w:tcW w:w="1644" w:type="dxa"/>
            <w:tcBorders>
              <w:top w:val="single" w:sz="4" w:space="0" w:color="FFFFFF" w:themeColor="background1"/>
              <w:left w:val="nil"/>
              <w:bottom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b/>
                <w:bCs/>
                <w:sz w:val="20"/>
                <w:szCs w:val="20"/>
                <w:lang w:eastAsia="en-AU"/>
              </w:rPr>
              <w:t>9,158,882</w:t>
            </w:r>
          </w:p>
        </w:tc>
        <w:tc>
          <w:tcPr>
            <w:tcW w:w="1644" w:type="dxa"/>
            <w:tcBorders>
              <w:top w:val="single" w:sz="4" w:space="0" w:color="FFFFFF" w:themeColor="background1"/>
              <w:left w:val="single" w:sz="4" w:space="0" w:color="FFFFFF" w:themeColor="background1"/>
              <w:bottom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r w:rsidRPr="00175535">
              <w:rPr>
                <w:rFonts w:cstheme="minorHAnsi"/>
                <w:b/>
                <w:bCs/>
                <w:sz w:val="20"/>
                <w:szCs w:val="20"/>
                <w:lang w:eastAsia="en-AU"/>
              </w:rPr>
              <w:t>3,464,208</w:t>
            </w:r>
          </w:p>
        </w:tc>
        <w:tc>
          <w:tcPr>
            <w:tcW w:w="1644" w:type="dxa"/>
            <w:tcBorders>
              <w:top w:val="single" w:sz="4" w:space="0" w:color="E0DCCB" w:themeColor="accent4" w:themeTint="66"/>
              <w:left w:val="nil"/>
              <w:bottom w:val="single" w:sz="4" w:space="0" w:color="E0DCCB" w:themeColor="accent4" w:themeTint="66"/>
              <w:right w:val="nil"/>
            </w:tcBorders>
            <w:shd w:val="clear" w:color="auto" w:fill="FFFFFF" w:themeFill="background1"/>
            <w:vAlign w:val="center"/>
          </w:tcPr>
          <w:p w:rsidR="008C148C" w:rsidRPr="001D32CC" w:rsidRDefault="001D32CC" w:rsidP="00175535">
            <w:pPr>
              <w:pStyle w:val="Financials"/>
              <w:ind w:left="-108"/>
              <w:jc w:val="right"/>
              <w:rPr>
                <w:rFonts w:cstheme="minorHAnsi"/>
                <w:b/>
                <w:sz w:val="20"/>
                <w:szCs w:val="20"/>
                <w:lang w:eastAsia="en-AU"/>
              </w:rPr>
            </w:pPr>
            <w:r w:rsidRPr="001D32CC">
              <w:rPr>
                <w:rFonts w:cstheme="minorHAnsi"/>
                <w:b/>
                <w:sz w:val="20"/>
                <w:szCs w:val="20"/>
                <w:lang w:eastAsia="en-AU"/>
              </w:rPr>
              <w:t>14,037,816</w:t>
            </w:r>
          </w:p>
        </w:tc>
        <w:tc>
          <w:tcPr>
            <w:tcW w:w="130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C148C" w:rsidRPr="00175535" w:rsidRDefault="00930F6F" w:rsidP="00175535">
            <w:pPr>
              <w:pStyle w:val="Financials"/>
              <w:ind w:left="-108"/>
              <w:jc w:val="right"/>
              <w:rPr>
                <w:rFonts w:cstheme="minorHAnsi"/>
                <w:b/>
                <w:bCs/>
                <w:sz w:val="20"/>
                <w:szCs w:val="20"/>
                <w:lang w:eastAsia="en-AU"/>
              </w:rPr>
            </w:pPr>
            <w:r>
              <w:rPr>
                <w:rFonts w:cstheme="minorHAnsi"/>
                <w:b/>
                <w:bCs/>
                <w:sz w:val="20"/>
                <w:szCs w:val="20"/>
                <w:lang w:eastAsia="en-AU"/>
              </w:rPr>
              <w:t>1,907,763</w:t>
            </w:r>
          </w:p>
        </w:tc>
        <w:tc>
          <w:tcPr>
            <w:tcW w:w="1304" w:type="dxa"/>
            <w:tcBorders>
              <w:top w:val="single" w:sz="6" w:space="0" w:color="E0DCCB" w:themeColor="accent4" w:themeTint="66"/>
              <w:left w:val="nil"/>
              <w:bottom w:val="single" w:sz="6" w:space="0" w:color="E0DCCB" w:themeColor="accent4" w:themeTint="66"/>
              <w:right w:val="nil"/>
            </w:tcBorders>
            <w:shd w:val="clear" w:color="auto" w:fill="auto"/>
            <w:vAlign w:val="center"/>
          </w:tcPr>
          <w:p w:rsidR="008C148C" w:rsidRPr="00175535" w:rsidRDefault="008C148C" w:rsidP="00175535">
            <w:pPr>
              <w:pStyle w:val="Financials"/>
              <w:ind w:left="-108"/>
              <w:jc w:val="right"/>
              <w:rPr>
                <w:rFonts w:cstheme="minorHAnsi"/>
                <w:b/>
                <w:bCs/>
                <w:sz w:val="20"/>
                <w:szCs w:val="20"/>
                <w:lang w:eastAsia="en-AU"/>
              </w:rPr>
            </w:pPr>
            <w:r w:rsidRPr="00175535">
              <w:rPr>
                <w:rFonts w:cstheme="minorHAnsi"/>
                <w:b/>
                <w:bCs/>
                <w:sz w:val="20"/>
                <w:szCs w:val="20"/>
                <w:lang w:eastAsia="en-AU"/>
              </w:rPr>
              <w:t>1,917,711</w:t>
            </w:r>
          </w:p>
        </w:tc>
        <w:tc>
          <w:tcPr>
            <w:tcW w:w="130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b/>
                <w:bCs/>
                <w:sz w:val="20"/>
                <w:szCs w:val="20"/>
                <w:lang w:eastAsia="en-AU"/>
              </w:rPr>
              <w:t>14,530,854</w:t>
            </w:r>
          </w:p>
        </w:tc>
        <w:tc>
          <w:tcPr>
            <w:tcW w:w="1362" w:type="dxa"/>
            <w:tcBorders>
              <w:top w:val="single" w:sz="4" w:space="0" w:color="E0DCCB" w:themeColor="accent4" w:themeTint="66"/>
              <w:left w:val="nil"/>
              <w:bottom w:val="single" w:sz="4" w:space="0" w:color="E0DCCB" w:themeColor="accent4" w:themeTint="66"/>
              <w:right w:val="nil"/>
            </w:tcBorders>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b/>
                <w:bCs/>
                <w:sz w:val="20"/>
                <w:szCs w:val="20"/>
                <w:lang w:eastAsia="en-AU"/>
              </w:rPr>
              <w:t>15,955,527</w:t>
            </w:r>
          </w:p>
        </w:tc>
      </w:tr>
      <w:tr w:rsidR="0016305F" w:rsidRPr="00827E96" w:rsidTr="004442D4">
        <w:trPr>
          <w:trHeight w:val="164"/>
        </w:trPr>
        <w:tc>
          <w:tcPr>
            <w:tcW w:w="3828" w:type="dxa"/>
            <w:tcBorders>
              <w:top w:val="single" w:sz="4" w:space="0" w:color="E0DCCB" w:themeColor="accent4" w:themeTint="66"/>
              <w:left w:val="nil"/>
              <w:bottom w:val="nil"/>
              <w:right w:val="nil"/>
            </w:tcBorders>
            <w:shd w:val="clear" w:color="auto" w:fill="auto"/>
            <w:vAlign w:val="center"/>
            <w:hideMark/>
          </w:tcPr>
          <w:p w:rsidR="008C148C" w:rsidRPr="00827E96" w:rsidRDefault="008C148C" w:rsidP="00175535">
            <w:pPr>
              <w:pStyle w:val="Financials"/>
              <w:ind w:left="-108"/>
              <w:rPr>
                <w:rFonts w:cstheme="minorHAnsi"/>
                <w:i/>
                <w:iCs/>
                <w:sz w:val="16"/>
                <w:szCs w:val="16"/>
                <w:lang w:eastAsia="en-AU"/>
              </w:rPr>
            </w:pPr>
          </w:p>
        </w:tc>
        <w:tc>
          <w:tcPr>
            <w:tcW w:w="1644" w:type="dxa"/>
            <w:tcBorders>
              <w:top w:val="single" w:sz="4" w:space="0" w:color="FFFFFF" w:themeColor="background1"/>
              <w:left w:val="nil"/>
              <w:bottom w:val="nil"/>
              <w:right w:val="single" w:sz="4" w:space="0" w:color="FFFFFF" w:themeColor="background1"/>
            </w:tcBorders>
            <w:shd w:val="clear" w:color="auto" w:fill="E0DCCB" w:themeFill="accent4" w:themeFillTint="66"/>
            <w:vAlign w:val="center"/>
          </w:tcPr>
          <w:p w:rsidR="008C148C" w:rsidRPr="00827E96" w:rsidRDefault="008C148C" w:rsidP="00175535">
            <w:pPr>
              <w:pStyle w:val="Financials"/>
              <w:ind w:left="-108"/>
              <w:jc w:val="right"/>
              <w:rPr>
                <w:rFonts w:cstheme="minorHAnsi"/>
                <w:sz w:val="16"/>
                <w:szCs w:val="16"/>
                <w:lang w:eastAsia="en-AU"/>
              </w:rPr>
            </w:pPr>
          </w:p>
        </w:tc>
        <w:tc>
          <w:tcPr>
            <w:tcW w:w="1644" w:type="dxa"/>
            <w:tcBorders>
              <w:top w:val="single" w:sz="4" w:space="0" w:color="FFFFFF" w:themeColor="background1"/>
              <w:left w:val="single" w:sz="4" w:space="0" w:color="FFFFFF" w:themeColor="background1"/>
              <w:bottom w:val="nil"/>
              <w:right w:val="nil"/>
            </w:tcBorders>
            <w:shd w:val="clear" w:color="auto" w:fill="E0DCCB" w:themeFill="accent4" w:themeFillTint="66"/>
            <w:vAlign w:val="center"/>
          </w:tcPr>
          <w:p w:rsidR="008C148C" w:rsidRPr="00827E96" w:rsidRDefault="008C148C" w:rsidP="00E83A8D">
            <w:pPr>
              <w:pStyle w:val="Financials"/>
              <w:ind w:left="-108"/>
              <w:jc w:val="right"/>
              <w:rPr>
                <w:rFonts w:cstheme="minorHAnsi"/>
                <w:sz w:val="16"/>
                <w:szCs w:val="16"/>
                <w:lang w:eastAsia="en-AU"/>
              </w:rPr>
            </w:pPr>
          </w:p>
        </w:tc>
        <w:tc>
          <w:tcPr>
            <w:tcW w:w="1644" w:type="dxa"/>
            <w:tcBorders>
              <w:top w:val="single" w:sz="4" w:space="0" w:color="E0DCCB" w:themeColor="accent4" w:themeTint="66"/>
              <w:left w:val="nil"/>
              <w:bottom w:val="nil"/>
              <w:right w:val="nil"/>
            </w:tcBorders>
            <w:shd w:val="clear" w:color="auto" w:fill="FFFFFF" w:themeFill="background1"/>
            <w:vAlign w:val="center"/>
          </w:tcPr>
          <w:p w:rsidR="008C148C" w:rsidRPr="003E7B66" w:rsidRDefault="008C148C" w:rsidP="00175535">
            <w:pPr>
              <w:pStyle w:val="Financials"/>
              <w:ind w:left="-108"/>
              <w:jc w:val="right"/>
              <w:rPr>
                <w:rFonts w:cstheme="minorHAnsi"/>
                <w:sz w:val="16"/>
                <w:szCs w:val="16"/>
                <w:lang w:eastAsia="en-AU"/>
              </w:rPr>
            </w:pPr>
          </w:p>
        </w:tc>
        <w:tc>
          <w:tcPr>
            <w:tcW w:w="1304" w:type="dxa"/>
            <w:tcBorders>
              <w:top w:val="single" w:sz="4" w:space="0" w:color="FFFFFF" w:themeColor="background1"/>
              <w:left w:val="nil"/>
              <w:bottom w:val="nil"/>
              <w:right w:val="nil"/>
            </w:tcBorders>
            <w:shd w:val="clear" w:color="auto" w:fill="E0DCCB" w:themeFill="accent4" w:themeFillTint="66"/>
          </w:tcPr>
          <w:p w:rsidR="008C148C" w:rsidRPr="00827E96" w:rsidRDefault="008C148C" w:rsidP="00175535">
            <w:pPr>
              <w:pStyle w:val="Financials"/>
              <w:ind w:left="-108"/>
              <w:jc w:val="right"/>
              <w:rPr>
                <w:rFonts w:cstheme="minorHAnsi"/>
                <w:sz w:val="16"/>
                <w:szCs w:val="16"/>
                <w:lang w:eastAsia="en-AU"/>
              </w:rPr>
            </w:pPr>
          </w:p>
        </w:tc>
        <w:tc>
          <w:tcPr>
            <w:tcW w:w="1304" w:type="dxa"/>
            <w:tcBorders>
              <w:top w:val="single" w:sz="6" w:space="0" w:color="E0DCCB" w:themeColor="accent4" w:themeTint="66"/>
              <w:left w:val="nil"/>
              <w:bottom w:val="nil"/>
              <w:right w:val="nil"/>
            </w:tcBorders>
            <w:shd w:val="clear" w:color="auto" w:fill="auto"/>
          </w:tcPr>
          <w:p w:rsidR="008C148C" w:rsidRPr="00827E96" w:rsidRDefault="008C148C" w:rsidP="00175535">
            <w:pPr>
              <w:pStyle w:val="Financials"/>
              <w:ind w:left="-108"/>
              <w:jc w:val="right"/>
              <w:rPr>
                <w:rFonts w:cstheme="minorHAnsi"/>
                <w:sz w:val="16"/>
                <w:szCs w:val="16"/>
                <w:lang w:eastAsia="en-AU"/>
              </w:rPr>
            </w:pPr>
          </w:p>
        </w:tc>
        <w:tc>
          <w:tcPr>
            <w:tcW w:w="1304" w:type="dxa"/>
            <w:tcBorders>
              <w:top w:val="single" w:sz="4" w:space="0" w:color="FFFFFF" w:themeColor="background1"/>
              <w:left w:val="nil"/>
              <w:bottom w:val="nil"/>
              <w:right w:val="nil"/>
            </w:tcBorders>
            <w:shd w:val="clear" w:color="auto" w:fill="E0DCCB" w:themeFill="accent4" w:themeFillTint="66"/>
            <w:vAlign w:val="center"/>
          </w:tcPr>
          <w:p w:rsidR="008C148C" w:rsidRPr="00827E96" w:rsidRDefault="008C148C" w:rsidP="00175535">
            <w:pPr>
              <w:pStyle w:val="Financials"/>
              <w:ind w:left="-108"/>
              <w:jc w:val="right"/>
              <w:rPr>
                <w:rFonts w:cstheme="minorHAnsi"/>
                <w:sz w:val="16"/>
                <w:szCs w:val="16"/>
                <w:lang w:eastAsia="en-AU"/>
              </w:rPr>
            </w:pPr>
          </w:p>
        </w:tc>
        <w:tc>
          <w:tcPr>
            <w:tcW w:w="1362" w:type="dxa"/>
            <w:tcBorders>
              <w:top w:val="single" w:sz="4" w:space="0" w:color="E0DCCB" w:themeColor="accent4" w:themeTint="66"/>
              <w:left w:val="nil"/>
              <w:bottom w:val="nil"/>
              <w:right w:val="nil"/>
            </w:tcBorders>
            <w:vAlign w:val="center"/>
          </w:tcPr>
          <w:p w:rsidR="008C148C" w:rsidRPr="00827E96" w:rsidRDefault="008C148C" w:rsidP="00175535">
            <w:pPr>
              <w:pStyle w:val="Financials"/>
              <w:ind w:left="-108"/>
              <w:jc w:val="right"/>
              <w:rPr>
                <w:rFonts w:cstheme="minorHAnsi"/>
                <w:sz w:val="16"/>
                <w:szCs w:val="16"/>
                <w:lang w:eastAsia="en-AU"/>
              </w:rPr>
            </w:pPr>
          </w:p>
        </w:tc>
      </w:tr>
      <w:tr w:rsidR="001E5AC1" w:rsidRPr="00175535" w:rsidTr="004442D4">
        <w:trPr>
          <w:trHeight w:val="270"/>
        </w:trPr>
        <w:tc>
          <w:tcPr>
            <w:tcW w:w="3828" w:type="dxa"/>
            <w:tcBorders>
              <w:top w:val="nil"/>
              <w:left w:val="nil"/>
              <w:right w:val="nil"/>
            </w:tcBorders>
            <w:shd w:val="clear" w:color="auto" w:fill="auto"/>
            <w:vAlign w:val="center"/>
            <w:hideMark/>
          </w:tcPr>
          <w:p w:rsidR="008C148C" w:rsidRPr="00175535" w:rsidRDefault="008C148C" w:rsidP="00175535">
            <w:pPr>
              <w:pStyle w:val="Financials"/>
              <w:ind w:left="-108"/>
              <w:rPr>
                <w:rFonts w:cstheme="minorHAnsi"/>
                <w:sz w:val="20"/>
                <w:szCs w:val="20"/>
                <w:lang w:eastAsia="en-AU"/>
              </w:rPr>
            </w:pPr>
            <w:r w:rsidRPr="00175535">
              <w:rPr>
                <w:rFonts w:cstheme="minorHAnsi"/>
                <w:b/>
                <w:bCs/>
                <w:sz w:val="20"/>
                <w:szCs w:val="20"/>
                <w:lang w:eastAsia="en-AU"/>
              </w:rPr>
              <w:t>INCOME FROM STATE GOVERNMENT</w:t>
            </w:r>
          </w:p>
        </w:tc>
        <w:tc>
          <w:tcPr>
            <w:tcW w:w="1644" w:type="dxa"/>
            <w:tcBorders>
              <w:top w:val="nil"/>
              <w:left w:val="nil"/>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p>
        </w:tc>
        <w:tc>
          <w:tcPr>
            <w:tcW w:w="1644" w:type="dxa"/>
            <w:tcBorders>
              <w:top w:val="nil"/>
              <w:left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p>
        </w:tc>
        <w:tc>
          <w:tcPr>
            <w:tcW w:w="1644" w:type="dxa"/>
            <w:tcBorders>
              <w:top w:val="nil"/>
              <w:left w:val="nil"/>
              <w:right w:val="nil"/>
            </w:tcBorders>
            <w:shd w:val="clear" w:color="auto" w:fill="FFFFFF" w:themeFill="background1"/>
            <w:vAlign w:val="center"/>
          </w:tcPr>
          <w:p w:rsidR="008C148C" w:rsidRPr="003E7B66" w:rsidRDefault="008C148C" w:rsidP="00175535">
            <w:pPr>
              <w:pStyle w:val="Financials"/>
              <w:ind w:left="-108"/>
              <w:jc w:val="right"/>
              <w:rPr>
                <w:rFonts w:cstheme="minorHAnsi"/>
                <w:sz w:val="20"/>
                <w:szCs w:val="20"/>
                <w:lang w:eastAsia="en-AU"/>
              </w:rPr>
            </w:pPr>
          </w:p>
        </w:tc>
        <w:tc>
          <w:tcPr>
            <w:tcW w:w="1304" w:type="dxa"/>
            <w:tcBorders>
              <w:top w:val="nil"/>
              <w:left w:val="nil"/>
              <w:right w:val="nil"/>
            </w:tcBorders>
            <w:shd w:val="clear" w:color="auto" w:fill="E0DCCB" w:themeFill="accent4" w:themeFillTint="66"/>
          </w:tcPr>
          <w:p w:rsidR="008C148C" w:rsidRPr="00175535" w:rsidRDefault="008C148C" w:rsidP="00175535">
            <w:pPr>
              <w:pStyle w:val="Financials"/>
              <w:ind w:left="-108"/>
              <w:jc w:val="right"/>
              <w:rPr>
                <w:rFonts w:cstheme="minorHAnsi"/>
                <w:sz w:val="20"/>
                <w:szCs w:val="20"/>
                <w:lang w:eastAsia="en-AU"/>
              </w:rPr>
            </w:pPr>
          </w:p>
        </w:tc>
        <w:tc>
          <w:tcPr>
            <w:tcW w:w="1304" w:type="dxa"/>
            <w:tcBorders>
              <w:top w:val="nil"/>
              <w:left w:val="nil"/>
              <w:right w:val="nil"/>
            </w:tcBorders>
            <w:shd w:val="clear" w:color="auto" w:fill="auto"/>
          </w:tcPr>
          <w:p w:rsidR="008C148C" w:rsidRPr="00175535" w:rsidRDefault="008C148C" w:rsidP="00175535">
            <w:pPr>
              <w:pStyle w:val="Financials"/>
              <w:ind w:left="-108"/>
              <w:jc w:val="right"/>
              <w:rPr>
                <w:rFonts w:cstheme="minorHAnsi"/>
                <w:sz w:val="20"/>
                <w:szCs w:val="20"/>
                <w:lang w:eastAsia="en-AU"/>
              </w:rPr>
            </w:pPr>
          </w:p>
        </w:tc>
        <w:tc>
          <w:tcPr>
            <w:tcW w:w="1304" w:type="dxa"/>
            <w:tcBorders>
              <w:top w:val="nil"/>
              <w:left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p>
        </w:tc>
        <w:tc>
          <w:tcPr>
            <w:tcW w:w="1362" w:type="dxa"/>
            <w:tcBorders>
              <w:top w:val="nil"/>
              <w:left w:val="nil"/>
              <w:right w:val="nil"/>
            </w:tcBorders>
            <w:vAlign w:val="center"/>
          </w:tcPr>
          <w:p w:rsidR="008C148C" w:rsidRPr="00175535" w:rsidRDefault="008C148C" w:rsidP="00175535">
            <w:pPr>
              <w:pStyle w:val="Financials"/>
              <w:ind w:left="-108"/>
              <w:jc w:val="right"/>
              <w:rPr>
                <w:rFonts w:cstheme="minorHAnsi"/>
                <w:sz w:val="20"/>
                <w:szCs w:val="20"/>
                <w:lang w:eastAsia="en-AU"/>
              </w:rPr>
            </w:pPr>
          </w:p>
        </w:tc>
      </w:tr>
      <w:tr w:rsidR="001E5AC1" w:rsidRPr="00175535" w:rsidTr="004442D4">
        <w:trPr>
          <w:trHeight w:val="270"/>
        </w:trPr>
        <w:tc>
          <w:tcPr>
            <w:tcW w:w="3828" w:type="dxa"/>
            <w:tcBorders>
              <w:left w:val="nil"/>
              <w:right w:val="nil"/>
            </w:tcBorders>
            <w:shd w:val="clear" w:color="auto" w:fill="auto"/>
            <w:vAlign w:val="center"/>
          </w:tcPr>
          <w:p w:rsidR="008C148C" w:rsidRPr="00175535" w:rsidRDefault="008C148C" w:rsidP="00175535">
            <w:pPr>
              <w:pStyle w:val="Financials"/>
              <w:ind w:left="-108"/>
              <w:rPr>
                <w:rFonts w:cstheme="minorHAnsi"/>
                <w:b/>
                <w:bCs/>
                <w:sz w:val="20"/>
                <w:szCs w:val="20"/>
                <w:lang w:eastAsia="en-AU"/>
              </w:rPr>
            </w:pPr>
            <w:r w:rsidRPr="00175535">
              <w:rPr>
                <w:rFonts w:cstheme="minorHAnsi"/>
                <w:sz w:val="20"/>
                <w:szCs w:val="20"/>
                <w:lang w:eastAsia="en-AU"/>
              </w:rPr>
              <w:t>Service appropriation</w:t>
            </w:r>
          </w:p>
        </w:tc>
        <w:tc>
          <w:tcPr>
            <w:tcW w:w="1644" w:type="dxa"/>
            <w:tcBorders>
              <w:left w:val="nil"/>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9,597,440</w:t>
            </w:r>
          </w:p>
        </w:tc>
        <w:tc>
          <w:tcPr>
            <w:tcW w:w="1644" w:type="dxa"/>
            <w:tcBorders>
              <w:left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r w:rsidRPr="00175535">
              <w:rPr>
                <w:rFonts w:cstheme="minorHAnsi"/>
                <w:sz w:val="20"/>
                <w:szCs w:val="20"/>
                <w:lang w:eastAsia="en-AU"/>
              </w:rPr>
              <w:t>3,449,080</w:t>
            </w:r>
          </w:p>
        </w:tc>
        <w:tc>
          <w:tcPr>
            <w:tcW w:w="1644" w:type="dxa"/>
            <w:tcBorders>
              <w:left w:val="nil"/>
              <w:right w:val="nil"/>
            </w:tcBorders>
            <w:shd w:val="clear" w:color="auto" w:fill="FFFFFF" w:themeFill="background1"/>
            <w:vAlign w:val="center"/>
          </w:tcPr>
          <w:p w:rsidR="008C148C" w:rsidRPr="003E7B66" w:rsidRDefault="001D32CC" w:rsidP="00175535">
            <w:pPr>
              <w:pStyle w:val="Financials"/>
              <w:ind w:left="-108"/>
              <w:jc w:val="right"/>
              <w:rPr>
                <w:rFonts w:cstheme="minorHAnsi"/>
                <w:sz w:val="20"/>
                <w:szCs w:val="20"/>
                <w:lang w:eastAsia="en-AU"/>
              </w:rPr>
            </w:pPr>
            <w:r>
              <w:rPr>
                <w:rFonts w:cstheme="minorHAnsi"/>
                <w:sz w:val="20"/>
                <w:szCs w:val="20"/>
                <w:lang w:eastAsia="en-AU"/>
              </w:rPr>
              <w:t>12,643,710</w:t>
            </w:r>
          </w:p>
        </w:tc>
        <w:tc>
          <w:tcPr>
            <w:tcW w:w="1304" w:type="dxa"/>
            <w:tcBorders>
              <w:left w:val="nil"/>
              <w:right w:val="nil"/>
            </w:tcBorders>
            <w:shd w:val="clear" w:color="auto" w:fill="E0DCCB" w:themeFill="accent4" w:themeFillTint="66"/>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1,949,480</w:t>
            </w:r>
          </w:p>
        </w:tc>
        <w:tc>
          <w:tcPr>
            <w:tcW w:w="1304" w:type="dxa"/>
            <w:tcBorders>
              <w:left w:val="nil"/>
              <w:right w:val="nil"/>
            </w:tcBorders>
            <w:shd w:val="clear" w:color="auto" w:fill="auto"/>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1,889,290</w:t>
            </w:r>
          </w:p>
        </w:tc>
        <w:tc>
          <w:tcPr>
            <w:tcW w:w="1304" w:type="dxa"/>
            <w:tcBorders>
              <w:left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14,996,000</w:t>
            </w:r>
          </w:p>
        </w:tc>
        <w:tc>
          <w:tcPr>
            <w:tcW w:w="1362" w:type="dxa"/>
            <w:tcBorders>
              <w:left w:val="nil"/>
              <w:right w:val="nil"/>
            </w:tcBorders>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14,533,000</w:t>
            </w:r>
          </w:p>
        </w:tc>
      </w:tr>
      <w:tr w:rsidR="001E5AC1" w:rsidRPr="00175535" w:rsidTr="004442D4">
        <w:trPr>
          <w:trHeight w:val="165"/>
        </w:trPr>
        <w:tc>
          <w:tcPr>
            <w:tcW w:w="3828" w:type="dxa"/>
            <w:tcBorders>
              <w:left w:val="nil"/>
              <w:right w:val="nil"/>
            </w:tcBorders>
            <w:shd w:val="clear" w:color="auto" w:fill="auto"/>
            <w:vAlign w:val="center"/>
          </w:tcPr>
          <w:p w:rsidR="008C148C" w:rsidRPr="00175535" w:rsidRDefault="008C148C" w:rsidP="00175535">
            <w:pPr>
              <w:pStyle w:val="Financials"/>
              <w:ind w:left="-108"/>
              <w:rPr>
                <w:rFonts w:cstheme="minorHAnsi"/>
                <w:sz w:val="20"/>
                <w:szCs w:val="20"/>
              </w:rPr>
            </w:pPr>
            <w:r w:rsidRPr="00175535">
              <w:rPr>
                <w:rFonts w:cstheme="minorHAnsi"/>
                <w:sz w:val="20"/>
                <w:szCs w:val="20"/>
                <w:lang w:eastAsia="en-AU"/>
              </w:rPr>
              <w:t>Services received free of charge</w:t>
            </w:r>
          </w:p>
        </w:tc>
        <w:tc>
          <w:tcPr>
            <w:tcW w:w="1644" w:type="dxa"/>
            <w:tcBorders>
              <w:left w:val="nil"/>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rPr>
            </w:pPr>
            <w:r w:rsidRPr="00175535">
              <w:rPr>
                <w:rFonts w:cstheme="minorHAnsi"/>
                <w:sz w:val="20"/>
                <w:szCs w:val="20"/>
              </w:rPr>
              <w:t>50,497</w:t>
            </w:r>
          </w:p>
        </w:tc>
        <w:tc>
          <w:tcPr>
            <w:tcW w:w="1644" w:type="dxa"/>
            <w:tcBorders>
              <w:left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r w:rsidRPr="00175535">
              <w:rPr>
                <w:rFonts w:cstheme="minorHAnsi"/>
                <w:sz w:val="20"/>
                <w:szCs w:val="20"/>
                <w:lang w:eastAsia="en-AU"/>
              </w:rPr>
              <w:t>18,147</w:t>
            </w:r>
          </w:p>
        </w:tc>
        <w:tc>
          <w:tcPr>
            <w:tcW w:w="1644" w:type="dxa"/>
            <w:tcBorders>
              <w:left w:val="nil"/>
              <w:right w:val="nil"/>
            </w:tcBorders>
            <w:shd w:val="clear" w:color="auto" w:fill="FFFFFF" w:themeFill="background1"/>
            <w:vAlign w:val="center"/>
          </w:tcPr>
          <w:p w:rsidR="008C148C" w:rsidRPr="003E7B66" w:rsidRDefault="005834FD" w:rsidP="00175535">
            <w:pPr>
              <w:pStyle w:val="Financials"/>
              <w:ind w:left="-108"/>
              <w:jc w:val="right"/>
              <w:rPr>
                <w:rFonts w:cstheme="minorHAnsi"/>
                <w:sz w:val="20"/>
                <w:szCs w:val="20"/>
                <w:lang w:eastAsia="en-AU"/>
              </w:rPr>
            </w:pPr>
            <w:r>
              <w:rPr>
                <w:rFonts w:cstheme="minorHAnsi"/>
                <w:sz w:val="20"/>
                <w:szCs w:val="20"/>
                <w:lang w:eastAsia="en-AU"/>
              </w:rPr>
              <w:t>87,125</w:t>
            </w:r>
          </w:p>
        </w:tc>
        <w:tc>
          <w:tcPr>
            <w:tcW w:w="1304" w:type="dxa"/>
            <w:tcBorders>
              <w:left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10,257</w:t>
            </w:r>
          </w:p>
        </w:tc>
        <w:tc>
          <w:tcPr>
            <w:tcW w:w="1304" w:type="dxa"/>
            <w:tcBorders>
              <w:left w:val="nil"/>
              <w:right w:val="nil"/>
            </w:tcBorders>
            <w:shd w:val="clear" w:color="auto" w:fill="auto"/>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13,019</w:t>
            </w:r>
          </w:p>
        </w:tc>
        <w:tc>
          <w:tcPr>
            <w:tcW w:w="1304" w:type="dxa"/>
            <w:tcBorders>
              <w:left w:val="nil"/>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78,901</w:t>
            </w:r>
          </w:p>
        </w:tc>
        <w:tc>
          <w:tcPr>
            <w:tcW w:w="1362" w:type="dxa"/>
            <w:tcBorders>
              <w:left w:val="nil"/>
              <w:right w:val="nil"/>
            </w:tcBorders>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100,144</w:t>
            </w:r>
          </w:p>
        </w:tc>
      </w:tr>
      <w:tr w:rsidR="001E5AC1" w:rsidRPr="00175535" w:rsidTr="004442D4">
        <w:trPr>
          <w:trHeight w:val="270"/>
        </w:trPr>
        <w:tc>
          <w:tcPr>
            <w:tcW w:w="3828" w:type="dxa"/>
            <w:tcBorders>
              <w:left w:val="nil"/>
              <w:bottom w:val="single" w:sz="4" w:space="0" w:color="E0DCCB" w:themeColor="accent4" w:themeTint="66"/>
              <w:right w:val="nil"/>
            </w:tcBorders>
            <w:shd w:val="clear" w:color="auto" w:fill="auto"/>
            <w:vAlign w:val="center"/>
            <w:hideMark/>
          </w:tcPr>
          <w:p w:rsidR="008C148C" w:rsidRPr="00175535" w:rsidRDefault="008C148C" w:rsidP="00175535">
            <w:pPr>
              <w:pStyle w:val="Financials"/>
              <w:ind w:left="-108"/>
              <w:rPr>
                <w:rFonts w:cstheme="minorHAnsi"/>
                <w:sz w:val="20"/>
                <w:szCs w:val="20"/>
                <w:lang w:eastAsia="en-AU"/>
              </w:rPr>
            </w:pPr>
            <w:r w:rsidRPr="00175535">
              <w:rPr>
                <w:rFonts w:cstheme="minorHAnsi"/>
                <w:sz w:val="20"/>
                <w:szCs w:val="20"/>
                <w:lang w:eastAsia="en-AU"/>
              </w:rPr>
              <w:t>Royalties for Regions Fund</w:t>
            </w:r>
          </w:p>
        </w:tc>
        <w:tc>
          <w:tcPr>
            <w:tcW w:w="1644" w:type="dxa"/>
            <w:tcBorders>
              <w:left w:val="nil"/>
              <w:bottom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w:t>
            </w:r>
          </w:p>
        </w:tc>
        <w:tc>
          <w:tcPr>
            <w:tcW w:w="1644" w:type="dxa"/>
            <w:tcBorders>
              <w:left w:val="single" w:sz="4" w:space="0" w:color="FFFFFF" w:themeColor="background1"/>
              <w:bottom w:val="single" w:sz="4" w:space="0" w:color="FFFFFF" w:themeColor="background1"/>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r w:rsidRPr="00175535">
              <w:rPr>
                <w:rFonts w:cstheme="minorHAnsi"/>
                <w:sz w:val="20"/>
                <w:szCs w:val="20"/>
                <w:lang w:eastAsia="en-AU"/>
              </w:rPr>
              <w:t>-</w:t>
            </w:r>
          </w:p>
        </w:tc>
        <w:tc>
          <w:tcPr>
            <w:tcW w:w="1644" w:type="dxa"/>
            <w:tcBorders>
              <w:left w:val="nil"/>
              <w:bottom w:val="single" w:sz="4" w:space="0" w:color="E0DCCB" w:themeColor="accent4" w:themeTint="66"/>
              <w:right w:val="nil"/>
            </w:tcBorders>
            <w:shd w:val="clear" w:color="auto" w:fill="FFFFFF" w:themeFill="background1"/>
            <w:vAlign w:val="center"/>
          </w:tcPr>
          <w:p w:rsidR="008C148C" w:rsidRPr="003E7B66" w:rsidRDefault="005834FD" w:rsidP="00175535">
            <w:pPr>
              <w:pStyle w:val="Financials"/>
              <w:ind w:left="-108"/>
              <w:jc w:val="right"/>
              <w:rPr>
                <w:rFonts w:cstheme="minorHAnsi"/>
                <w:sz w:val="20"/>
                <w:szCs w:val="20"/>
                <w:lang w:eastAsia="en-AU"/>
              </w:rPr>
            </w:pPr>
            <w:r>
              <w:rPr>
                <w:rFonts w:cstheme="minorHAnsi"/>
                <w:sz w:val="20"/>
                <w:szCs w:val="20"/>
                <w:lang w:eastAsia="en-AU"/>
              </w:rPr>
              <w:t>390,000</w:t>
            </w:r>
          </w:p>
        </w:tc>
        <w:tc>
          <w:tcPr>
            <w:tcW w:w="1304" w:type="dxa"/>
            <w:tcBorders>
              <w:left w:val="nil"/>
              <w:bottom w:val="single" w:sz="4" w:space="0" w:color="FFFFFF" w:themeColor="background1"/>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w:t>
            </w:r>
          </w:p>
        </w:tc>
        <w:tc>
          <w:tcPr>
            <w:tcW w:w="1304" w:type="dxa"/>
            <w:tcBorders>
              <w:left w:val="nil"/>
              <w:bottom w:val="single" w:sz="6" w:space="0" w:color="E0DCCB" w:themeColor="accent4" w:themeTint="66"/>
              <w:right w:val="nil"/>
            </w:tcBorders>
            <w:shd w:val="clear" w:color="auto" w:fill="auto"/>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w:t>
            </w:r>
          </w:p>
        </w:tc>
        <w:tc>
          <w:tcPr>
            <w:tcW w:w="1304" w:type="dxa"/>
            <w:tcBorders>
              <w:left w:val="nil"/>
              <w:bottom w:val="single" w:sz="4" w:space="0" w:color="FFFFFF" w:themeColor="background1"/>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w:t>
            </w:r>
          </w:p>
        </w:tc>
        <w:tc>
          <w:tcPr>
            <w:tcW w:w="1362" w:type="dxa"/>
            <w:tcBorders>
              <w:left w:val="nil"/>
              <w:bottom w:val="single" w:sz="4" w:space="0" w:color="E0DCCB" w:themeColor="accent4" w:themeTint="66"/>
              <w:right w:val="nil"/>
            </w:tcBorders>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sz w:val="20"/>
                <w:szCs w:val="20"/>
                <w:lang w:eastAsia="en-AU"/>
              </w:rPr>
              <w:t>390,000</w:t>
            </w:r>
          </w:p>
        </w:tc>
      </w:tr>
      <w:tr w:rsidR="001E5AC1" w:rsidRPr="00175535" w:rsidTr="004442D4">
        <w:trPr>
          <w:trHeight w:val="255"/>
        </w:trPr>
        <w:tc>
          <w:tcPr>
            <w:tcW w:w="3828"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8C148C" w:rsidRPr="00175535" w:rsidRDefault="008C148C" w:rsidP="00175535">
            <w:pPr>
              <w:pStyle w:val="Financials"/>
              <w:ind w:left="-108"/>
              <w:rPr>
                <w:rFonts w:cstheme="minorHAnsi"/>
                <w:b/>
                <w:bCs/>
                <w:sz w:val="20"/>
                <w:szCs w:val="20"/>
                <w:lang w:eastAsia="en-AU"/>
              </w:rPr>
            </w:pPr>
            <w:r w:rsidRPr="00175535">
              <w:rPr>
                <w:rFonts w:cstheme="minorHAnsi"/>
                <w:b/>
                <w:bCs/>
                <w:sz w:val="20"/>
                <w:szCs w:val="20"/>
                <w:lang w:eastAsia="en-AU"/>
              </w:rPr>
              <w:t>Total income from State Government</w:t>
            </w:r>
          </w:p>
        </w:tc>
        <w:tc>
          <w:tcPr>
            <w:tcW w:w="1644" w:type="dxa"/>
            <w:tcBorders>
              <w:top w:val="single" w:sz="4" w:space="0" w:color="FFFFFF" w:themeColor="background1"/>
              <w:left w:val="nil"/>
              <w:bottom w:val="single" w:sz="4" w:space="0" w:color="FFFFFF" w:themeColor="background1"/>
              <w:right w:val="single" w:sz="4" w:space="0" w:color="FFFFFF" w:themeColor="background1"/>
            </w:tcBorders>
            <w:shd w:val="clear" w:color="auto" w:fill="E0DCCB" w:themeFill="accent4" w:themeFillTint="66"/>
            <w:vAlign w:val="center"/>
          </w:tcPr>
          <w:p w:rsidR="008C148C" w:rsidRPr="00175535" w:rsidRDefault="0016305F" w:rsidP="0016305F">
            <w:pPr>
              <w:pStyle w:val="Financials"/>
              <w:ind w:left="-108"/>
              <w:jc w:val="right"/>
              <w:rPr>
                <w:rFonts w:cstheme="minorHAnsi"/>
                <w:sz w:val="20"/>
                <w:szCs w:val="20"/>
                <w:lang w:eastAsia="en-AU"/>
              </w:rPr>
            </w:pPr>
            <w:r>
              <w:rPr>
                <w:rFonts w:cstheme="minorHAnsi"/>
                <w:b/>
                <w:bCs/>
                <w:sz w:val="20"/>
                <w:szCs w:val="20"/>
                <w:lang w:eastAsia="en-AU"/>
              </w:rPr>
              <w:t>9,647,937</w:t>
            </w:r>
          </w:p>
        </w:tc>
        <w:tc>
          <w:tcPr>
            <w:tcW w:w="1644" w:type="dxa"/>
            <w:tcBorders>
              <w:top w:val="single" w:sz="4" w:space="0" w:color="FFFFFF" w:themeColor="background1"/>
              <w:left w:val="single" w:sz="4" w:space="0" w:color="FFFFFF" w:themeColor="background1"/>
              <w:bottom w:val="single" w:sz="4" w:space="0" w:color="FFFFFF" w:themeColor="background1"/>
              <w:right w:val="nil"/>
            </w:tcBorders>
            <w:shd w:val="clear" w:color="auto" w:fill="E0DCCB" w:themeFill="accent4" w:themeFillTint="66"/>
            <w:vAlign w:val="center"/>
          </w:tcPr>
          <w:p w:rsidR="008C148C" w:rsidRPr="00175535" w:rsidRDefault="008C148C" w:rsidP="00930F6F">
            <w:pPr>
              <w:pStyle w:val="Financials"/>
              <w:ind w:left="-108"/>
              <w:jc w:val="right"/>
              <w:rPr>
                <w:rFonts w:cstheme="minorHAnsi"/>
                <w:b/>
                <w:bCs/>
                <w:sz w:val="20"/>
                <w:szCs w:val="20"/>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3,46</w:t>
            </w:r>
            <w:r w:rsidR="00930F6F">
              <w:rPr>
                <w:rFonts w:cstheme="minorHAnsi"/>
                <w:b/>
                <w:bCs/>
                <w:noProof/>
                <w:sz w:val="20"/>
                <w:szCs w:val="20"/>
                <w:lang w:eastAsia="en-AU"/>
              </w:rPr>
              <w:t>7</w:t>
            </w:r>
            <w:r w:rsidRPr="00175535">
              <w:rPr>
                <w:rFonts w:cstheme="minorHAnsi"/>
                <w:b/>
                <w:bCs/>
                <w:noProof/>
                <w:sz w:val="20"/>
                <w:szCs w:val="20"/>
                <w:lang w:eastAsia="en-AU"/>
              </w:rPr>
              <w:t>,</w:t>
            </w:r>
            <w:r w:rsidRPr="00175535">
              <w:rPr>
                <w:rFonts w:cstheme="minorHAnsi"/>
                <w:b/>
                <w:bCs/>
                <w:sz w:val="20"/>
                <w:szCs w:val="20"/>
                <w:lang w:eastAsia="en-AU"/>
              </w:rPr>
              <w:fldChar w:fldCharType="end"/>
            </w:r>
            <w:r w:rsidR="00930F6F">
              <w:rPr>
                <w:rFonts w:cstheme="minorHAnsi"/>
                <w:b/>
                <w:bCs/>
                <w:sz w:val="20"/>
                <w:szCs w:val="20"/>
                <w:lang w:eastAsia="en-AU"/>
              </w:rPr>
              <w:t>227</w:t>
            </w:r>
          </w:p>
        </w:tc>
        <w:tc>
          <w:tcPr>
            <w:tcW w:w="1644" w:type="dxa"/>
            <w:tcBorders>
              <w:top w:val="single" w:sz="4" w:space="0" w:color="E0DCCB" w:themeColor="accent4" w:themeTint="66"/>
              <w:left w:val="nil"/>
              <w:bottom w:val="single" w:sz="4" w:space="0" w:color="E0DCCB" w:themeColor="accent4" w:themeTint="66"/>
              <w:right w:val="nil"/>
            </w:tcBorders>
            <w:shd w:val="clear" w:color="auto" w:fill="FFFFFF" w:themeFill="background1"/>
            <w:vAlign w:val="center"/>
          </w:tcPr>
          <w:p w:rsidR="008C148C" w:rsidRPr="003E7B66" w:rsidRDefault="005834FD" w:rsidP="00175535">
            <w:pPr>
              <w:pStyle w:val="Financials"/>
              <w:ind w:left="-108"/>
              <w:jc w:val="right"/>
              <w:rPr>
                <w:rFonts w:cstheme="minorHAnsi"/>
                <w:b/>
                <w:bCs/>
                <w:sz w:val="20"/>
                <w:szCs w:val="20"/>
                <w:lang w:eastAsia="en-AU"/>
              </w:rPr>
            </w:pPr>
            <w:r>
              <w:rPr>
                <w:rFonts w:cstheme="minorHAnsi"/>
                <w:b/>
                <w:bCs/>
                <w:sz w:val="20"/>
                <w:szCs w:val="20"/>
                <w:lang w:eastAsia="en-AU"/>
              </w:rPr>
              <w:t>13,120,835</w:t>
            </w:r>
          </w:p>
        </w:tc>
        <w:tc>
          <w:tcPr>
            <w:tcW w:w="130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C148C" w:rsidRPr="00175535" w:rsidRDefault="003E1466" w:rsidP="003E1466">
            <w:pPr>
              <w:pStyle w:val="Financials"/>
              <w:ind w:left="-108"/>
              <w:jc w:val="right"/>
              <w:rPr>
                <w:rFonts w:cstheme="minorHAnsi"/>
                <w:b/>
                <w:bCs/>
                <w:sz w:val="20"/>
                <w:szCs w:val="20"/>
                <w:lang w:eastAsia="en-AU"/>
              </w:rPr>
            </w:pPr>
            <w:r>
              <w:rPr>
                <w:rFonts w:cstheme="minorHAnsi"/>
                <w:b/>
                <w:bCs/>
                <w:sz w:val="20"/>
                <w:szCs w:val="20"/>
                <w:lang w:eastAsia="en-AU"/>
              </w:rPr>
              <w:t>1,959,737</w:t>
            </w:r>
          </w:p>
        </w:tc>
        <w:tc>
          <w:tcPr>
            <w:tcW w:w="1304" w:type="dxa"/>
            <w:tcBorders>
              <w:top w:val="single" w:sz="6" w:space="0" w:color="E0DCCB" w:themeColor="accent4" w:themeTint="66"/>
              <w:left w:val="nil"/>
              <w:bottom w:val="single" w:sz="6" w:space="0" w:color="E0DCCB" w:themeColor="accent4" w:themeTint="66"/>
              <w:right w:val="nil"/>
            </w:tcBorders>
            <w:shd w:val="clear" w:color="auto" w:fill="auto"/>
            <w:vAlign w:val="center"/>
          </w:tcPr>
          <w:p w:rsidR="008C148C" w:rsidRPr="00175535" w:rsidRDefault="008C148C" w:rsidP="00175535">
            <w:pPr>
              <w:pStyle w:val="Financials"/>
              <w:ind w:left="-108"/>
              <w:jc w:val="right"/>
              <w:rPr>
                <w:rFonts w:cstheme="minorHAnsi"/>
                <w:b/>
                <w:bCs/>
                <w:sz w:val="20"/>
                <w:szCs w:val="20"/>
                <w:lang w:eastAsia="en-AU"/>
              </w:rPr>
            </w:pPr>
            <w:r w:rsidRPr="00175535">
              <w:rPr>
                <w:rFonts w:cstheme="minorHAnsi"/>
                <w:b/>
                <w:bCs/>
                <w:sz w:val="20"/>
                <w:szCs w:val="20"/>
                <w:lang w:eastAsia="en-AU"/>
              </w:rPr>
              <w:t>1,902,309</w:t>
            </w:r>
          </w:p>
        </w:tc>
        <w:tc>
          <w:tcPr>
            <w:tcW w:w="130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b/>
                <w:bCs/>
                <w:sz w:val="20"/>
                <w:szCs w:val="20"/>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15,074,901</w:t>
            </w:r>
            <w:r w:rsidRPr="00175535">
              <w:rPr>
                <w:rFonts w:cstheme="minorHAnsi"/>
                <w:b/>
                <w:bCs/>
                <w:sz w:val="20"/>
                <w:szCs w:val="20"/>
                <w:lang w:eastAsia="en-AU"/>
              </w:rPr>
              <w:fldChar w:fldCharType="end"/>
            </w:r>
          </w:p>
        </w:tc>
        <w:tc>
          <w:tcPr>
            <w:tcW w:w="1362" w:type="dxa"/>
            <w:tcBorders>
              <w:top w:val="single" w:sz="4" w:space="0" w:color="E0DCCB" w:themeColor="accent4" w:themeTint="66"/>
              <w:left w:val="nil"/>
              <w:bottom w:val="single" w:sz="4" w:space="0" w:color="E0DCCB" w:themeColor="accent4" w:themeTint="66"/>
              <w:right w:val="nil"/>
            </w:tcBorders>
            <w:vAlign w:val="center"/>
          </w:tcPr>
          <w:p w:rsidR="008C148C" w:rsidRPr="00175535" w:rsidRDefault="008C148C" w:rsidP="00175535">
            <w:pPr>
              <w:pStyle w:val="Financials"/>
              <w:ind w:left="-108"/>
              <w:jc w:val="right"/>
              <w:rPr>
                <w:rFonts w:cstheme="minorHAnsi"/>
                <w:b/>
                <w:bCs/>
                <w:sz w:val="20"/>
                <w:szCs w:val="20"/>
                <w:lang w:eastAsia="en-AU"/>
              </w:rPr>
            </w:pPr>
            <w:r w:rsidRPr="00175535">
              <w:rPr>
                <w:rFonts w:cstheme="minorHAnsi"/>
                <w:b/>
                <w:bCs/>
                <w:sz w:val="20"/>
                <w:szCs w:val="20"/>
                <w:lang w:eastAsia="en-AU"/>
              </w:rPr>
              <w:fldChar w:fldCharType="begin"/>
            </w:r>
            <w:r w:rsidRPr="00175535">
              <w:rPr>
                <w:rFonts w:cstheme="minorHAnsi"/>
                <w:b/>
                <w:bCs/>
                <w:sz w:val="20"/>
                <w:szCs w:val="20"/>
                <w:lang w:eastAsia="en-AU"/>
              </w:rPr>
              <w:instrText xml:space="preserve"> =SUM(ABOVE) </w:instrText>
            </w:r>
            <w:r w:rsidRPr="00175535">
              <w:rPr>
                <w:rFonts w:cstheme="minorHAnsi"/>
                <w:b/>
                <w:bCs/>
                <w:sz w:val="20"/>
                <w:szCs w:val="20"/>
                <w:lang w:eastAsia="en-AU"/>
              </w:rPr>
              <w:fldChar w:fldCharType="separate"/>
            </w:r>
            <w:r w:rsidRPr="00175535">
              <w:rPr>
                <w:rFonts w:cstheme="minorHAnsi"/>
                <w:b/>
                <w:bCs/>
                <w:noProof/>
                <w:sz w:val="20"/>
                <w:szCs w:val="20"/>
                <w:lang w:eastAsia="en-AU"/>
              </w:rPr>
              <w:t>15,023,144</w:t>
            </w:r>
            <w:r w:rsidRPr="00175535">
              <w:rPr>
                <w:rFonts w:cstheme="minorHAnsi"/>
                <w:b/>
                <w:bCs/>
                <w:sz w:val="20"/>
                <w:szCs w:val="20"/>
                <w:lang w:eastAsia="en-AU"/>
              </w:rPr>
              <w:fldChar w:fldCharType="end"/>
            </w:r>
          </w:p>
        </w:tc>
      </w:tr>
      <w:tr w:rsidR="004442D4" w:rsidRPr="00175535" w:rsidTr="004442D4">
        <w:trPr>
          <w:trHeight w:val="255"/>
        </w:trPr>
        <w:tc>
          <w:tcPr>
            <w:tcW w:w="3828" w:type="dxa"/>
            <w:tcBorders>
              <w:top w:val="single" w:sz="4" w:space="0" w:color="E0DCCB" w:themeColor="accent4" w:themeTint="66"/>
              <w:left w:val="nil"/>
              <w:bottom w:val="single" w:sz="4" w:space="0" w:color="B2A97E" w:themeColor="accent4"/>
              <w:right w:val="nil"/>
            </w:tcBorders>
            <w:shd w:val="clear" w:color="auto" w:fill="auto"/>
            <w:vAlign w:val="center"/>
            <w:hideMark/>
          </w:tcPr>
          <w:p w:rsidR="008C148C" w:rsidRPr="00175535" w:rsidRDefault="008C148C" w:rsidP="00175535">
            <w:pPr>
              <w:pStyle w:val="Financials"/>
              <w:ind w:left="-108"/>
              <w:rPr>
                <w:rFonts w:cstheme="minorHAnsi"/>
                <w:sz w:val="20"/>
                <w:szCs w:val="20"/>
              </w:rPr>
            </w:pPr>
            <w:r w:rsidRPr="00175535">
              <w:rPr>
                <w:rFonts w:cstheme="minorHAnsi"/>
                <w:b/>
                <w:bCs/>
                <w:sz w:val="20"/>
                <w:szCs w:val="20"/>
              </w:rPr>
              <w:t>SURPLUS/DEFICIT FOR THE PERIOD</w:t>
            </w:r>
          </w:p>
        </w:tc>
        <w:tc>
          <w:tcPr>
            <w:tcW w:w="1644" w:type="dxa"/>
            <w:tcBorders>
              <w:top w:val="single" w:sz="4" w:space="0" w:color="FFFFFF" w:themeColor="background1"/>
              <w:left w:val="nil"/>
              <w:bottom w:val="single" w:sz="4" w:space="0" w:color="B2A97E" w:themeColor="accent4"/>
              <w:right w:val="single" w:sz="4" w:space="0" w:color="FFFFFF" w:themeColor="background1"/>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b/>
                <w:bCs/>
                <w:sz w:val="20"/>
                <w:szCs w:val="20"/>
                <w:lang w:eastAsia="en-AU"/>
              </w:rPr>
              <w:t>489,055</w:t>
            </w:r>
          </w:p>
        </w:tc>
        <w:tc>
          <w:tcPr>
            <w:tcW w:w="1644" w:type="dxa"/>
            <w:tcBorders>
              <w:top w:val="single" w:sz="4" w:space="0" w:color="FFFFFF" w:themeColor="background1"/>
              <w:left w:val="single" w:sz="4" w:space="0" w:color="FFFFFF" w:themeColor="background1"/>
              <w:bottom w:val="single" w:sz="4" w:space="0" w:color="B2A97E" w:themeColor="accent4"/>
              <w:right w:val="nil"/>
            </w:tcBorders>
            <w:shd w:val="clear" w:color="auto" w:fill="E0DCCB" w:themeFill="accent4" w:themeFillTint="66"/>
            <w:vAlign w:val="center"/>
          </w:tcPr>
          <w:p w:rsidR="008C148C" w:rsidRPr="00175535" w:rsidRDefault="008C148C" w:rsidP="00E83A8D">
            <w:pPr>
              <w:pStyle w:val="Financials"/>
              <w:ind w:left="-108"/>
              <w:jc w:val="right"/>
              <w:rPr>
                <w:rFonts w:cstheme="minorHAnsi"/>
                <w:sz w:val="20"/>
                <w:szCs w:val="20"/>
                <w:lang w:eastAsia="en-AU"/>
              </w:rPr>
            </w:pPr>
            <w:r w:rsidRPr="00175535">
              <w:rPr>
                <w:rFonts w:cstheme="minorHAnsi"/>
                <w:b/>
                <w:bCs/>
                <w:sz w:val="20"/>
                <w:szCs w:val="20"/>
                <w:lang w:eastAsia="en-AU"/>
              </w:rPr>
              <w:t>3,019</w:t>
            </w:r>
          </w:p>
        </w:tc>
        <w:tc>
          <w:tcPr>
            <w:tcW w:w="1644" w:type="dxa"/>
            <w:tcBorders>
              <w:top w:val="single" w:sz="4" w:space="0" w:color="E0DCCB" w:themeColor="accent4" w:themeTint="66"/>
              <w:left w:val="nil"/>
              <w:bottom w:val="single" w:sz="4" w:space="0" w:color="B2A97E" w:themeColor="accent4"/>
              <w:right w:val="nil"/>
            </w:tcBorders>
            <w:shd w:val="clear" w:color="auto" w:fill="FFFFFF" w:themeFill="background1"/>
            <w:vAlign w:val="center"/>
          </w:tcPr>
          <w:p w:rsidR="008C148C" w:rsidRPr="005834FD" w:rsidRDefault="005834FD" w:rsidP="00175535">
            <w:pPr>
              <w:pStyle w:val="Financials"/>
              <w:ind w:left="-108"/>
              <w:jc w:val="right"/>
              <w:rPr>
                <w:rFonts w:cstheme="minorHAnsi"/>
                <w:b/>
                <w:sz w:val="20"/>
                <w:szCs w:val="20"/>
                <w:lang w:eastAsia="en-AU"/>
              </w:rPr>
            </w:pPr>
            <w:r w:rsidRPr="005834FD">
              <w:rPr>
                <w:rFonts w:cstheme="minorHAnsi"/>
                <w:b/>
                <w:sz w:val="20"/>
                <w:szCs w:val="20"/>
                <w:lang w:eastAsia="en-AU"/>
              </w:rPr>
              <w:t>(916,981)</w:t>
            </w:r>
          </w:p>
        </w:tc>
        <w:tc>
          <w:tcPr>
            <w:tcW w:w="1304"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b/>
                <w:bCs/>
                <w:sz w:val="20"/>
                <w:szCs w:val="20"/>
                <w:lang w:eastAsia="en-AU"/>
              </w:rPr>
            </w:pPr>
            <w:r w:rsidRPr="00175535">
              <w:rPr>
                <w:rFonts w:cstheme="minorHAnsi"/>
                <w:b/>
                <w:bCs/>
                <w:sz w:val="20"/>
                <w:szCs w:val="20"/>
                <w:lang w:eastAsia="en-AU"/>
              </w:rPr>
              <w:t>51,973</w:t>
            </w:r>
          </w:p>
        </w:tc>
        <w:tc>
          <w:tcPr>
            <w:tcW w:w="1304" w:type="dxa"/>
            <w:tcBorders>
              <w:top w:val="single" w:sz="6" w:space="0" w:color="E0DCCB" w:themeColor="accent4" w:themeTint="66"/>
              <w:left w:val="nil"/>
              <w:bottom w:val="single" w:sz="4" w:space="0" w:color="B2A97E" w:themeColor="accent4"/>
              <w:right w:val="nil"/>
            </w:tcBorders>
            <w:shd w:val="clear" w:color="auto" w:fill="auto"/>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b/>
                <w:bCs/>
                <w:sz w:val="20"/>
                <w:szCs w:val="20"/>
                <w:lang w:eastAsia="en-AU"/>
              </w:rPr>
              <w:t>(15,402)</w:t>
            </w:r>
          </w:p>
        </w:tc>
        <w:tc>
          <w:tcPr>
            <w:tcW w:w="1304"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b/>
                <w:bCs/>
                <w:sz w:val="20"/>
                <w:szCs w:val="20"/>
                <w:lang w:eastAsia="en-AU"/>
              </w:rPr>
              <w:t>544,047</w:t>
            </w:r>
          </w:p>
        </w:tc>
        <w:tc>
          <w:tcPr>
            <w:tcW w:w="1362" w:type="dxa"/>
            <w:tcBorders>
              <w:top w:val="single" w:sz="4" w:space="0" w:color="E0DCCB" w:themeColor="accent4" w:themeTint="66"/>
              <w:left w:val="nil"/>
              <w:bottom w:val="single" w:sz="4" w:space="0" w:color="B2A97E" w:themeColor="accent4"/>
              <w:right w:val="nil"/>
            </w:tcBorders>
            <w:vAlign w:val="center"/>
          </w:tcPr>
          <w:p w:rsidR="008C148C" w:rsidRPr="00175535" w:rsidRDefault="008C148C" w:rsidP="00175535">
            <w:pPr>
              <w:pStyle w:val="Financials"/>
              <w:ind w:left="-108"/>
              <w:jc w:val="right"/>
              <w:rPr>
                <w:rFonts w:cstheme="minorHAnsi"/>
                <w:sz w:val="20"/>
                <w:szCs w:val="20"/>
                <w:lang w:eastAsia="en-AU"/>
              </w:rPr>
            </w:pPr>
            <w:r w:rsidRPr="00175535">
              <w:rPr>
                <w:rFonts w:cstheme="minorHAnsi"/>
                <w:b/>
                <w:bCs/>
                <w:sz w:val="20"/>
                <w:szCs w:val="20"/>
                <w:lang w:eastAsia="en-AU"/>
              </w:rPr>
              <w:t>(932,383)</w:t>
            </w:r>
          </w:p>
        </w:tc>
      </w:tr>
    </w:tbl>
    <w:p w:rsidR="003B400A" w:rsidRPr="005834FD" w:rsidRDefault="00827E96" w:rsidP="00693C8F">
      <w:pPr>
        <w:pStyle w:val="Financialfooter"/>
      </w:pPr>
      <w:r w:rsidRPr="005834FD">
        <w:t xml:space="preserve">New services were established in 2014–15. In previous years, Services 1 and 2 were combined as Service </w:t>
      </w:r>
      <w:r w:rsidR="005834FD">
        <w:t xml:space="preserve">1 </w:t>
      </w:r>
      <w:r w:rsidRPr="005834FD">
        <w:t>and therefore there are no comparatives for the 2013</w:t>
      </w:r>
      <w:r w:rsidR="005834FD" w:rsidRPr="005834FD">
        <w:t>–</w:t>
      </w:r>
      <w:r w:rsidRPr="005834FD">
        <w:t>14 year.</w:t>
      </w:r>
    </w:p>
    <w:p w:rsidR="003B400A" w:rsidRDefault="003B400A" w:rsidP="003B400A">
      <w:pPr>
        <w:pStyle w:val="Financialsheading1"/>
      </w:pPr>
      <w:bookmarkStart w:id="100" w:name="_Toc425254043"/>
      <w:bookmarkStart w:id="101" w:name="_Toc428279208"/>
      <w:r>
        <w:lastRenderedPageBreak/>
        <w:t>Schedule of Assets and Liabilities by Service</w:t>
      </w:r>
      <w:bookmarkEnd w:id="100"/>
      <w:bookmarkEnd w:id="101"/>
    </w:p>
    <w:p w:rsidR="00AE2DE2" w:rsidRDefault="003B400A" w:rsidP="003B400A">
      <w:pPr>
        <w:pStyle w:val="Financialsheading2"/>
      </w:pPr>
      <w:bookmarkStart w:id="102" w:name="_Toc425254044"/>
      <w:r>
        <w:t>As at 30 June 2015</w:t>
      </w:r>
      <w:bookmarkEnd w:id="102"/>
    </w:p>
    <w:tbl>
      <w:tblPr>
        <w:tblW w:w="14005" w:type="dxa"/>
        <w:tblInd w:w="108" w:type="dxa"/>
        <w:tblLayout w:type="fixed"/>
        <w:tblCellMar>
          <w:top w:w="28" w:type="dxa"/>
          <w:bottom w:w="28" w:type="dxa"/>
        </w:tblCellMar>
        <w:tblLook w:val="04A0" w:firstRow="1" w:lastRow="0" w:firstColumn="1" w:lastColumn="0" w:noHBand="0" w:noVBand="1"/>
      </w:tblPr>
      <w:tblGrid>
        <w:gridCol w:w="2694"/>
        <w:gridCol w:w="1701"/>
        <w:gridCol w:w="1701"/>
        <w:gridCol w:w="1701"/>
        <w:gridCol w:w="1644"/>
        <w:gridCol w:w="1616"/>
        <w:gridCol w:w="1474"/>
        <w:gridCol w:w="1474"/>
      </w:tblGrid>
      <w:tr w:rsidR="00477AD2" w:rsidRPr="003B400A" w:rsidTr="00477AD2">
        <w:trPr>
          <w:trHeight w:val="255"/>
        </w:trPr>
        <w:tc>
          <w:tcPr>
            <w:tcW w:w="2694" w:type="dxa"/>
            <w:tcBorders>
              <w:right w:val="single" w:sz="4" w:space="0" w:color="FFFFFF" w:themeColor="background1"/>
            </w:tcBorders>
            <w:shd w:val="clear" w:color="auto" w:fill="E0DCCB" w:themeFill="accent4" w:themeFillTint="66"/>
            <w:vAlign w:val="center"/>
          </w:tcPr>
          <w:p w:rsidR="007B1360" w:rsidRPr="00737103" w:rsidRDefault="007B1360" w:rsidP="0093364B">
            <w:pPr>
              <w:pStyle w:val="Financials"/>
              <w:rPr>
                <w:sz w:val="20"/>
                <w:szCs w:val="20"/>
                <w:lang w:eastAsia="en-AU"/>
              </w:rPr>
            </w:pPr>
          </w:p>
        </w:tc>
        <w:tc>
          <w:tcPr>
            <w:tcW w:w="1701" w:type="dxa"/>
            <w:tcBorders>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vAlign w:val="center"/>
          </w:tcPr>
          <w:p w:rsidR="007B1360" w:rsidRDefault="007B1360" w:rsidP="00FC300F">
            <w:pPr>
              <w:pStyle w:val="Financials"/>
              <w:jc w:val="center"/>
              <w:rPr>
                <w:b/>
                <w:bCs/>
                <w:sz w:val="20"/>
                <w:szCs w:val="20"/>
                <w:lang w:eastAsia="en-AU"/>
              </w:rPr>
            </w:pPr>
            <w:r>
              <w:rPr>
                <w:b/>
                <w:bCs/>
                <w:sz w:val="20"/>
                <w:szCs w:val="20"/>
                <w:lang w:eastAsia="en-AU"/>
              </w:rPr>
              <w:t xml:space="preserve">Service 1 – </w:t>
            </w:r>
          </w:p>
          <w:p w:rsidR="007B1360" w:rsidRPr="00737103" w:rsidRDefault="007B1360" w:rsidP="00FC300F">
            <w:pPr>
              <w:pStyle w:val="Financials"/>
              <w:jc w:val="center"/>
              <w:rPr>
                <w:b/>
                <w:bCs/>
                <w:sz w:val="20"/>
                <w:szCs w:val="20"/>
                <w:lang w:eastAsia="en-AU"/>
              </w:rPr>
            </w:pPr>
            <w:r w:rsidRPr="00737103">
              <w:rPr>
                <w:b/>
                <w:bCs/>
                <w:sz w:val="20"/>
                <w:szCs w:val="20"/>
                <w:lang w:eastAsia="en-AU"/>
              </w:rPr>
              <w:t>Environmental Impact Assessment Services to the EPA</w:t>
            </w:r>
            <w:r w:rsidRPr="004442D4">
              <w:rPr>
                <w:b/>
                <w:bCs/>
                <w:sz w:val="20"/>
                <w:szCs w:val="20"/>
                <w:vertAlign w:val="superscript"/>
                <w:lang w:eastAsia="en-AU"/>
              </w:rPr>
              <w:t>(a)</w:t>
            </w:r>
          </w:p>
        </w:tc>
        <w:tc>
          <w:tcPr>
            <w:tcW w:w="1701" w:type="dxa"/>
            <w:tcBorders>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tcPr>
          <w:p w:rsidR="007B1360" w:rsidRDefault="007B1360" w:rsidP="00FC300F">
            <w:pPr>
              <w:pStyle w:val="Financials"/>
              <w:jc w:val="center"/>
              <w:rPr>
                <w:b/>
                <w:bCs/>
                <w:sz w:val="20"/>
                <w:szCs w:val="20"/>
                <w:lang w:eastAsia="en-AU"/>
              </w:rPr>
            </w:pPr>
            <w:r>
              <w:rPr>
                <w:b/>
                <w:bCs/>
                <w:sz w:val="20"/>
                <w:szCs w:val="20"/>
                <w:lang w:eastAsia="en-AU"/>
              </w:rPr>
              <w:t xml:space="preserve">Service 2 – </w:t>
            </w:r>
          </w:p>
          <w:p w:rsidR="007B1360" w:rsidRPr="00737103" w:rsidRDefault="007B1360" w:rsidP="00FC300F">
            <w:pPr>
              <w:pStyle w:val="Financials"/>
              <w:jc w:val="center"/>
              <w:rPr>
                <w:b/>
                <w:bCs/>
                <w:sz w:val="20"/>
                <w:szCs w:val="20"/>
                <w:lang w:eastAsia="en-AU"/>
              </w:rPr>
            </w:pPr>
            <w:r w:rsidRPr="00737103">
              <w:rPr>
                <w:b/>
                <w:bCs/>
                <w:sz w:val="20"/>
                <w:szCs w:val="20"/>
                <w:lang w:eastAsia="en-AU"/>
              </w:rPr>
              <w:t>Environmental Management Services to the EPA</w:t>
            </w:r>
            <w:r w:rsidRPr="006E4DB8">
              <w:rPr>
                <w:b/>
                <w:bCs/>
                <w:sz w:val="20"/>
                <w:szCs w:val="20"/>
                <w:vertAlign w:val="superscript"/>
                <w:lang w:eastAsia="en-AU"/>
              </w:rPr>
              <w:t>(a)</w:t>
            </w:r>
          </w:p>
        </w:tc>
        <w:tc>
          <w:tcPr>
            <w:tcW w:w="1701" w:type="dxa"/>
            <w:tcBorders>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tcPr>
          <w:p w:rsidR="007B1360" w:rsidRPr="00737103" w:rsidRDefault="004D4F65" w:rsidP="00FC300F">
            <w:pPr>
              <w:pStyle w:val="Financials"/>
              <w:jc w:val="center"/>
              <w:rPr>
                <w:b/>
                <w:bCs/>
                <w:sz w:val="20"/>
                <w:szCs w:val="20"/>
                <w:lang w:eastAsia="en-AU"/>
              </w:rPr>
            </w:pPr>
            <w:r>
              <w:rPr>
                <w:b/>
                <w:bCs/>
                <w:sz w:val="20"/>
                <w:szCs w:val="20"/>
                <w:lang w:eastAsia="en-AU"/>
              </w:rPr>
              <w:t>2014</w:t>
            </w:r>
            <w:r>
              <w:rPr>
                <w:b/>
                <w:bCs/>
                <w:sz w:val="20"/>
                <w:szCs w:val="20"/>
                <w:lang w:eastAsia="en-AU"/>
              </w:rPr>
              <w:br/>
              <w:t>Service 1 – Environmental Impact Assessment and Policies</w:t>
            </w:r>
          </w:p>
        </w:tc>
        <w:tc>
          <w:tcPr>
            <w:tcW w:w="3260" w:type="dxa"/>
            <w:gridSpan w:val="2"/>
            <w:tcBorders>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tcPr>
          <w:p w:rsidR="007B1360" w:rsidRPr="00737103" w:rsidRDefault="009C7365" w:rsidP="00FC300F">
            <w:pPr>
              <w:pStyle w:val="Financials"/>
              <w:jc w:val="center"/>
              <w:rPr>
                <w:b/>
                <w:bCs/>
                <w:sz w:val="20"/>
                <w:szCs w:val="20"/>
                <w:lang w:eastAsia="en-AU"/>
              </w:rPr>
            </w:pPr>
            <w:r>
              <w:rPr>
                <w:b/>
                <w:bCs/>
                <w:sz w:val="20"/>
                <w:szCs w:val="20"/>
                <w:lang w:eastAsia="en-AU"/>
              </w:rPr>
              <w:t xml:space="preserve">Service 3 – </w:t>
            </w:r>
            <w:r>
              <w:rPr>
                <w:b/>
                <w:bCs/>
                <w:sz w:val="20"/>
                <w:szCs w:val="20"/>
                <w:lang w:eastAsia="en-AU"/>
              </w:rPr>
              <w:br/>
            </w:r>
            <w:r w:rsidR="007B1360" w:rsidRPr="00737103">
              <w:rPr>
                <w:b/>
                <w:bCs/>
                <w:sz w:val="20"/>
                <w:szCs w:val="20"/>
                <w:lang w:eastAsia="en-AU"/>
              </w:rPr>
              <w:t>Compliance Monitoring Services to the Minister</w:t>
            </w:r>
          </w:p>
        </w:tc>
        <w:tc>
          <w:tcPr>
            <w:tcW w:w="2948" w:type="dxa"/>
            <w:gridSpan w:val="2"/>
            <w:tcBorders>
              <w:left w:val="single" w:sz="4" w:space="0" w:color="FFFFFF" w:themeColor="background1"/>
              <w:bottom w:val="single" w:sz="4" w:space="0" w:color="FFFFFF" w:themeColor="background1"/>
            </w:tcBorders>
            <w:shd w:val="clear" w:color="auto" w:fill="E0DCCB" w:themeFill="accent4" w:themeFillTint="66"/>
          </w:tcPr>
          <w:p w:rsidR="007B1360" w:rsidRPr="00737103" w:rsidRDefault="007B1360" w:rsidP="00FC300F">
            <w:pPr>
              <w:pStyle w:val="Financials"/>
              <w:jc w:val="center"/>
              <w:rPr>
                <w:b/>
                <w:bCs/>
                <w:sz w:val="20"/>
                <w:szCs w:val="20"/>
                <w:lang w:eastAsia="en-AU"/>
              </w:rPr>
            </w:pPr>
            <w:r w:rsidRPr="00737103">
              <w:rPr>
                <w:b/>
                <w:bCs/>
                <w:sz w:val="20"/>
                <w:szCs w:val="20"/>
                <w:lang w:eastAsia="en-AU"/>
              </w:rPr>
              <w:t>Total</w:t>
            </w:r>
          </w:p>
        </w:tc>
      </w:tr>
      <w:tr w:rsidR="00011640" w:rsidRPr="003B400A" w:rsidTr="00477AD2">
        <w:trPr>
          <w:trHeight w:val="255"/>
        </w:trPr>
        <w:tc>
          <w:tcPr>
            <w:tcW w:w="2694" w:type="dxa"/>
            <w:tcBorders>
              <w:right w:val="single" w:sz="4" w:space="0" w:color="FFFFFF" w:themeColor="background1"/>
            </w:tcBorders>
            <w:shd w:val="clear" w:color="auto" w:fill="E0DCCB" w:themeFill="accent4" w:themeFillTint="66"/>
            <w:vAlign w:val="center"/>
            <w:hideMark/>
          </w:tcPr>
          <w:p w:rsidR="007B1360" w:rsidRPr="00737103" w:rsidRDefault="007B1360" w:rsidP="0093364B">
            <w:pPr>
              <w:pStyle w:val="Financials"/>
              <w:rPr>
                <w:sz w:val="20"/>
                <w:szCs w:val="20"/>
                <w:lang w:eastAsia="en-AU"/>
              </w:rPr>
            </w:pPr>
          </w:p>
        </w:tc>
        <w:tc>
          <w:tcPr>
            <w:tcW w:w="1701" w:type="dxa"/>
            <w:tcBorders>
              <w:top w:val="single" w:sz="4" w:space="0" w:color="FFFFFF" w:themeColor="background1"/>
              <w:left w:val="single" w:sz="4" w:space="0" w:color="FFFFFF" w:themeColor="background1"/>
              <w:right w:val="single" w:sz="4" w:space="0" w:color="FFFFFF" w:themeColor="background1"/>
            </w:tcBorders>
            <w:shd w:val="clear" w:color="auto" w:fill="E0DCCB" w:themeFill="accent4" w:themeFillTint="66"/>
            <w:vAlign w:val="center"/>
            <w:hideMark/>
          </w:tcPr>
          <w:p w:rsidR="007B1360" w:rsidRPr="00737103" w:rsidRDefault="007B1360" w:rsidP="00477AD2">
            <w:pPr>
              <w:pStyle w:val="Financials"/>
              <w:jc w:val="center"/>
              <w:rPr>
                <w:b/>
                <w:bCs/>
                <w:sz w:val="20"/>
                <w:szCs w:val="20"/>
                <w:lang w:eastAsia="en-AU"/>
              </w:rPr>
            </w:pPr>
            <w:r w:rsidRPr="00737103">
              <w:rPr>
                <w:b/>
                <w:bCs/>
                <w:sz w:val="20"/>
                <w:szCs w:val="20"/>
                <w:lang w:eastAsia="en-AU"/>
              </w:rPr>
              <w:t>201</w:t>
            </w:r>
            <w:r>
              <w:rPr>
                <w:b/>
                <w:bCs/>
                <w:sz w:val="20"/>
                <w:szCs w:val="20"/>
                <w:lang w:eastAsia="en-AU"/>
              </w:rPr>
              <w:t>5</w:t>
            </w:r>
          </w:p>
        </w:tc>
        <w:tc>
          <w:tcPr>
            <w:tcW w:w="1701" w:type="dxa"/>
            <w:tcBorders>
              <w:top w:val="single" w:sz="4" w:space="0" w:color="FFFFFF" w:themeColor="background1"/>
              <w:right w:val="single" w:sz="4" w:space="0" w:color="FFFFFF" w:themeColor="background1"/>
            </w:tcBorders>
            <w:shd w:val="clear" w:color="auto" w:fill="E0DCCB" w:themeFill="accent4" w:themeFillTint="66"/>
            <w:vAlign w:val="center"/>
          </w:tcPr>
          <w:p w:rsidR="007B1360" w:rsidRPr="00737103" w:rsidRDefault="007B1360" w:rsidP="00477AD2">
            <w:pPr>
              <w:pStyle w:val="Financials"/>
              <w:jc w:val="center"/>
              <w:rPr>
                <w:b/>
                <w:bCs/>
                <w:sz w:val="20"/>
                <w:szCs w:val="20"/>
                <w:lang w:eastAsia="en-AU"/>
              </w:rPr>
            </w:pPr>
            <w:r w:rsidRPr="00737103">
              <w:rPr>
                <w:b/>
                <w:bCs/>
                <w:sz w:val="20"/>
                <w:szCs w:val="20"/>
                <w:lang w:eastAsia="en-AU"/>
              </w:rPr>
              <w:t>2015</w:t>
            </w:r>
          </w:p>
        </w:tc>
        <w:tc>
          <w:tcPr>
            <w:tcW w:w="1701" w:type="dxa"/>
            <w:tcBorders>
              <w:top w:val="single" w:sz="4" w:space="0" w:color="FFFFFF" w:themeColor="background1"/>
              <w:right w:val="single" w:sz="4" w:space="0" w:color="FFFFFF" w:themeColor="background1"/>
            </w:tcBorders>
            <w:shd w:val="clear" w:color="auto" w:fill="E0DCCB" w:themeFill="accent4" w:themeFillTint="66"/>
          </w:tcPr>
          <w:p w:rsidR="007B1360" w:rsidRPr="00737103" w:rsidRDefault="004D4F65" w:rsidP="00477AD2">
            <w:pPr>
              <w:pStyle w:val="Financials"/>
              <w:jc w:val="center"/>
              <w:rPr>
                <w:b/>
                <w:bCs/>
                <w:sz w:val="20"/>
                <w:szCs w:val="20"/>
                <w:lang w:eastAsia="en-AU"/>
              </w:rPr>
            </w:pPr>
            <w:r>
              <w:rPr>
                <w:b/>
                <w:bCs/>
                <w:sz w:val="20"/>
                <w:szCs w:val="20"/>
                <w:lang w:eastAsia="en-AU"/>
              </w:rPr>
              <w:t>2014</w:t>
            </w:r>
          </w:p>
        </w:tc>
        <w:tc>
          <w:tcPr>
            <w:tcW w:w="1644" w:type="dxa"/>
            <w:tcBorders>
              <w:top w:val="single" w:sz="4" w:space="0" w:color="FFFFFF" w:themeColor="background1"/>
              <w:left w:val="single" w:sz="4" w:space="0" w:color="FFFFFF" w:themeColor="background1"/>
            </w:tcBorders>
            <w:shd w:val="clear" w:color="auto" w:fill="E0DCCB" w:themeFill="accent4" w:themeFillTint="66"/>
            <w:vAlign w:val="center"/>
          </w:tcPr>
          <w:p w:rsidR="007B1360" w:rsidRPr="00737103" w:rsidRDefault="007B1360" w:rsidP="00477AD2">
            <w:pPr>
              <w:pStyle w:val="Financials"/>
              <w:jc w:val="center"/>
              <w:rPr>
                <w:b/>
                <w:bCs/>
                <w:sz w:val="20"/>
                <w:szCs w:val="20"/>
                <w:lang w:eastAsia="en-AU"/>
              </w:rPr>
            </w:pPr>
            <w:r w:rsidRPr="00737103">
              <w:rPr>
                <w:b/>
                <w:bCs/>
                <w:sz w:val="20"/>
                <w:szCs w:val="20"/>
                <w:lang w:eastAsia="en-AU"/>
              </w:rPr>
              <w:t>2015</w:t>
            </w:r>
          </w:p>
        </w:tc>
        <w:tc>
          <w:tcPr>
            <w:tcW w:w="1616" w:type="dxa"/>
            <w:tcBorders>
              <w:top w:val="single" w:sz="4" w:space="0" w:color="FFFFFF" w:themeColor="background1"/>
              <w:right w:val="single" w:sz="4" w:space="0" w:color="FFFFFF" w:themeColor="background1"/>
            </w:tcBorders>
            <w:shd w:val="clear" w:color="auto" w:fill="E0DCCB" w:themeFill="accent4" w:themeFillTint="66"/>
          </w:tcPr>
          <w:p w:rsidR="007B1360" w:rsidRPr="00737103" w:rsidRDefault="007B1360" w:rsidP="00477AD2">
            <w:pPr>
              <w:pStyle w:val="Financials"/>
              <w:jc w:val="center"/>
              <w:rPr>
                <w:b/>
                <w:bCs/>
                <w:sz w:val="20"/>
                <w:szCs w:val="20"/>
                <w:lang w:eastAsia="en-AU"/>
              </w:rPr>
            </w:pPr>
            <w:r w:rsidRPr="00737103">
              <w:rPr>
                <w:b/>
                <w:bCs/>
                <w:sz w:val="20"/>
                <w:szCs w:val="20"/>
                <w:lang w:eastAsia="en-AU"/>
              </w:rPr>
              <w:t>2014</w:t>
            </w:r>
          </w:p>
        </w:tc>
        <w:tc>
          <w:tcPr>
            <w:tcW w:w="1474" w:type="dxa"/>
            <w:tcBorders>
              <w:top w:val="single" w:sz="4" w:space="0" w:color="FFFFFF" w:themeColor="background1"/>
              <w:left w:val="single" w:sz="4" w:space="0" w:color="FFFFFF" w:themeColor="background1"/>
            </w:tcBorders>
            <w:shd w:val="clear" w:color="auto" w:fill="E0DCCB" w:themeFill="accent4" w:themeFillTint="66"/>
            <w:vAlign w:val="center"/>
          </w:tcPr>
          <w:p w:rsidR="007B1360" w:rsidRPr="00737103" w:rsidRDefault="007B1360" w:rsidP="00477AD2">
            <w:pPr>
              <w:pStyle w:val="Financials"/>
              <w:jc w:val="center"/>
              <w:rPr>
                <w:b/>
                <w:bCs/>
                <w:sz w:val="20"/>
                <w:szCs w:val="20"/>
                <w:lang w:eastAsia="en-AU"/>
              </w:rPr>
            </w:pPr>
            <w:r w:rsidRPr="00737103">
              <w:rPr>
                <w:b/>
                <w:bCs/>
                <w:sz w:val="20"/>
                <w:szCs w:val="20"/>
                <w:lang w:eastAsia="en-AU"/>
              </w:rPr>
              <w:t>2015</w:t>
            </w:r>
          </w:p>
        </w:tc>
        <w:tc>
          <w:tcPr>
            <w:tcW w:w="1474" w:type="dxa"/>
            <w:tcBorders>
              <w:top w:val="single" w:sz="4" w:space="0" w:color="FFFFFF" w:themeColor="background1"/>
            </w:tcBorders>
            <w:shd w:val="clear" w:color="auto" w:fill="E0DCCB" w:themeFill="accent4" w:themeFillTint="66"/>
          </w:tcPr>
          <w:p w:rsidR="007B1360" w:rsidRPr="00737103" w:rsidRDefault="007B1360" w:rsidP="00477AD2">
            <w:pPr>
              <w:pStyle w:val="Financials"/>
              <w:jc w:val="center"/>
              <w:rPr>
                <w:b/>
                <w:bCs/>
                <w:sz w:val="20"/>
                <w:szCs w:val="20"/>
                <w:lang w:eastAsia="en-AU"/>
              </w:rPr>
            </w:pPr>
            <w:r w:rsidRPr="00737103">
              <w:rPr>
                <w:b/>
                <w:bCs/>
                <w:sz w:val="20"/>
                <w:szCs w:val="20"/>
                <w:lang w:eastAsia="en-AU"/>
              </w:rPr>
              <w:t>2014</w:t>
            </w:r>
          </w:p>
        </w:tc>
      </w:tr>
      <w:tr w:rsidR="00011640" w:rsidRPr="003B400A" w:rsidTr="00477AD2">
        <w:trPr>
          <w:trHeight w:val="255"/>
        </w:trPr>
        <w:tc>
          <w:tcPr>
            <w:tcW w:w="2694" w:type="dxa"/>
            <w:tcBorders>
              <w:right w:val="single" w:sz="4" w:space="0" w:color="FFFFFF" w:themeColor="background1"/>
            </w:tcBorders>
            <w:shd w:val="clear" w:color="auto" w:fill="E0DCCB" w:themeFill="accent4" w:themeFillTint="66"/>
            <w:vAlign w:val="center"/>
            <w:hideMark/>
          </w:tcPr>
          <w:p w:rsidR="007B1360" w:rsidRPr="00737103" w:rsidRDefault="007B1360" w:rsidP="0093364B">
            <w:pPr>
              <w:pStyle w:val="Financials"/>
              <w:rPr>
                <w:sz w:val="20"/>
                <w:szCs w:val="20"/>
                <w:lang w:eastAsia="en-AU"/>
              </w:rPr>
            </w:pPr>
          </w:p>
        </w:tc>
        <w:tc>
          <w:tcPr>
            <w:tcW w:w="1701" w:type="dxa"/>
            <w:tcBorders>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vAlign w:val="center"/>
            <w:hideMark/>
          </w:tcPr>
          <w:p w:rsidR="007B1360" w:rsidRPr="00737103" w:rsidRDefault="007B1360" w:rsidP="00FC300F">
            <w:pPr>
              <w:pStyle w:val="Financials"/>
              <w:jc w:val="center"/>
              <w:rPr>
                <w:b/>
                <w:bCs/>
                <w:sz w:val="20"/>
                <w:szCs w:val="20"/>
                <w:lang w:eastAsia="en-AU"/>
              </w:rPr>
            </w:pPr>
            <w:r w:rsidRPr="00737103">
              <w:rPr>
                <w:b/>
                <w:bCs/>
                <w:sz w:val="20"/>
                <w:szCs w:val="20"/>
                <w:lang w:eastAsia="en-AU"/>
              </w:rPr>
              <w:t>$</w:t>
            </w:r>
          </w:p>
        </w:tc>
        <w:tc>
          <w:tcPr>
            <w:tcW w:w="1701" w:type="dxa"/>
            <w:tcBorders>
              <w:bottom w:val="single" w:sz="4" w:space="0" w:color="FFFFFF" w:themeColor="background1"/>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center"/>
              <w:rPr>
                <w:b/>
                <w:bCs/>
                <w:sz w:val="20"/>
                <w:szCs w:val="20"/>
                <w:lang w:eastAsia="en-AU"/>
              </w:rPr>
            </w:pPr>
            <w:r w:rsidRPr="00737103">
              <w:rPr>
                <w:b/>
                <w:bCs/>
                <w:sz w:val="20"/>
                <w:szCs w:val="20"/>
                <w:lang w:eastAsia="en-AU"/>
              </w:rPr>
              <w:t>$</w:t>
            </w:r>
          </w:p>
        </w:tc>
        <w:tc>
          <w:tcPr>
            <w:tcW w:w="1701" w:type="dxa"/>
            <w:tcBorders>
              <w:bottom w:val="single" w:sz="4" w:space="0" w:color="FFFFFF" w:themeColor="background1"/>
              <w:right w:val="single" w:sz="4" w:space="0" w:color="FFFFFF" w:themeColor="background1"/>
            </w:tcBorders>
            <w:shd w:val="clear" w:color="auto" w:fill="E0DCCB" w:themeFill="accent4" w:themeFillTint="66"/>
          </w:tcPr>
          <w:p w:rsidR="007B1360" w:rsidRPr="00737103" w:rsidRDefault="004D4F65" w:rsidP="00FC300F">
            <w:pPr>
              <w:pStyle w:val="Financials"/>
              <w:jc w:val="center"/>
              <w:rPr>
                <w:b/>
                <w:bCs/>
                <w:sz w:val="20"/>
                <w:szCs w:val="20"/>
                <w:lang w:eastAsia="en-AU"/>
              </w:rPr>
            </w:pPr>
            <w:r>
              <w:rPr>
                <w:b/>
                <w:bCs/>
                <w:sz w:val="20"/>
                <w:szCs w:val="20"/>
                <w:lang w:eastAsia="en-AU"/>
              </w:rPr>
              <w:t>$</w:t>
            </w:r>
          </w:p>
        </w:tc>
        <w:tc>
          <w:tcPr>
            <w:tcW w:w="1644" w:type="dxa"/>
            <w:tcBorders>
              <w:left w:val="single" w:sz="4" w:space="0" w:color="FFFFFF" w:themeColor="background1"/>
              <w:bottom w:val="single" w:sz="4" w:space="0" w:color="FFFFFF" w:themeColor="background1"/>
            </w:tcBorders>
            <w:shd w:val="clear" w:color="auto" w:fill="E0DCCB" w:themeFill="accent4" w:themeFillTint="66"/>
            <w:vAlign w:val="center"/>
          </w:tcPr>
          <w:p w:rsidR="007B1360" w:rsidRPr="00737103" w:rsidRDefault="007B1360" w:rsidP="00FC300F">
            <w:pPr>
              <w:pStyle w:val="Financials"/>
              <w:jc w:val="center"/>
              <w:rPr>
                <w:b/>
                <w:bCs/>
                <w:sz w:val="20"/>
                <w:szCs w:val="20"/>
                <w:lang w:eastAsia="en-AU"/>
              </w:rPr>
            </w:pPr>
            <w:r w:rsidRPr="00737103">
              <w:rPr>
                <w:b/>
                <w:bCs/>
                <w:sz w:val="20"/>
                <w:szCs w:val="20"/>
                <w:lang w:eastAsia="en-AU"/>
              </w:rPr>
              <w:t>$</w:t>
            </w:r>
          </w:p>
        </w:tc>
        <w:tc>
          <w:tcPr>
            <w:tcW w:w="1616" w:type="dxa"/>
            <w:tcBorders>
              <w:bottom w:val="single" w:sz="4" w:space="0" w:color="FFFFFF" w:themeColor="background1"/>
              <w:right w:val="single" w:sz="4" w:space="0" w:color="FFFFFF" w:themeColor="background1"/>
            </w:tcBorders>
            <w:shd w:val="clear" w:color="auto" w:fill="E0DCCB" w:themeFill="accent4" w:themeFillTint="66"/>
          </w:tcPr>
          <w:p w:rsidR="007B1360" w:rsidRPr="00737103" w:rsidRDefault="007B1360" w:rsidP="00FC300F">
            <w:pPr>
              <w:pStyle w:val="Financials"/>
              <w:jc w:val="center"/>
              <w:rPr>
                <w:b/>
                <w:bCs/>
                <w:sz w:val="20"/>
                <w:szCs w:val="20"/>
                <w:lang w:eastAsia="en-AU"/>
              </w:rPr>
            </w:pPr>
            <w:r w:rsidRPr="00737103">
              <w:rPr>
                <w:b/>
                <w:bCs/>
                <w:sz w:val="20"/>
                <w:szCs w:val="20"/>
                <w:lang w:eastAsia="en-AU"/>
              </w:rPr>
              <w:t>$</w:t>
            </w:r>
          </w:p>
        </w:tc>
        <w:tc>
          <w:tcPr>
            <w:tcW w:w="1474" w:type="dxa"/>
            <w:tcBorders>
              <w:left w:val="single" w:sz="4" w:space="0" w:color="FFFFFF" w:themeColor="background1"/>
              <w:bottom w:val="single" w:sz="4" w:space="0" w:color="FFFFFF" w:themeColor="background1"/>
            </w:tcBorders>
            <w:shd w:val="clear" w:color="auto" w:fill="E0DCCB" w:themeFill="accent4" w:themeFillTint="66"/>
            <w:vAlign w:val="center"/>
          </w:tcPr>
          <w:p w:rsidR="007B1360" w:rsidRPr="00737103" w:rsidRDefault="007B1360" w:rsidP="00FC300F">
            <w:pPr>
              <w:pStyle w:val="Financials"/>
              <w:jc w:val="center"/>
              <w:rPr>
                <w:b/>
                <w:bCs/>
                <w:sz w:val="20"/>
                <w:szCs w:val="20"/>
                <w:lang w:eastAsia="en-AU"/>
              </w:rPr>
            </w:pPr>
            <w:r w:rsidRPr="00737103">
              <w:rPr>
                <w:b/>
                <w:bCs/>
                <w:sz w:val="20"/>
                <w:szCs w:val="20"/>
                <w:lang w:eastAsia="en-AU"/>
              </w:rPr>
              <w:t>$</w:t>
            </w:r>
          </w:p>
        </w:tc>
        <w:tc>
          <w:tcPr>
            <w:tcW w:w="1474" w:type="dxa"/>
            <w:tcBorders>
              <w:bottom w:val="single" w:sz="4" w:space="0" w:color="FFFFFF" w:themeColor="background1"/>
            </w:tcBorders>
            <w:shd w:val="clear" w:color="auto" w:fill="E0DCCB" w:themeFill="accent4" w:themeFillTint="66"/>
          </w:tcPr>
          <w:p w:rsidR="007B1360" w:rsidRPr="00737103" w:rsidRDefault="007B1360" w:rsidP="00FC300F">
            <w:pPr>
              <w:pStyle w:val="Financials"/>
              <w:jc w:val="center"/>
              <w:rPr>
                <w:b/>
                <w:bCs/>
                <w:sz w:val="20"/>
                <w:szCs w:val="20"/>
                <w:lang w:eastAsia="en-AU"/>
              </w:rPr>
            </w:pPr>
            <w:r w:rsidRPr="00737103">
              <w:rPr>
                <w:b/>
                <w:bCs/>
                <w:sz w:val="20"/>
                <w:szCs w:val="20"/>
                <w:lang w:eastAsia="en-AU"/>
              </w:rPr>
              <w:t>$</w:t>
            </w:r>
          </w:p>
        </w:tc>
      </w:tr>
      <w:tr w:rsidR="00011640" w:rsidRPr="003B400A" w:rsidTr="00477AD2">
        <w:trPr>
          <w:trHeight w:val="255"/>
        </w:trPr>
        <w:tc>
          <w:tcPr>
            <w:tcW w:w="2694" w:type="dxa"/>
            <w:shd w:val="clear" w:color="auto" w:fill="auto"/>
            <w:vAlign w:val="center"/>
            <w:hideMark/>
          </w:tcPr>
          <w:p w:rsidR="007B1360" w:rsidRPr="00737103" w:rsidRDefault="007B1360" w:rsidP="0093364B">
            <w:pPr>
              <w:pStyle w:val="Financials"/>
              <w:rPr>
                <w:b/>
                <w:bCs/>
                <w:sz w:val="20"/>
                <w:szCs w:val="20"/>
                <w:lang w:eastAsia="en-AU"/>
              </w:rPr>
            </w:pPr>
            <w:r w:rsidRPr="00737103">
              <w:rPr>
                <w:sz w:val="20"/>
                <w:szCs w:val="20"/>
                <w:u w:val="single"/>
                <w:lang w:eastAsia="en-AU"/>
              </w:rPr>
              <w:t>Assets</w:t>
            </w:r>
          </w:p>
        </w:tc>
        <w:tc>
          <w:tcPr>
            <w:tcW w:w="1701" w:type="dxa"/>
            <w:tcBorders>
              <w:top w:val="single" w:sz="4" w:space="0" w:color="FFFFFF" w:themeColor="background1"/>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p>
        </w:tc>
        <w:tc>
          <w:tcPr>
            <w:tcW w:w="1701" w:type="dxa"/>
            <w:tcBorders>
              <w:top w:val="single" w:sz="4" w:space="0" w:color="FFFFFF" w:themeColor="background1"/>
              <w:left w:val="single" w:sz="4" w:space="0" w:color="FFFFFF" w:themeColor="background1"/>
              <w:right w:val="single" w:sz="4" w:space="0" w:color="FFFFFF" w:themeColor="background1"/>
            </w:tcBorders>
            <w:shd w:val="clear" w:color="auto" w:fill="E0DCCB" w:themeFill="accent4" w:themeFillTint="66"/>
          </w:tcPr>
          <w:p w:rsidR="007B1360" w:rsidRPr="00737103" w:rsidRDefault="007B1360" w:rsidP="00FC300F">
            <w:pPr>
              <w:pStyle w:val="Financials"/>
              <w:jc w:val="right"/>
              <w:rPr>
                <w:sz w:val="20"/>
                <w:szCs w:val="20"/>
                <w:lang w:eastAsia="en-AU"/>
              </w:rPr>
            </w:pPr>
          </w:p>
        </w:tc>
        <w:tc>
          <w:tcPr>
            <w:tcW w:w="1701" w:type="dxa"/>
            <w:tcBorders>
              <w:top w:val="single" w:sz="4" w:space="0" w:color="FFFFFF" w:themeColor="background1"/>
              <w:left w:val="single" w:sz="4" w:space="0" w:color="FFFFFF" w:themeColor="background1"/>
              <w:right w:val="single" w:sz="4" w:space="0" w:color="FFFFFF" w:themeColor="background1"/>
            </w:tcBorders>
            <w:shd w:val="clear" w:color="auto" w:fill="FFFFFF" w:themeFill="background1"/>
          </w:tcPr>
          <w:p w:rsidR="007B1360" w:rsidRPr="00737103" w:rsidRDefault="007B1360" w:rsidP="00FC300F">
            <w:pPr>
              <w:pStyle w:val="Financials"/>
              <w:jc w:val="right"/>
              <w:rPr>
                <w:sz w:val="20"/>
                <w:szCs w:val="20"/>
                <w:lang w:eastAsia="en-AU"/>
              </w:rPr>
            </w:pPr>
          </w:p>
        </w:tc>
        <w:tc>
          <w:tcPr>
            <w:tcW w:w="1644" w:type="dxa"/>
            <w:tcBorders>
              <w:top w:val="single" w:sz="4" w:space="0" w:color="FFFFFF" w:themeColor="background1"/>
              <w:lef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p>
        </w:tc>
        <w:tc>
          <w:tcPr>
            <w:tcW w:w="1616" w:type="dxa"/>
            <w:tcBorders>
              <w:top w:val="single" w:sz="4" w:space="0" w:color="FFFFFF" w:themeColor="background1"/>
            </w:tcBorders>
            <w:vAlign w:val="center"/>
          </w:tcPr>
          <w:p w:rsidR="007B1360" w:rsidRPr="00737103" w:rsidRDefault="007B1360" w:rsidP="00FC300F">
            <w:pPr>
              <w:pStyle w:val="Financials"/>
              <w:jc w:val="right"/>
              <w:rPr>
                <w:sz w:val="20"/>
                <w:szCs w:val="20"/>
                <w:lang w:eastAsia="en-AU"/>
              </w:rPr>
            </w:pPr>
          </w:p>
        </w:tc>
        <w:tc>
          <w:tcPr>
            <w:tcW w:w="1474" w:type="dxa"/>
            <w:tcBorders>
              <w:top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p>
        </w:tc>
        <w:tc>
          <w:tcPr>
            <w:tcW w:w="1474" w:type="dxa"/>
            <w:tcBorders>
              <w:top w:val="single" w:sz="4" w:space="0" w:color="FFFFFF" w:themeColor="background1"/>
            </w:tcBorders>
            <w:vAlign w:val="center"/>
          </w:tcPr>
          <w:p w:rsidR="007B1360" w:rsidRPr="00737103" w:rsidRDefault="007B1360" w:rsidP="00FC300F">
            <w:pPr>
              <w:pStyle w:val="Financials"/>
              <w:jc w:val="right"/>
              <w:rPr>
                <w:sz w:val="20"/>
                <w:szCs w:val="20"/>
                <w:lang w:eastAsia="en-AU"/>
              </w:rPr>
            </w:pPr>
          </w:p>
        </w:tc>
      </w:tr>
      <w:tr w:rsidR="00011640" w:rsidRPr="003B400A" w:rsidTr="00A12051">
        <w:trPr>
          <w:trHeight w:val="255"/>
        </w:trPr>
        <w:tc>
          <w:tcPr>
            <w:tcW w:w="2694" w:type="dxa"/>
            <w:tcBorders>
              <w:left w:val="nil"/>
              <w:bottom w:val="nil"/>
              <w:right w:val="nil"/>
            </w:tcBorders>
            <w:shd w:val="clear" w:color="auto" w:fill="auto"/>
            <w:vAlign w:val="center"/>
            <w:hideMark/>
          </w:tcPr>
          <w:p w:rsidR="007B1360" w:rsidRPr="00737103" w:rsidRDefault="007B1360" w:rsidP="0093364B">
            <w:pPr>
              <w:pStyle w:val="Financials"/>
              <w:rPr>
                <w:b/>
                <w:bCs/>
                <w:sz w:val="20"/>
                <w:szCs w:val="20"/>
                <w:lang w:eastAsia="en-AU"/>
              </w:rPr>
            </w:pPr>
            <w:r w:rsidRPr="00737103">
              <w:rPr>
                <w:sz w:val="20"/>
                <w:szCs w:val="20"/>
                <w:lang w:eastAsia="en-AU"/>
              </w:rPr>
              <w:t>Current assets</w:t>
            </w:r>
          </w:p>
        </w:tc>
        <w:tc>
          <w:tcPr>
            <w:tcW w:w="1701" w:type="dxa"/>
            <w:tcBorders>
              <w:left w:val="nil"/>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r w:rsidRPr="00737103">
              <w:rPr>
                <w:sz w:val="20"/>
                <w:szCs w:val="20"/>
                <w:lang w:eastAsia="en-AU"/>
              </w:rPr>
              <w:t>478,404</w:t>
            </w:r>
          </w:p>
        </w:tc>
        <w:tc>
          <w:tcPr>
            <w:tcW w:w="1701" w:type="dxa"/>
            <w:tcBorders>
              <w:left w:val="single" w:sz="4" w:space="0" w:color="FFFFFF" w:themeColor="background1"/>
              <w:right w:val="single" w:sz="4" w:space="0" w:color="FFFFFF" w:themeColor="background1"/>
            </w:tcBorders>
            <w:shd w:val="clear" w:color="auto" w:fill="E0DCCB" w:themeFill="accent4" w:themeFillTint="66"/>
          </w:tcPr>
          <w:p w:rsidR="007B1360" w:rsidRPr="00737103" w:rsidRDefault="007B1360" w:rsidP="00FC300F">
            <w:pPr>
              <w:pStyle w:val="Financials"/>
              <w:jc w:val="right"/>
              <w:rPr>
                <w:sz w:val="20"/>
                <w:szCs w:val="20"/>
                <w:lang w:eastAsia="en-AU"/>
              </w:rPr>
            </w:pPr>
            <w:r w:rsidRPr="00737103">
              <w:rPr>
                <w:sz w:val="20"/>
                <w:szCs w:val="20"/>
                <w:lang w:eastAsia="en-AU"/>
              </w:rPr>
              <w:t>171,926</w:t>
            </w:r>
          </w:p>
        </w:tc>
        <w:tc>
          <w:tcPr>
            <w:tcW w:w="1701" w:type="dxa"/>
            <w:tcBorders>
              <w:left w:val="single" w:sz="4" w:space="0" w:color="FFFFFF" w:themeColor="background1"/>
              <w:right w:val="single" w:sz="4" w:space="0" w:color="FFFFFF" w:themeColor="background1"/>
            </w:tcBorders>
            <w:shd w:val="clear" w:color="auto" w:fill="FFFFFF" w:themeFill="background1"/>
          </w:tcPr>
          <w:p w:rsidR="007B1360" w:rsidRPr="00737103" w:rsidRDefault="00A81EF9" w:rsidP="00FC300F">
            <w:pPr>
              <w:pStyle w:val="Financials"/>
              <w:jc w:val="right"/>
              <w:rPr>
                <w:sz w:val="20"/>
                <w:szCs w:val="20"/>
                <w:lang w:eastAsia="en-AU"/>
              </w:rPr>
            </w:pPr>
            <w:r>
              <w:rPr>
                <w:sz w:val="20"/>
                <w:szCs w:val="20"/>
                <w:lang w:eastAsia="en-AU"/>
              </w:rPr>
              <w:t>579,953</w:t>
            </w:r>
          </w:p>
        </w:tc>
        <w:tc>
          <w:tcPr>
            <w:tcW w:w="1644" w:type="dxa"/>
            <w:tcBorders>
              <w:left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r w:rsidRPr="00737103">
              <w:rPr>
                <w:sz w:val="20"/>
                <w:szCs w:val="20"/>
                <w:lang w:eastAsia="en-AU"/>
              </w:rPr>
              <w:t>97,176</w:t>
            </w:r>
          </w:p>
        </w:tc>
        <w:tc>
          <w:tcPr>
            <w:tcW w:w="1616" w:type="dxa"/>
            <w:tcBorders>
              <w:left w:val="nil"/>
              <w:bottom w:val="nil"/>
              <w:right w:val="nil"/>
            </w:tcBorders>
            <w:vAlign w:val="center"/>
          </w:tcPr>
          <w:p w:rsidR="007B1360" w:rsidRPr="00737103" w:rsidRDefault="007B1360" w:rsidP="00FC300F">
            <w:pPr>
              <w:pStyle w:val="Financials"/>
              <w:jc w:val="right"/>
              <w:rPr>
                <w:sz w:val="20"/>
                <w:szCs w:val="20"/>
                <w:lang w:eastAsia="en-AU"/>
              </w:rPr>
            </w:pPr>
            <w:r w:rsidRPr="00737103">
              <w:rPr>
                <w:sz w:val="20"/>
                <w:szCs w:val="20"/>
                <w:lang w:eastAsia="en-AU"/>
              </w:rPr>
              <w:t>58,594</w:t>
            </w:r>
          </w:p>
        </w:tc>
        <w:tc>
          <w:tcPr>
            <w:tcW w:w="1474" w:type="dxa"/>
            <w:tcBorders>
              <w:left w:val="nil"/>
              <w:right w:val="nil"/>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r w:rsidRPr="00737103">
              <w:rPr>
                <w:sz w:val="20"/>
                <w:szCs w:val="20"/>
                <w:lang w:eastAsia="en-AU"/>
              </w:rPr>
              <w:t>747,506</w:t>
            </w:r>
          </w:p>
        </w:tc>
        <w:tc>
          <w:tcPr>
            <w:tcW w:w="1474" w:type="dxa"/>
            <w:tcBorders>
              <w:left w:val="nil"/>
              <w:bottom w:val="nil"/>
              <w:right w:val="nil"/>
            </w:tcBorders>
            <w:vAlign w:val="center"/>
          </w:tcPr>
          <w:p w:rsidR="007B1360" w:rsidRPr="00737103" w:rsidRDefault="007B1360" w:rsidP="00FC300F">
            <w:pPr>
              <w:pStyle w:val="Financials"/>
              <w:jc w:val="right"/>
              <w:rPr>
                <w:sz w:val="20"/>
                <w:szCs w:val="20"/>
                <w:lang w:eastAsia="en-AU"/>
              </w:rPr>
            </w:pPr>
            <w:r w:rsidRPr="00737103">
              <w:rPr>
                <w:sz w:val="20"/>
                <w:szCs w:val="20"/>
                <w:lang w:eastAsia="en-AU"/>
              </w:rPr>
              <w:t>638,547</w:t>
            </w:r>
          </w:p>
        </w:tc>
      </w:tr>
      <w:tr w:rsidR="00011640" w:rsidRPr="003B400A" w:rsidTr="00A12051">
        <w:trPr>
          <w:trHeight w:val="255"/>
        </w:trPr>
        <w:tc>
          <w:tcPr>
            <w:tcW w:w="2694" w:type="dxa"/>
            <w:tcBorders>
              <w:top w:val="nil"/>
              <w:left w:val="nil"/>
              <w:bottom w:val="single" w:sz="4" w:space="0" w:color="E0DCCB" w:themeColor="accent4" w:themeTint="66"/>
              <w:right w:val="nil"/>
            </w:tcBorders>
            <w:shd w:val="clear" w:color="auto" w:fill="auto"/>
            <w:vAlign w:val="center"/>
            <w:hideMark/>
          </w:tcPr>
          <w:p w:rsidR="007B1360" w:rsidRPr="00737103" w:rsidRDefault="007B1360" w:rsidP="0093364B">
            <w:pPr>
              <w:pStyle w:val="Financials"/>
              <w:rPr>
                <w:sz w:val="20"/>
                <w:szCs w:val="20"/>
                <w:lang w:eastAsia="en-AU"/>
              </w:rPr>
            </w:pPr>
            <w:r w:rsidRPr="00737103">
              <w:rPr>
                <w:sz w:val="20"/>
                <w:szCs w:val="20"/>
                <w:lang w:eastAsia="en-AU"/>
              </w:rPr>
              <w:t>Non-current assets</w:t>
            </w:r>
          </w:p>
        </w:tc>
        <w:tc>
          <w:tcPr>
            <w:tcW w:w="1701" w:type="dxa"/>
            <w:tcBorders>
              <w:top w:val="nil"/>
              <w:left w:val="nil"/>
              <w:bottom w:val="single" w:sz="4" w:space="0" w:color="FFFFFF" w:themeColor="background1"/>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r w:rsidRPr="00737103">
              <w:rPr>
                <w:sz w:val="20"/>
                <w:szCs w:val="20"/>
                <w:lang w:eastAsia="en-AU"/>
              </w:rPr>
              <w:t>551,700</w:t>
            </w:r>
          </w:p>
        </w:tc>
        <w:tc>
          <w:tcPr>
            <w:tcW w:w="1701" w:type="dxa"/>
            <w:tcBorders>
              <w:top w:val="nil"/>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tcPr>
          <w:p w:rsidR="007B1360" w:rsidRPr="00737103" w:rsidRDefault="007B1360" w:rsidP="00FC300F">
            <w:pPr>
              <w:pStyle w:val="Financials"/>
              <w:jc w:val="right"/>
              <w:rPr>
                <w:sz w:val="20"/>
                <w:szCs w:val="20"/>
                <w:lang w:eastAsia="en-AU"/>
              </w:rPr>
            </w:pPr>
            <w:r w:rsidRPr="00737103">
              <w:rPr>
                <w:sz w:val="20"/>
                <w:szCs w:val="20"/>
                <w:lang w:eastAsia="en-AU"/>
              </w:rPr>
              <w:t>198,267</w:t>
            </w:r>
          </w:p>
        </w:tc>
        <w:tc>
          <w:tcPr>
            <w:tcW w:w="1701" w:type="dxa"/>
            <w:tcBorders>
              <w:top w:val="nil"/>
              <w:left w:val="single" w:sz="4" w:space="0" w:color="FFFFFF" w:themeColor="background1"/>
              <w:bottom w:val="single" w:sz="4" w:space="0" w:color="E0DCCB" w:themeColor="accent4" w:themeTint="66"/>
              <w:right w:val="single" w:sz="4" w:space="0" w:color="FFFFFF" w:themeColor="background1"/>
            </w:tcBorders>
            <w:shd w:val="clear" w:color="auto" w:fill="FFFFFF" w:themeFill="background1"/>
          </w:tcPr>
          <w:p w:rsidR="007B1360" w:rsidRPr="00737103" w:rsidRDefault="00A81EF9" w:rsidP="00FC300F">
            <w:pPr>
              <w:pStyle w:val="Financials"/>
              <w:jc w:val="right"/>
              <w:rPr>
                <w:sz w:val="20"/>
                <w:szCs w:val="20"/>
                <w:lang w:eastAsia="en-AU"/>
              </w:rPr>
            </w:pPr>
            <w:r>
              <w:rPr>
                <w:sz w:val="20"/>
                <w:szCs w:val="20"/>
                <w:lang w:eastAsia="en-AU"/>
              </w:rPr>
              <w:t>1,168,668</w:t>
            </w:r>
          </w:p>
        </w:tc>
        <w:tc>
          <w:tcPr>
            <w:tcW w:w="1644" w:type="dxa"/>
            <w:tcBorders>
              <w:top w:val="nil"/>
              <w:left w:val="single" w:sz="4" w:space="0" w:color="FFFFFF" w:themeColor="background1"/>
              <w:bottom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r w:rsidRPr="00737103">
              <w:rPr>
                <w:sz w:val="20"/>
                <w:szCs w:val="20"/>
                <w:lang w:eastAsia="en-AU"/>
              </w:rPr>
              <w:t>112,064</w:t>
            </w:r>
          </w:p>
        </w:tc>
        <w:tc>
          <w:tcPr>
            <w:tcW w:w="1616" w:type="dxa"/>
            <w:tcBorders>
              <w:top w:val="nil"/>
              <w:left w:val="nil"/>
              <w:bottom w:val="single" w:sz="4" w:space="0" w:color="E0DCCB" w:themeColor="accent4" w:themeTint="66"/>
              <w:right w:val="nil"/>
            </w:tcBorders>
            <w:vAlign w:val="center"/>
          </w:tcPr>
          <w:p w:rsidR="007B1360" w:rsidRPr="00737103" w:rsidRDefault="007B1360" w:rsidP="00FC300F">
            <w:pPr>
              <w:pStyle w:val="Financials"/>
              <w:jc w:val="right"/>
              <w:rPr>
                <w:sz w:val="20"/>
                <w:szCs w:val="20"/>
                <w:lang w:eastAsia="en-AU"/>
              </w:rPr>
            </w:pPr>
            <w:r w:rsidRPr="00737103">
              <w:rPr>
                <w:sz w:val="20"/>
                <w:szCs w:val="20"/>
                <w:lang w:eastAsia="en-AU"/>
              </w:rPr>
              <w:t>166,446</w:t>
            </w:r>
          </w:p>
        </w:tc>
        <w:tc>
          <w:tcPr>
            <w:tcW w:w="1474" w:type="dxa"/>
            <w:tcBorders>
              <w:top w:val="nil"/>
              <w:left w:val="nil"/>
              <w:bottom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r w:rsidRPr="00737103">
              <w:rPr>
                <w:sz w:val="20"/>
                <w:szCs w:val="20"/>
                <w:lang w:eastAsia="en-AU"/>
              </w:rPr>
              <w:t>862,031</w:t>
            </w:r>
          </w:p>
        </w:tc>
        <w:tc>
          <w:tcPr>
            <w:tcW w:w="1474" w:type="dxa"/>
            <w:tcBorders>
              <w:top w:val="nil"/>
              <w:left w:val="nil"/>
              <w:bottom w:val="single" w:sz="4" w:space="0" w:color="E0DCCB" w:themeColor="accent4" w:themeTint="66"/>
              <w:right w:val="nil"/>
            </w:tcBorders>
            <w:vAlign w:val="center"/>
          </w:tcPr>
          <w:p w:rsidR="007B1360" w:rsidRPr="00737103" w:rsidRDefault="007B1360" w:rsidP="00FC300F">
            <w:pPr>
              <w:pStyle w:val="Financials"/>
              <w:jc w:val="right"/>
              <w:rPr>
                <w:sz w:val="20"/>
                <w:szCs w:val="20"/>
                <w:lang w:eastAsia="en-AU"/>
              </w:rPr>
            </w:pPr>
            <w:r w:rsidRPr="00737103">
              <w:rPr>
                <w:sz w:val="20"/>
                <w:szCs w:val="20"/>
                <w:lang w:eastAsia="en-AU"/>
              </w:rPr>
              <w:t>1,335,114</w:t>
            </w:r>
          </w:p>
        </w:tc>
      </w:tr>
      <w:tr w:rsidR="00011640" w:rsidRPr="003B400A" w:rsidTr="00A12051">
        <w:trPr>
          <w:trHeight w:val="255"/>
        </w:trPr>
        <w:tc>
          <w:tcPr>
            <w:tcW w:w="2694"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7B1360" w:rsidRPr="00737103" w:rsidRDefault="007B1360" w:rsidP="0093364B">
            <w:pPr>
              <w:pStyle w:val="Financials"/>
              <w:rPr>
                <w:b/>
                <w:sz w:val="20"/>
                <w:szCs w:val="20"/>
                <w:lang w:eastAsia="en-AU"/>
              </w:rPr>
            </w:pPr>
            <w:r w:rsidRPr="00737103">
              <w:rPr>
                <w:b/>
                <w:bCs/>
                <w:sz w:val="20"/>
                <w:szCs w:val="20"/>
                <w:lang w:eastAsia="en-AU"/>
              </w:rPr>
              <w:t>Total assets</w:t>
            </w:r>
          </w:p>
        </w:tc>
        <w:tc>
          <w:tcPr>
            <w:tcW w:w="1701" w:type="dxa"/>
            <w:tcBorders>
              <w:top w:val="single" w:sz="4" w:space="0" w:color="FFFFFF" w:themeColor="background1"/>
              <w:left w:val="nil"/>
              <w:bottom w:val="single" w:sz="4" w:space="0" w:color="FFFFFF" w:themeColor="background1"/>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b/>
                <w:bCs/>
                <w:sz w:val="20"/>
                <w:szCs w:val="20"/>
                <w:lang w:eastAsia="en-AU"/>
              </w:rPr>
            </w:pPr>
            <w:r w:rsidRPr="00737103">
              <w:rPr>
                <w:b/>
                <w:bCs/>
                <w:sz w:val="20"/>
                <w:szCs w:val="20"/>
                <w:lang w:eastAsia="en-AU"/>
              </w:rPr>
              <w:fldChar w:fldCharType="begin"/>
            </w:r>
            <w:r w:rsidRPr="00737103">
              <w:rPr>
                <w:b/>
                <w:bCs/>
                <w:sz w:val="20"/>
                <w:szCs w:val="20"/>
                <w:lang w:eastAsia="en-AU"/>
              </w:rPr>
              <w:instrText xml:space="preserve"> =SUM(ABOVE) </w:instrText>
            </w:r>
            <w:r w:rsidRPr="00737103">
              <w:rPr>
                <w:b/>
                <w:bCs/>
                <w:sz w:val="20"/>
                <w:szCs w:val="20"/>
                <w:lang w:eastAsia="en-AU"/>
              </w:rPr>
              <w:fldChar w:fldCharType="separate"/>
            </w:r>
            <w:r w:rsidRPr="00737103">
              <w:rPr>
                <w:b/>
                <w:bCs/>
                <w:noProof/>
                <w:sz w:val="20"/>
                <w:szCs w:val="20"/>
                <w:lang w:eastAsia="en-AU"/>
              </w:rPr>
              <w:t>1,030,104</w:t>
            </w:r>
            <w:r w:rsidRPr="00737103">
              <w:rPr>
                <w:b/>
                <w:bCs/>
                <w:sz w:val="20"/>
                <w:szCs w:val="20"/>
                <w:lang w:eastAsia="en-AU"/>
              </w:rPr>
              <w:fldChar w:fldCharType="end"/>
            </w:r>
          </w:p>
        </w:tc>
        <w:tc>
          <w:tcPr>
            <w:tcW w:w="17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tcPr>
          <w:p w:rsidR="007B1360" w:rsidRPr="00737103" w:rsidRDefault="007B1360" w:rsidP="00FC300F">
            <w:pPr>
              <w:pStyle w:val="Financials"/>
              <w:jc w:val="right"/>
              <w:rPr>
                <w:b/>
                <w:sz w:val="20"/>
                <w:szCs w:val="20"/>
                <w:lang w:eastAsia="en-AU"/>
              </w:rPr>
            </w:pPr>
            <w:r w:rsidRPr="00737103">
              <w:rPr>
                <w:b/>
                <w:bCs/>
                <w:sz w:val="20"/>
                <w:szCs w:val="20"/>
                <w:lang w:eastAsia="en-AU"/>
              </w:rPr>
              <w:fldChar w:fldCharType="begin"/>
            </w:r>
            <w:r w:rsidRPr="00737103">
              <w:rPr>
                <w:b/>
                <w:bCs/>
                <w:sz w:val="20"/>
                <w:szCs w:val="20"/>
                <w:lang w:eastAsia="en-AU"/>
              </w:rPr>
              <w:instrText xml:space="preserve"> =SUM(ABOVE) </w:instrText>
            </w:r>
            <w:r w:rsidRPr="00737103">
              <w:rPr>
                <w:b/>
                <w:bCs/>
                <w:sz w:val="20"/>
                <w:szCs w:val="20"/>
                <w:lang w:eastAsia="en-AU"/>
              </w:rPr>
              <w:fldChar w:fldCharType="separate"/>
            </w:r>
            <w:r w:rsidRPr="00737103">
              <w:rPr>
                <w:b/>
                <w:bCs/>
                <w:noProof/>
                <w:sz w:val="20"/>
                <w:szCs w:val="20"/>
                <w:lang w:eastAsia="en-AU"/>
              </w:rPr>
              <w:t>370,193</w:t>
            </w:r>
            <w:r w:rsidRPr="00737103">
              <w:rPr>
                <w:b/>
                <w:bCs/>
                <w:sz w:val="20"/>
                <w:szCs w:val="20"/>
                <w:lang w:eastAsia="en-AU"/>
              </w:rPr>
              <w:fldChar w:fldCharType="end"/>
            </w:r>
          </w:p>
        </w:tc>
        <w:tc>
          <w:tcPr>
            <w:tcW w:w="1701" w:type="dxa"/>
            <w:tcBorders>
              <w:top w:val="single" w:sz="4" w:space="0" w:color="E0DCCB" w:themeColor="accent4" w:themeTint="66"/>
              <w:left w:val="single" w:sz="4" w:space="0" w:color="FFFFFF" w:themeColor="background1"/>
              <w:bottom w:val="single" w:sz="4" w:space="0" w:color="E0DCCB" w:themeColor="accent4" w:themeTint="66"/>
              <w:right w:val="single" w:sz="4" w:space="0" w:color="FFFFFF" w:themeColor="background1"/>
            </w:tcBorders>
            <w:shd w:val="clear" w:color="auto" w:fill="FFFFFF" w:themeFill="background1"/>
          </w:tcPr>
          <w:p w:rsidR="007B1360" w:rsidRPr="00737103" w:rsidRDefault="00A81EF9" w:rsidP="00FC300F">
            <w:pPr>
              <w:pStyle w:val="Financials"/>
              <w:jc w:val="right"/>
              <w:rPr>
                <w:b/>
                <w:bCs/>
                <w:sz w:val="20"/>
                <w:szCs w:val="20"/>
                <w:lang w:eastAsia="en-AU"/>
              </w:rPr>
            </w:pPr>
            <w:r>
              <w:rPr>
                <w:b/>
                <w:bCs/>
                <w:sz w:val="20"/>
                <w:szCs w:val="20"/>
                <w:lang w:eastAsia="en-AU"/>
              </w:rPr>
              <w:t>1,748,621</w:t>
            </w:r>
          </w:p>
        </w:tc>
        <w:tc>
          <w:tcPr>
            <w:tcW w:w="1644" w:type="dxa"/>
            <w:tcBorders>
              <w:top w:val="single" w:sz="4" w:space="0" w:color="FFFFFF" w:themeColor="background1"/>
              <w:left w:val="single" w:sz="4" w:space="0" w:color="FFFFFF" w:themeColor="background1"/>
              <w:bottom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b/>
                <w:bCs/>
                <w:sz w:val="20"/>
                <w:szCs w:val="20"/>
                <w:lang w:eastAsia="en-AU"/>
              </w:rPr>
            </w:pPr>
            <w:r w:rsidRPr="00737103">
              <w:rPr>
                <w:b/>
                <w:bCs/>
                <w:sz w:val="20"/>
                <w:szCs w:val="20"/>
                <w:lang w:eastAsia="en-AU"/>
              </w:rPr>
              <w:fldChar w:fldCharType="begin"/>
            </w:r>
            <w:r w:rsidRPr="00737103">
              <w:rPr>
                <w:b/>
                <w:bCs/>
                <w:sz w:val="20"/>
                <w:szCs w:val="20"/>
                <w:lang w:eastAsia="en-AU"/>
              </w:rPr>
              <w:instrText xml:space="preserve"> =SUM(ABOVE) </w:instrText>
            </w:r>
            <w:r w:rsidRPr="00737103">
              <w:rPr>
                <w:b/>
                <w:bCs/>
                <w:sz w:val="20"/>
                <w:szCs w:val="20"/>
                <w:lang w:eastAsia="en-AU"/>
              </w:rPr>
              <w:fldChar w:fldCharType="separate"/>
            </w:r>
            <w:r w:rsidRPr="00737103">
              <w:rPr>
                <w:b/>
                <w:bCs/>
                <w:noProof/>
                <w:sz w:val="20"/>
                <w:szCs w:val="20"/>
                <w:lang w:eastAsia="en-AU"/>
              </w:rPr>
              <w:t>209,240</w:t>
            </w:r>
            <w:r w:rsidRPr="00737103">
              <w:rPr>
                <w:b/>
                <w:bCs/>
                <w:sz w:val="20"/>
                <w:szCs w:val="20"/>
                <w:lang w:eastAsia="en-AU"/>
              </w:rPr>
              <w:fldChar w:fldCharType="end"/>
            </w:r>
          </w:p>
        </w:tc>
        <w:tc>
          <w:tcPr>
            <w:tcW w:w="1616" w:type="dxa"/>
            <w:tcBorders>
              <w:top w:val="single" w:sz="4" w:space="0" w:color="E0DCCB" w:themeColor="accent4" w:themeTint="66"/>
              <w:left w:val="nil"/>
              <w:bottom w:val="single" w:sz="4" w:space="0" w:color="E0DCCB" w:themeColor="accent4" w:themeTint="66"/>
              <w:right w:val="nil"/>
            </w:tcBorders>
            <w:vAlign w:val="center"/>
          </w:tcPr>
          <w:p w:rsidR="007B1360" w:rsidRPr="00737103" w:rsidRDefault="007B1360" w:rsidP="00FC300F">
            <w:pPr>
              <w:pStyle w:val="Financials"/>
              <w:jc w:val="right"/>
              <w:rPr>
                <w:b/>
                <w:bCs/>
                <w:sz w:val="20"/>
                <w:szCs w:val="20"/>
                <w:lang w:eastAsia="en-AU"/>
              </w:rPr>
            </w:pPr>
            <w:r w:rsidRPr="00737103">
              <w:rPr>
                <w:b/>
                <w:bCs/>
                <w:sz w:val="20"/>
                <w:szCs w:val="20"/>
                <w:lang w:eastAsia="en-AU"/>
              </w:rPr>
              <w:fldChar w:fldCharType="begin"/>
            </w:r>
            <w:r w:rsidRPr="00737103">
              <w:rPr>
                <w:b/>
                <w:bCs/>
                <w:sz w:val="20"/>
                <w:szCs w:val="20"/>
                <w:lang w:eastAsia="en-AU"/>
              </w:rPr>
              <w:instrText xml:space="preserve"> =SUM(ABOVE) </w:instrText>
            </w:r>
            <w:r w:rsidRPr="00737103">
              <w:rPr>
                <w:b/>
                <w:bCs/>
                <w:sz w:val="20"/>
                <w:szCs w:val="20"/>
                <w:lang w:eastAsia="en-AU"/>
              </w:rPr>
              <w:fldChar w:fldCharType="separate"/>
            </w:r>
            <w:r w:rsidRPr="00737103">
              <w:rPr>
                <w:b/>
                <w:bCs/>
                <w:noProof/>
                <w:sz w:val="20"/>
                <w:szCs w:val="20"/>
                <w:lang w:eastAsia="en-AU"/>
              </w:rPr>
              <w:t>225,040</w:t>
            </w:r>
            <w:r w:rsidRPr="00737103">
              <w:rPr>
                <w:b/>
                <w:bCs/>
                <w:sz w:val="20"/>
                <w:szCs w:val="20"/>
                <w:lang w:eastAsia="en-AU"/>
              </w:rPr>
              <w:fldChar w:fldCharType="end"/>
            </w:r>
          </w:p>
        </w:tc>
        <w:tc>
          <w:tcPr>
            <w:tcW w:w="147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b/>
                <w:bCs/>
                <w:sz w:val="20"/>
                <w:szCs w:val="20"/>
                <w:lang w:eastAsia="en-AU"/>
              </w:rPr>
            </w:pPr>
            <w:r w:rsidRPr="00737103">
              <w:rPr>
                <w:b/>
                <w:bCs/>
                <w:sz w:val="20"/>
                <w:szCs w:val="20"/>
                <w:lang w:eastAsia="en-AU"/>
              </w:rPr>
              <w:fldChar w:fldCharType="begin"/>
            </w:r>
            <w:r w:rsidRPr="00737103">
              <w:rPr>
                <w:b/>
                <w:bCs/>
                <w:sz w:val="20"/>
                <w:szCs w:val="20"/>
                <w:lang w:eastAsia="en-AU"/>
              </w:rPr>
              <w:instrText xml:space="preserve"> =SUM(ABOVE) </w:instrText>
            </w:r>
            <w:r w:rsidRPr="00737103">
              <w:rPr>
                <w:b/>
                <w:bCs/>
                <w:sz w:val="20"/>
                <w:szCs w:val="20"/>
                <w:lang w:eastAsia="en-AU"/>
              </w:rPr>
              <w:fldChar w:fldCharType="separate"/>
            </w:r>
            <w:r w:rsidRPr="00737103">
              <w:rPr>
                <w:b/>
                <w:bCs/>
                <w:noProof/>
                <w:sz w:val="20"/>
                <w:szCs w:val="20"/>
                <w:lang w:eastAsia="en-AU"/>
              </w:rPr>
              <w:t>1,609,537</w:t>
            </w:r>
            <w:r w:rsidRPr="00737103">
              <w:rPr>
                <w:b/>
                <w:bCs/>
                <w:sz w:val="20"/>
                <w:szCs w:val="20"/>
                <w:lang w:eastAsia="en-AU"/>
              </w:rPr>
              <w:fldChar w:fldCharType="end"/>
            </w:r>
          </w:p>
        </w:tc>
        <w:tc>
          <w:tcPr>
            <w:tcW w:w="1474" w:type="dxa"/>
            <w:tcBorders>
              <w:top w:val="single" w:sz="4" w:space="0" w:color="E0DCCB" w:themeColor="accent4" w:themeTint="66"/>
              <w:left w:val="nil"/>
              <w:bottom w:val="single" w:sz="4" w:space="0" w:color="E0DCCB" w:themeColor="accent4" w:themeTint="66"/>
              <w:right w:val="nil"/>
            </w:tcBorders>
            <w:vAlign w:val="center"/>
          </w:tcPr>
          <w:p w:rsidR="007B1360" w:rsidRPr="00737103" w:rsidRDefault="007B1360" w:rsidP="00FC300F">
            <w:pPr>
              <w:pStyle w:val="Financials"/>
              <w:jc w:val="right"/>
              <w:rPr>
                <w:b/>
                <w:bCs/>
                <w:sz w:val="20"/>
                <w:szCs w:val="20"/>
                <w:lang w:eastAsia="en-AU"/>
              </w:rPr>
            </w:pPr>
            <w:r w:rsidRPr="00737103">
              <w:rPr>
                <w:b/>
                <w:bCs/>
                <w:sz w:val="20"/>
                <w:szCs w:val="20"/>
                <w:lang w:eastAsia="en-AU"/>
              </w:rPr>
              <w:fldChar w:fldCharType="begin"/>
            </w:r>
            <w:r w:rsidRPr="00737103">
              <w:rPr>
                <w:b/>
                <w:bCs/>
                <w:sz w:val="20"/>
                <w:szCs w:val="20"/>
                <w:lang w:eastAsia="en-AU"/>
              </w:rPr>
              <w:instrText xml:space="preserve"> =SUM(ABOVE) </w:instrText>
            </w:r>
            <w:r w:rsidRPr="00737103">
              <w:rPr>
                <w:b/>
                <w:bCs/>
                <w:sz w:val="20"/>
                <w:szCs w:val="20"/>
                <w:lang w:eastAsia="en-AU"/>
              </w:rPr>
              <w:fldChar w:fldCharType="separate"/>
            </w:r>
            <w:r w:rsidRPr="00737103">
              <w:rPr>
                <w:b/>
                <w:bCs/>
                <w:noProof/>
                <w:sz w:val="20"/>
                <w:szCs w:val="20"/>
                <w:lang w:eastAsia="en-AU"/>
              </w:rPr>
              <w:t>1,973,661</w:t>
            </w:r>
            <w:r w:rsidRPr="00737103">
              <w:rPr>
                <w:b/>
                <w:bCs/>
                <w:sz w:val="20"/>
                <w:szCs w:val="20"/>
                <w:lang w:eastAsia="en-AU"/>
              </w:rPr>
              <w:fldChar w:fldCharType="end"/>
            </w:r>
          </w:p>
        </w:tc>
      </w:tr>
      <w:tr w:rsidR="00011640" w:rsidRPr="009C7365" w:rsidTr="00A12051">
        <w:trPr>
          <w:trHeight w:val="255"/>
        </w:trPr>
        <w:tc>
          <w:tcPr>
            <w:tcW w:w="2694" w:type="dxa"/>
            <w:tcBorders>
              <w:top w:val="single" w:sz="4" w:space="0" w:color="E0DCCB" w:themeColor="accent4" w:themeTint="66"/>
              <w:left w:val="nil"/>
              <w:right w:val="nil"/>
            </w:tcBorders>
            <w:shd w:val="clear" w:color="auto" w:fill="auto"/>
            <w:vAlign w:val="center"/>
            <w:hideMark/>
          </w:tcPr>
          <w:p w:rsidR="007B1360" w:rsidRPr="009C7365" w:rsidRDefault="007B1360" w:rsidP="0093364B">
            <w:pPr>
              <w:pStyle w:val="Financials"/>
              <w:rPr>
                <w:sz w:val="20"/>
                <w:szCs w:val="20"/>
                <w:lang w:eastAsia="en-AU"/>
              </w:rPr>
            </w:pPr>
          </w:p>
        </w:tc>
        <w:tc>
          <w:tcPr>
            <w:tcW w:w="1701" w:type="dxa"/>
            <w:tcBorders>
              <w:top w:val="single" w:sz="4" w:space="0" w:color="FFFFFF" w:themeColor="background1"/>
              <w:left w:val="nil"/>
              <w:right w:val="single" w:sz="4" w:space="0" w:color="FFFFFF" w:themeColor="background1"/>
            </w:tcBorders>
            <w:shd w:val="clear" w:color="auto" w:fill="E0DCCB" w:themeFill="accent4" w:themeFillTint="66"/>
            <w:vAlign w:val="center"/>
          </w:tcPr>
          <w:p w:rsidR="007B1360" w:rsidRPr="009C7365" w:rsidRDefault="007B1360" w:rsidP="00FC300F">
            <w:pPr>
              <w:pStyle w:val="Financials"/>
              <w:jc w:val="right"/>
              <w:rPr>
                <w:bCs/>
                <w:sz w:val="20"/>
                <w:szCs w:val="20"/>
                <w:lang w:eastAsia="en-AU"/>
              </w:rPr>
            </w:pPr>
          </w:p>
        </w:tc>
        <w:tc>
          <w:tcPr>
            <w:tcW w:w="1701" w:type="dxa"/>
            <w:tcBorders>
              <w:top w:val="single" w:sz="4" w:space="0" w:color="FFFFFF" w:themeColor="background1"/>
              <w:left w:val="single" w:sz="4" w:space="0" w:color="FFFFFF" w:themeColor="background1"/>
              <w:right w:val="single" w:sz="4" w:space="0" w:color="FFFFFF" w:themeColor="background1"/>
            </w:tcBorders>
            <w:shd w:val="clear" w:color="auto" w:fill="E0DCCB" w:themeFill="accent4" w:themeFillTint="66"/>
          </w:tcPr>
          <w:p w:rsidR="007B1360" w:rsidRPr="009C7365" w:rsidRDefault="007B1360" w:rsidP="00FC300F">
            <w:pPr>
              <w:pStyle w:val="Financials"/>
              <w:jc w:val="right"/>
              <w:rPr>
                <w:sz w:val="20"/>
                <w:szCs w:val="20"/>
                <w:lang w:eastAsia="en-AU"/>
              </w:rPr>
            </w:pPr>
          </w:p>
        </w:tc>
        <w:tc>
          <w:tcPr>
            <w:tcW w:w="1701" w:type="dxa"/>
            <w:tcBorders>
              <w:top w:val="single" w:sz="4" w:space="0" w:color="E0DCCB" w:themeColor="accent4" w:themeTint="66"/>
              <w:left w:val="single" w:sz="4" w:space="0" w:color="FFFFFF" w:themeColor="background1"/>
              <w:right w:val="single" w:sz="4" w:space="0" w:color="FFFFFF" w:themeColor="background1"/>
            </w:tcBorders>
            <w:shd w:val="clear" w:color="auto" w:fill="FFFFFF" w:themeFill="background1"/>
          </w:tcPr>
          <w:p w:rsidR="007B1360" w:rsidRPr="009C7365" w:rsidRDefault="007B1360" w:rsidP="00FC300F">
            <w:pPr>
              <w:pStyle w:val="Financials"/>
              <w:jc w:val="right"/>
              <w:rPr>
                <w:bCs/>
                <w:sz w:val="20"/>
                <w:szCs w:val="20"/>
                <w:lang w:eastAsia="en-AU"/>
              </w:rPr>
            </w:pPr>
          </w:p>
        </w:tc>
        <w:tc>
          <w:tcPr>
            <w:tcW w:w="1644" w:type="dxa"/>
            <w:tcBorders>
              <w:top w:val="single" w:sz="4" w:space="0" w:color="FFFFFF" w:themeColor="background1"/>
              <w:left w:val="single" w:sz="4" w:space="0" w:color="FFFFFF" w:themeColor="background1"/>
              <w:right w:val="nil"/>
            </w:tcBorders>
            <w:shd w:val="clear" w:color="auto" w:fill="E0DCCB" w:themeFill="accent4" w:themeFillTint="66"/>
            <w:vAlign w:val="center"/>
          </w:tcPr>
          <w:p w:rsidR="007B1360" w:rsidRPr="009C7365" w:rsidRDefault="007B1360" w:rsidP="00FC300F">
            <w:pPr>
              <w:pStyle w:val="Financials"/>
              <w:jc w:val="right"/>
              <w:rPr>
                <w:bCs/>
                <w:sz w:val="20"/>
                <w:szCs w:val="20"/>
                <w:lang w:eastAsia="en-AU"/>
              </w:rPr>
            </w:pPr>
          </w:p>
        </w:tc>
        <w:tc>
          <w:tcPr>
            <w:tcW w:w="1616" w:type="dxa"/>
            <w:tcBorders>
              <w:top w:val="single" w:sz="4" w:space="0" w:color="E0DCCB" w:themeColor="accent4" w:themeTint="66"/>
              <w:left w:val="nil"/>
              <w:right w:val="nil"/>
            </w:tcBorders>
            <w:vAlign w:val="center"/>
          </w:tcPr>
          <w:p w:rsidR="007B1360" w:rsidRPr="009C7365" w:rsidRDefault="007B1360" w:rsidP="00FC300F">
            <w:pPr>
              <w:pStyle w:val="Financials"/>
              <w:jc w:val="right"/>
              <w:rPr>
                <w:bCs/>
                <w:sz w:val="20"/>
                <w:szCs w:val="20"/>
                <w:lang w:eastAsia="en-AU"/>
              </w:rPr>
            </w:pPr>
          </w:p>
        </w:tc>
        <w:tc>
          <w:tcPr>
            <w:tcW w:w="1474" w:type="dxa"/>
            <w:tcBorders>
              <w:top w:val="single" w:sz="4" w:space="0" w:color="FFFFFF" w:themeColor="background1"/>
              <w:left w:val="nil"/>
              <w:right w:val="nil"/>
            </w:tcBorders>
            <w:shd w:val="clear" w:color="auto" w:fill="E0DCCB" w:themeFill="accent4" w:themeFillTint="66"/>
            <w:vAlign w:val="center"/>
          </w:tcPr>
          <w:p w:rsidR="007B1360" w:rsidRPr="009C7365" w:rsidRDefault="007B1360" w:rsidP="00FC300F">
            <w:pPr>
              <w:pStyle w:val="Financials"/>
              <w:jc w:val="right"/>
              <w:rPr>
                <w:bCs/>
                <w:sz w:val="20"/>
                <w:szCs w:val="20"/>
                <w:lang w:eastAsia="en-AU"/>
              </w:rPr>
            </w:pPr>
          </w:p>
        </w:tc>
        <w:tc>
          <w:tcPr>
            <w:tcW w:w="1474" w:type="dxa"/>
            <w:tcBorders>
              <w:top w:val="single" w:sz="4" w:space="0" w:color="E0DCCB" w:themeColor="accent4" w:themeTint="66"/>
              <w:left w:val="nil"/>
              <w:right w:val="nil"/>
            </w:tcBorders>
            <w:vAlign w:val="center"/>
          </w:tcPr>
          <w:p w:rsidR="007B1360" w:rsidRPr="009C7365" w:rsidRDefault="007B1360" w:rsidP="00FC300F">
            <w:pPr>
              <w:pStyle w:val="Financials"/>
              <w:jc w:val="right"/>
              <w:rPr>
                <w:bCs/>
                <w:sz w:val="20"/>
                <w:szCs w:val="20"/>
                <w:lang w:eastAsia="en-AU"/>
              </w:rPr>
            </w:pPr>
          </w:p>
        </w:tc>
      </w:tr>
      <w:tr w:rsidR="00011640" w:rsidRPr="003B400A" w:rsidTr="00A12051">
        <w:trPr>
          <w:trHeight w:val="270"/>
        </w:trPr>
        <w:tc>
          <w:tcPr>
            <w:tcW w:w="2694" w:type="dxa"/>
            <w:tcBorders>
              <w:left w:val="nil"/>
              <w:right w:val="nil"/>
            </w:tcBorders>
            <w:shd w:val="clear" w:color="auto" w:fill="auto"/>
            <w:vAlign w:val="center"/>
          </w:tcPr>
          <w:p w:rsidR="007B1360" w:rsidRPr="00737103" w:rsidRDefault="007B1360" w:rsidP="0093364B">
            <w:pPr>
              <w:pStyle w:val="Financials"/>
              <w:rPr>
                <w:sz w:val="20"/>
                <w:szCs w:val="20"/>
                <w:lang w:eastAsia="en-AU"/>
              </w:rPr>
            </w:pPr>
            <w:r w:rsidRPr="00737103">
              <w:rPr>
                <w:sz w:val="20"/>
                <w:szCs w:val="20"/>
                <w:u w:val="single"/>
                <w:lang w:eastAsia="en-AU"/>
              </w:rPr>
              <w:t>Liabilities</w:t>
            </w:r>
          </w:p>
        </w:tc>
        <w:tc>
          <w:tcPr>
            <w:tcW w:w="1701" w:type="dxa"/>
            <w:tcBorders>
              <w:left w:val="nil"/>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p>
        </w:tc>
        <w:tc>
          <w:tcPr>
            <w:tcW w:w="1701" w:type="dxa"/>
            <w:tcBorders>
              <w:left w:val="single" w:sz="4" w:space="0" w:color="FFFFFF" w:themeColor="background1"/>
              <w:right w:val="single" w:sz="4" w:space="0" w:color="FFFFFF" w:themeColor="background1"/>
            </w:tcBorders>
            <w:shd w:val="clear" w:color="auto" w:fill="E0DCCB" w:themeFill="accent4" w:themeFillTint="66"/>
          </w:tcPr>
          <w:p w:rsidR="007B1360" w:rsidRPr="00737103" w:rsidRDefault="007B1360" w:rsidP="00FC300F">
            <w:pPr>
              <w:pStyle w:val="Financials"/>
              <w:jc w:val="right"/>
              <w:rPr>
                <w:sz w:val="20"/>
                <w:szCs w:val="20"/>
                <w:lang w:eastAsia="en-AU"/>
              </w:rPr>
            </w:pPr>
          </w:p>
        </w:tc>
        <w:tc>
          <w:tcPr>
            <w:tcW w:w="1701" w:type="dxa"/>
            <w:tcBorders>
              <w:left w:val="single" w:sz="4" w:space="0" w:color="FFFFFF" w:themeColor="background1"/>
              <w:right w:val="single" w:sz="4" w:space="0" w:color="FFFFFF" w:themeColor="background1"/>
            </w:tcBorders>
            <w:shd w:val="clear" w:color="auto" w:fill="FFFFFF" w:themeFill="background1"/>
          </w:tcPr>
          <w:p w:rsidR="007B1360" w:rsidRPr="00737103" w:rsidRDefault="007B1360" w:rsidP="00FC300F">
            <w:pPr>
              <w:pStyle w:val="Financials"/>
              <w:jc w:val="right"/>
              <w:rPr>
                <w:sz w:val="20"/>
                <w:szCs w:val="20"/>
                <w:lang w:eastAsia="en-AU"/>
              </w:rPr>
            </w:pPr>
          </w:p>
        </w:tc>
        <w:tc>
          <w:tcPr>
            <w:tcW w:w="1644" w:type="dxa"/>
            <w:tcBorders>
              <w:left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p>
        </w:tc>
        <w:tc>
          <w:tcPr>
            <w:tcW w:w="1616" w:type="dxa"/>
            <w:tcBorders>
              <w:left w:val="nil"/>
              <w:right w:val="nil"/>
            </w:tcBorders>
            <w:vAlign w:val="center"/>
          </w:tcPr>
          <w:p w:rsidR="007B1360" w:rsidRPr="00737103" w:rsidRDefault="007B1360" w:rsidP="00FC300F">
            <w:pPr>
              <w:pStyle w:val="Financials"/>
              <w:jc w:val="right"/>
              <w:rPr>
                <w:sz w:val="20"/>
                <w:szCs w:val="20"/>
                <w:lang w:eastAsia="en-AU"/>
              </w:rPr>
            </w:pPr>
          </w:p>
        </w:tc>
        <w:tc>
          <w:tcPr>
            <w:tcW w:w="1474" w:type="dxa"/>
            <w:tcBorders>
              <w:left w:val="nil"/>
              <w:right w:val="nil"/>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p>
        </w:tc>
        <w:tc>
          <w:tcPr>
            <w:tcW w:w="1474" w:type="dxa"/>
            <w:tcBorders>
              <w:left w:val="nil"/>
              <w:right w:val="nil"/>
            </w:tcBorders>
            <w:vAlign w:val="center"/>
          </w:tcPr>
          <w:p w:rsidR="007B1360" w:rsidRPr="00737103" w:rsidRDefault="007B1360" w:rsidP="00FC300F">
            <w:pPr>
              <w:pStyle w:val="Financials"/>
              <w:jc w:val="right"/>
              <w:rPr>
                <w:sz w:val="20"/>
                <w:szCs w:val="20"/>
                <w:lang w:eastAsia="en-AU"/>
              </w:rPr>
            </w:pPr>
          </w:p>
        </w:tc>
      </w:tr>
      <w:tr w:rsidR="00011640" w:rsidRPr="003B400A" w:rsidTr="00A12051">
        <w:trPr>
          <w:trHeight w:val="270"/>
        </w:trPr>
        <w:tc>
          <w:tcPr>
            <w:tcW w:w="2694" w:type="dxa"/>
            <w:tcBorders>
              <w:left w:val="nil"/>
              <w:right w:val="nil"/>
            </w:tcBorders>
            <w:shd w:val="clear" w:color="auto" w:fill="auto"/>
            <w:vAlign w:val="center"/>
            <w:hideMark/>
          </w:tcPr>
          <w:p w:rsidR="007B1360" w:rsidRPr="00737103" w:rsidRDefault="007B1360" w:rsidP="0093364B">
            <w:pPr>
              <w:pStyle w:val="Financials"/>
              <w:rPr>
                <w:sz w:val="20"/>
                <w:szCs w:val="20"/>
                <w:lang w:eastAsia="en-AU"/>
              </w:rPr>
            </w:pPr>
            <w:r w:rsidRPr="00737103">
              <w:rPr>
                <w:sz w:val="20"/>
                <w:szCs w:val="20"/>
                <w:lang w:eastAsia="en-AU"/>
              </w:rPr>
              <w:t>Current liabilities</w:t>
            </w:r>
          </w:p>
        </w:tc>
        <w:tc>
          <w:tcPr>
            <w:tcW w:w="1701" w:type="dxa"/>
            <w:tcBorders>
              <w:left w:val="nil"/>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sz w:val="20"/>
                <w:szCs w:val="20"/>
                <w:highlight w:val="yellow"/>
                <w:lang w:eastAsia="en-AU"/>
              </w:rPr>
            </w:pPr>
            <w:r w:rsidRPr="00737103">
              <w:rPr>
                <w:sz w:val="20"/>
                <w:szCs w:val="20"/>
                <w:lang w:eastAsia="en-AU"/>
              </w:rPr>
              <w:t>1,456,098</w:t>
            </w:r>
          </w:p>
        </w:tc>
        <w:tc>
          <w:tcPr>
            <w:tcW w:w="1701" w:type="dxa"/>
            <w:tcBorders>
              <w:left w:val="single" w:sz="4" w:space="0" w:color="FFFFFF" w:themeColor="background1"/>
              <w:right w:val="single" w:sz="4" w:space="0" w:color="FFFFFF" w:themeColor="background1"/>
            </w:tcBorders>
            <w:shd w:val="clear" w:color="auto" w:fill="E0DCCB" w:themeFill="accent4" w:themeFillTint="66"/>
          </w:tcPr>
          <w:p w:rsidR="007B1360" w:rsidRPr="00737103" w:rsidRDefault="007B1360" w:rsidP="00FC300F">
            <w:pPr>
              <w:pStyle w:val="Financials"/>
              <w:jc w:val="right"/>
              <w:rPr>
                <w:sz w:val="20"/>
                <w:szCs w:val="20"/>
                <w:lang w:eastAsia="en-AU"/>
              </w:rPr>
            </w:pPr>
            <w:r w:rsidRPr="00737103">
              <w:rPr>
                <w:sz w:val="20"/>
                <w:szCs w:val="20"/>
                <w:lang w:eastAsia="en-AU"/>
              </w:rPr>
              <w:t>523,285</w:t>
            </w:r>
          </w:p>
        </w:tc>
        <w:tc>
          <w:tcPr>
            <w:tcW w:w="1701" w:type="dxa"/>
            <w:tcBorders>
              <w:left w:val="single" w:sz="4" w:space="0" w:color="FFFFFF" w:themeColor="background1"/>
              <w:right w:val="single" w:sz="4" w:space="0" w:color="FFFFFF" w:themeColor="background1"/>
            </w:tcBorders>
            <w:shd w:val="clear" w:color="auto" w:fill="FFFFFF" w:themeFill="background1"/>
          </w:tcPr>
          <w:p w:rsidR="007B1360" w:rsidRPr="00737103" w:rsidRDefault="009C7365" w:rsidP="00FC300F">
            <w:pPr>
              <w:pStyle w:val="Financials"/>
              <w:jc w:val="right"/>
              <w:rPr>
                <w:sz w:val="20"/>
                <w:szCs w:val="20"/>
                <w:lang w:eastAsia="en-AU"/>
              </w:rPr>
            </w:pPr>
            <w:r>
              <w:rPr>
                <w:sz w:val="20"/>
                <w:szCs w:val="20"/>
                <w:lang w:eastAsia="en-AU"/>
              </w:rPr>
              <w:t>2,598,837</w:t>
            </w:r>
          </w:p>
        </w:tc>
        <w:tc>
          <w:tcPr>
            <w:tcW w:w="1644" w:type="dxa"/>
            <w:tcBorders>
              <w:left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sz w:val="20"/>
                <w:szCs w:val="20"/>
                <w:highlight w:val="yellow"/>
                <w:lang w:eastAsia="en-AU"/>
              </w:rPr>
            </w:pPr>
            <w:r w:rsidRPr="00737103">
              <w:rPr>
                <w:sz w:val="20"/>
                <w:szCs w:val="20"/>
                <w:lang w:eastAsia="en-AU"/>
              </w:rPr>
              <w:t>295,770</w:t>
            </w:r>
          </w:p>
        </w:tc>
        <w:tc>
          <w:tcPr>
            <w:tcW w:w="1616" w:type="dxa"/>
            <w:tcBorders>
              <w:left w:val="nil"/>
              <w:right w:val="nil"/>
            </w:tcBorders>
            <w:vAlign w:val="center"/>
          </w:tcPr>
          <w:p w:rsidR="007B1360" w:rsidRPr="00737103" w:rsidRDefault="007B1360" w:rsidP="00FC300F">
            <w:pPr>
              <w:pStyle w:val="Financials"/>
              <w:jc w:val="right"/>
              <w:rPr>
                <w:sz w:val="20"/>
                <w:szCs w:val="20"/>
                <w:highlight w:val="yellow"/>
                <w:lang w:eastAsia="en-AU"/>
              </w:rPr>
            </w:pPr>
            <w:r w:rsidRPr="00737103">
              <w:rPr>
                <w:sz w:val="20"/>
                <w:szCs w:val="20"/>
                <w:lang w:eastAsia="en-AU"/>
              </w:rPr>
              <w:t>388,332</w:t>
            </w:r>
          </w:p>
        </w:tc>
        <w:tc>
          <w:tcPr>
            <w:tcW w:w="1474" w:type="dxa"/>
            <w:tcBorders>
              <w:left w:val="nil"/>
              <w:right w:val="nil"/>
            </w:tcBorders>
            <w:shd w:val="clear" w:color="auto" w:fill="E0DCCB" w:themeFill="accent4" w:themeFillTint="66"/>
            <w:vAlign w:val="center"/>
          </w:tcPr>
          <w:p w:rsidR="007B1360" w:rsidRPr="00737103" w:rsidRDefault="007B1360" w:rsidP="00FC300F">
            <w:pPr>
              <w:pStyle w:val="Financials"/>
              <w:jc w:val="right"/>
              <w:rPr>
                <w:sz w:val="20"/>
                <w:szCs w:val="20"/>
                <w:highlight w:val="yellow"/>
                <w:lang w:eastAsia="en-AU"/>
              </w:rPr>
            </w:pPr>
            <w:r w:rsidRPr="00737103">
              <w:rPr>
                <w:sz w:val="20"/>
                <w:szCs w:val="20"/>
                <w:lang w:eastAsia="en-AU"/>
              </w:rPr>
              <w:t>2,275,154</w:t>
            </w:r>
          </w:p>
        </w:tc>
        <w:tc>
          <w:tcPr>
            <w:tcW w:w="1474" w:type="dxa"/>
            <w:tcBorders>
              <w:left w:val="nil"/>
              <w:right w:val="nil"/>
            </w:tcBorders>
            <w:vAlign w:val="center"/>
          </w:tcPr>
          <w:p w:rsidR="007B1360" w:rsidRPr="00737103" w:rsidRDefault="007B1360" w:rsidP="00FC300F">
            <w:pPr>
              <w:pStyle w:val="Financials"/>
              <w:jc w:val="right"/>
              <w:rPr>
                <w:sz w:val="20"/>
                <w:szCs w:val="20"/>
                <w:highlight w:val="yellow"/>
                <w:lang w:eastAsia="en-AU"/>
              </w:rPr>
            </w:pPr>
            <w:r w:rsidRPr="00737103">
              <w:rPr>
                <w:sz w:val="20"/>
                <w:szCs w:val="20"/>
                <w:lang w:eastAsia="en-AU"/>
              </w:rPr>
              <w:t>2,987,169</w:t>
            </w:r>
          </w:p>
        </w:tc>
      </w:tr>
      <w:tr w:rsidR="00011640" w:rsidRPr="003B400A" w:rsidTr="00A12051">
        <w:trPr>
          <w:trHeight w:val="270"/>
        </w:trPr>
        <w:tc>
          <w:tcPr>
            <w:tcW w:w="2694" w:type="dxa"/>
            <w:tcBorders>
              <w:left w:val="nil"/>
              <w:bottom w:val="single" w:sz="4" w:space="0" w:color="E0DCCB" w:themeColor="accent4" w:themeTint="66"/>
              <w:right w:val="nil"/>
            </w:tcBorders>
            <w:shd w:val="clear" w:color="auto" w:fill="auto"/>
            <w:vAlign w:val="center"/>
            <w:hideMark/>
          </w:tcPr>
          <w:p w:rsidR="007B1360" w:rsidRPr="00737103" w:rsidRDefault="007B1360" w:rsidP="0093364B">
            <w:pPr>
              <w:pStyle w:val="Financials"/>
              <w:rPr>
                <w:b/>
                <w:bCs/>
                <w:sz w:val="20"/>
                <w:szCs w:val="20"/>
                <w:lang w:eastAsia="en-AU"/>
              </w:rPr>
            </w:pPr>
            <w:r w:rsidRPr="00737103">
              <w:rPr>
                <w:sz w:val="20"/>
                <w:szCs w:val="20"/>
                <w:lang w:eastAsia="en-AU"/>
              </w:rPr>
              <w:t>Non-current liabilities</w:t>
            </w:r>
          </w:p>
        </w:tc>
        <w:tc>
          <w:tcPr>
            <w:tcW w:w="1701" w:type="dxa"/>
            <w:tcBorders>
              <w:left w:val="nil"/>
              <w:bottom w:val="single" w:sz="4" w:space="0" w:color="FFFFFF" w:themeColor="background1"/>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b/>
                <w:bCs/>
                <w:sz w:val="20"/>
                <w:szCs w:val="20"/>
                <w:highlight w:val="yellow"/>
                <w:lang w:eastAsia="en-AU"/>
              </w:rPr>
            </w:pPr>
            <w:r w:rsidRPr="00737103">
              <w:rPr>
                <w:sz w:val="20"/>
                <w:szCs w:val="20"/>
                <w:lang w:eastAsia="en-AU"/>
              </w:rPr>
              <w:t>421,473</w:t>
            </w:r>
          </w:p>
        </w:tc>
        <w:tc>
          <w:tcPr>
            <w:tcW w:w="1701" w:type="dxa"/>
            <w:tcBorders>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r w:rsidRPr="00737103">
              <w:rPr>
                <w:sz w:val="20"/>
                <w:szCs w:val="20"/>
                <w:lang w:eastAsia="en-AU"/>
              </w:rPr>
              <w:t>151,467</w:t>
            </w:r>
          </w:p>
        </w:tc>
        <w:tc>
          <w:tcPr>
            <w:tcW w:w="1701" w:type="dxa"/>
            <w:tcBorders>
              <w:left w:val="single" w:sz="4" w:space="0" w:color="FFFFFF" w:themeColor="background1"/>
              <w:bottom w:val="single" w:sz="4" w:space="0" w:color="E0DCCB" w:themeColor="accent4" w:themeTint="66"/>
              <w:right w:val="single" w:sz="4" w:space="0" w:color="FFFFFF" w:themeColor="background1"/>
            </w:tcBorders>
            <w:shd w:val="clear" w:color="auto" w:fill="FFFFFF" w:themeFill="background1"/>
          </w:tcPr>
          <w:p w:rsidR="007B1360" w:rsidRPr="00737103" w:rsidRDefault="009C7365" w:rsidP="00FC300F">
            <w:pPr>
              <w:pStyle w:val="Financials"/>
              <w:jc w:val="right"/>
              <w:rPr>
                <w:sz w:val="20"/>
                <w:szCs w:val="20"/>
                <w:lang w:eastAsia="en-AU"/>
              </w:rPr>
            </w:pPr>
            <w:r>
              <w:rPr>
                <w:sz w:val="20"/>
                <w:szCs w:val="20"/>
                <w:lang w:eastAsia="en-AU"/>
              </w:rPr>
              <w:t>707,924</w:t>
            </w:r>
          </w:p>
        </w:tc>
        <w:tc>
          <w:tcPr>
            <w:tcW w:w="1644" w:type="dxa"/>
            <w:tcBorders>
              <w:left w:val="single" w:sz="4" w:space="0" w:color="FFFFFF" w:themeColor="background1"/>
              <w:bottom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b/>
                <w:bCs/>
                <w:sz w:val="20"/>
                <w:szCs w:val="20"/>
                <w:highlight w:val="yellow"/>
                <w:lang w:eastAsia="en-AU"/>
              </w:rPr>
            </w:pPr>
            <w:r w:rsidRPr="00737103">
              <w:rPr>
                <w:sz w:val="20"/>
                <w:szCs w:val="20"/>
                <w:lang w:eastAsia="en-AU"/>
              </w:rPr>
              <w:t>85,611</w:t>
            </w:r>
          </w:p>
        </w:tc>
        <w:tc>
          <w:tcPr>
            <w:tcW w:w="1616" w:type="dxa"/>
            <w:tcBorders>
              <w:left w:val="nil"/>
              <w:bottom w:val="single" w:sz="4" w:space="0" w:color="E0DCCB" w:themeColor="accent4" w:themeTint="66"/>
              <w:right w:val="nil"/>
            </w:tcBorders>
            <w:vAlign w:val="center"/>
          </w:tcPr>
          <w:p w:rsidR="007B1360" w:rsidRPr="00737103" w:rsidRDefault="007B1360" w:rsidP="00FC300F">
            <w:pPr>
              <w:pStyle w:val="Financials"/>
              <w:jc w:val="right"/>
              <w:rPr>
                <w:b/>
                <w:bCs/>
                <w:sz w:val="20"/>
                <w:szCs w:val="20"/>
                <w:highlight w:val="yellow"/>
                <w:lang w:eastAsia="en-AU"/>
              </w:rPr>
            </w:pPr>
            <w:r w:rsidRPr="00737103">
              <w:rPr>
                <w:sz w:val="20"/>
                <w:szCs w:val="20"/>
                <w:lang w:eastAsia="en-AU"/>
              </w:rPr>
              <w:t>105,782</w:t>
            </w:r>
          </w:p>
        </w:tc>
        <w:tc>
          <w:tcPr>
            <w:tcW w:w="1474" w:type="dxa"/>
            <w:tcBorders>
              <w:left w:val="nil"/>
              <w:bottom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bCs/>
                <w:sz w:val="20"/>
                <w:szCs w:val="20"/>
                <w:highlight w:val="yellow"/>
                <w:lang w:eastAsia="en-AU"/>
              </w:rPr>
            </w:pPr>
            <w:r w:rsidRPr="00737103">
              <w:rPr>
                <w:bCs/>
                <w:sz w:val="20"/>
                <w:szCs w:val="20"/>
                <w:lang w:eastAsia="en-AU"/>
              </w:rPr>
              <w:t>658,550</w:t>
            </w:r>
          </w:p>
        </w:tc>
        <w:tc>
          <w:tcPr>
            <w:tcW w:w="1474" w:type="dxa"/>
            <w:tcBorders>
              <w:left w:val="nil"/>
              <w:bottom w:val="single" w:sz="4" w:space="0" w:color="E0DCCB" w:themeColor="accent4" w:themeTint="66"/>
              <w:right w:val="nil"/>
            </w:tcBorders>
            <w:vAlign w:val="center"/>
          </w:tcPr>
          <w:p w:rsidR="007B1360" w:rsidRPr="00737103" w:rsidRDefault="007B1360" w:rsidP="00FC300F">
            <w:pPr>
              <w:pStyle w:val="Financials"/>
              <w:jc w:val="right"/>
              <w:rPr>
                <w:b/>
                <w:bCs/>
                <w:sz w:val="20"/>
                <w:szCs w:val="20"/>
                <w:highlight w:val="yellow"/>
                <w:lang w:eastAsia="en-AU"/>
              </w:rPr>
            </w:pPr>
            <w:r w:rsidRPr="00737103">
              <w:rPr>
                <w:sz w:val="20"/>
                <w:szCs w:val="20"/>
                <w:lang w:eastAsia="en-AU"/>
              </w:rPr>
              <w:t>813,706</w:t>
            </w:r>
          </w:p>
        </w:tc>
      </w:tr>
      <w:tr w:rsidR="00011640" w:rsidRPr="003B400A" w:rsidTr="00A12051">
        <w:trPr>
          <w:trHeight w:val="255"/>
        </w:trPr>
        <w:tc>
          <w:tcPr>
            <w:tcW w:w="2694"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7B1360" w:rsidRPr="00737103" w:rsidRDefault="007B1360" w:rsidP="0093364B">
            <w:pPr>
              <w:pStyle w:val="Financials"/>
              <w:rPr>
                <w:b/>
                <w:sz w:val="20"/>
                <w:szCs w:val="20"/>
                <w:lang w:eastAsia="en-AU"/>
              </w:rPr>
            </w:pPr>
            <w:r w:rsidRPr="00737103">
              <w:rPr>
                <w:b/>
                <w:bCs/>
                <w:sz w:val="20"/>
                <w:szCs w:val="20"/>
                <w:lang w:eastAsia="en-AU"/>
              </w:rPr>
              <w:t>Total liabilities</w:t>
            </w:r>
          </w:p>
        </w:tc>
        <w:tc>
          <w:tcPr>
            <w:tcW w:w="1701" w:type="dxa"/>
            <w:tcBorders>
              <w:top w:val="single" w:sz="4" w:space="0" w:color="FFFFFF" w:themeColor="background1"/>
              <w:left w:val="nil"/>
              <w:bottom w:val="single" w:sz="4" w:space="0" w:color="FFFFFF" w:themeColor="background1"/>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b/>
                <w:sz w:val="20"/>
                <w:szCs w:val="20"/>
                <w:lang w:eastAsia="en-AU"/>
              </w:rPr>
            </w:pPr>
            <w:r w:rsidRPr="00737103">
              <w:rPr>
                <w:b/>
                <w:bCs/>
                <w:sz w:val="20"/>
                <w:szCs w:val="20"/>
                <w:lang w:eastAsia="en-AU"/>
              </w:rPr>
              <w:fldChar w:fldCharType="begin"/>
            </w:r>
            <w:r w:rsidRPr="00737103">
              <w:rPr>
                <w:b/>
                <w:bCs/>
                <w:sz w:val="20"/>
                <w:szCs w:val="20"/>
                <w:lang w:eastAsia="en-AU"/>
              </w:rPr>
              <w:instrText xml:space="preserve"> =SUM(ABOVE) </w:instrText>
            </w:r>
            <w:r w:rsidRPr="00737103">
              <w:rPr>
                <w:b/>
                <w:bCs/>
                <w:sz w:val="20"/>
                <w:szCs w:val="20"/>
                <w:lang w:eastAsia="en-AU"/>
              </w:rPr>
              <w:fldChar w:fldCharType="separate"/>
            </w:r>
            <w:r w:rsidRPr="00737103">
              <w:rPr>
                <w:b/>
                <w:bCs/>
                <w:noProof/>
                <w:sz w:val="20"/>
                <w:szCs w:val="20"/>
                <w:lang w:eastAsia="en-AU"/>
              </w:rPr>
              <w:t>1,877,571</w:t>
            </w:r>
            <w:r w:rsidRPr="00737103">
              <w:rPr>
                <w:b/>
                <w:bCs/>
                <w:sz w:val="20"/>
                <w:szCs w:val="20"/>
                <w:lang w:eastAsia="en-AU"/>
              </w:rPr>
              <w:fldChar w:fldCharType="end"/>
            </w:r>
          </w:p>
        </w:tc>
        <w:tc>
          <w:tcPr>
            <w:tcW w:w="17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tcPr>
          <w:p w:rsidR="007B1360" w:rsidRPr="00737103" w:rsidRDefault="007B1360" w:rsidP="00FC300F">
            <w:pPr>
              <w:pStyle w:val="Financials"/>
              <w:jc w:val="right"/>
              <w:rPr>
                <w:b/>
                <w:sz w:val="20"/>
                <w:szCs w:val="20"/>
                <w:lang w:eastAsia="en-AU"/>
              </w:rPr>
            </w:pPr>
            <w:r w:rsidRPr="00737103">
              <w:rPr>
                <w:b/>
                <w:bCs/>
                <w:sz w:val="20"/>
                <w:szCs w:val="20"/>
                <w:lang w:eastAsia="en-AU"/>
              </w:rPr>
              <w:fldChar w:fldCharType="begin"/>
            </w:r>
            <w:r w:rsidRPr="00737103">
              <w:rPr>
                <w:b/>
                <w:bCs/>
                <w:sz w:val="20"/>
                <w:szCs w:val="20"/>
                <w:lang w:eastAsia="en-AU"/>
              </w:rPr>
              <w:instrText xml:space="preserve"> =SUM(ABOVE) </w:instrText>
            </w:r>
            <w:r w:rsidRPr="00737103">
              <w:rPr>
                <w:b/>
                <w:bCs/>
                <w:sz w:val="20"/>
                <w:szCs w:val="20"/>
                <w:lang w:eastAsia="en-AU"/>
              </w:rPr>
              <w:fldChar w:fldCharType="separate"/>
            </w:r>
            <w:r w:rsidRPr="00737103">
              <w:rPr>
                <w:b/>
                <w:bCs/>
                <w:noProof/>
                <w:sz w:val="20"/>
                <w:szCs w:val="20"/>
                <w:lang w:eastAsia="en-AU"/>
              </w:rPr>
              <w:t>674,752</w:t>
            </w:r>
            <w:r w:rsidRPr="00737103">
              <w:rPr>
                <w:b/>
                <w:bCs/>
                <w:sz w:val="20"/>
                <w:szCs w:val="20"/>
                <w:lang w:eastAsia="en-AU"/>
              </w:rPr>
              <w:fldChar w:fldCharType="end"/>
            </w:r>
          </w:p>
        </w:tc>
        <w:tc>
          <w:tcPr>
            <w:tcW w:w="1701" w:type="dxa"/>
            <w:tcBorders>
              <w:top w:val="single" w:sz="4" w:space="0" w:color="E0DCCB" w:themeColor="accent4" w:themeTint="66"/>
              <w:left w:val="single" w:sz="4" w:space="0" w:color="FFFFFF" w:themeColor="background1"/>
              <w:bottom w:val="single" w:sz="4" w:space="0" w:color="E0DCCB" w:themeColor="accent4" w:themeTint="66"/>
              <w:right w:val="single" w:sz="4" w:space="0" w:color="FFFFFF" w:themeColor="background1"/>
            </w:tcBorders>
            <w:shd w:val="clear" w:color="auto" w:fill="FFFFFF" w:themeFill="background1"/>
          </w:tcPr>
          <w:p w:rsidR="007B1360" w:rsidRPr="00737103" w:rsidRDefault="009C7365" w:rsidP="00FC300F">
            <w:pPr>
              <w:pStyle w:val="Financials"/>
              <w:jc w:val="right"/>
              <w:rPr>
                <w:b/>
                <w:bCs/>
                <w:sz w:val="20"/>
                <w:szCs w:val="20"/>
                <w:lang w:eastAsia="en-AU"/>
              </w:rPr>
            </w:pPr>
            <w:r>
              <w:rPr>
                <w:b/>
                <w:bCs/>
                <w:sz w:val="20"/>
                <w:szCs w:val="20"/>
                <w:lang w:eastAsia="en-AU"/>
              </w:rPr>
              <w:t>3,306,761</w:t>
            </w:r>
          </w:p>
        </w:tc>
        <w:tc>
          <w:tcPr>
            <w:tcW w:w="1644" w:type="dxa"/>
            <w:tcBorders>
              <w:top w:val="single" w:sz="4" w:space="0" w:color="FFFFFF" w:themeColor="background1"/>
              <w:left w:val="single" w:sz="4" w:space="0" w:color="FFFFFF" w:themeColor="background1"/>
              <w:bottom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b/>
                <w:sz w:val="20"/>
                <w:szCs w:val="20"/>
                <w:lang w:eastAsia="en-AU"/>
              </w:rPr>
            </w:pPr>
            <w:r w:rsidRPr="00737103">
              <w:rPr>
                <w:b/>
                <w:bCs/>
                <w:sz w:val="20"/>
                <w:szCs w:val="20"/>
                <w:lang w:eastAsia="en-AU"/>
              </w:rPr>
              <w:fldChar w:fldCharType="begin"/>
            </w:r>
            <w:r w:rsidRPr="00737103">
              <w:rPr>
                <w:b/>
                <w:bCs/>
                <w:sz w:val="20"/>
                <w:szCs w:val="20"/>
                <w:lang w:eastAsia="en-AU"/>
              </w:rPr>
              <w:instrText xml:space="preserve"> =SUM(ABOVE) </w:instrText>
            </w:r>
            <w:r w:rsidRPr="00737103">
              <w:rPr>
                <w:b/>
                <w:bCs/>
                <w:sz w:val="20"/>
                <w:szCs w:val="20"/>
                <w:lang w:eastAsia="en-AU"/>
              </w:rPr>
              <w:fldChar w:fldCharType="separate"/>
            </w:r>
            <w:r w:rsidRPr="00737103">
              <w:rPr>
                <w:b/>
                <w:bCs/>
                <w:noProof/>
                <w:sz w:val="20"/>
                <w:szCs w:val="20"/>
                <w:lang w:eastAsia="en-AU"/>
              </w:rPr>
              <w:t>381,381</w:t>
            </w:r>
            <w:r w:rsidRPr="00737103">
              <w:rPr>
                <w:b/>
                <w:bCs/>
                <w:sz w:val="20"/>
                <w:szCs w:val="20"/>
                <w:lang w:eastAsia="en-AU"/>
              </w:rPr>
              <w:fldChar w:fldCharType="end"/>
            </w:r>
          </w:p>
        </w:tc>
        <w:tc>
          <w:tcPr>
            <w:tcW w:w="1616" w:type="dxa"/>
            <w:tcBorders>
              <w:top w:val="single" w:sz="4" w:space="0" w:color="E0DCCB" w:themeColor="accent4" w:themeTint="66"/>
              <w:left w:val="nil"/>
              <w:bottom w:val="single" w:sz="4" w:space="0" w:color="E0DCCB" w:themeColor="accent4" w:themeTint="66"/>
              <w:right w:val="nil"/>
            </w:tcBorders>
            <w:vAlign w:val="center"/>
          </w:tcPr>
          <w:p w:rsidR="007B1360" w:rsidRPr="00737103" w:rsidRDefault="007B1360" w:rsidP="00FC300F">
            <w:pPr>
              <w:pStyle w:val="Financials"/>
              <w:jc w:val="right"/>
              <w:rPr>
                <w:b/>
                <w:sz w:val="20"/>
                <w:szCs w:val="20"/>
                <w:lang w:eastAsia="en-AU"/>
              </w:rPr>
            </w:pPr>
            <w:r w:rsidRPr="00FC300F">
              <w:rPr>
                <w:b/>
                <w:bCs/>
                <w:sz w:val="20"/>
                <w:szCs w:val="20"/>
                <w:lang w:eastAsia="en-AU"/>
              </w:rPr>
              <w:fldChar w:fldCharType="begin"/>
            </w:r>
            <w:r w:rsidRPr="00FC300F">
              <w:rPr>
                <w:b/>
                <w:bCs/>
                <w:sz w:val="20"/>
                <w:szCs w:val="20"/>
                <w:lang w:eastAsia="en-AU"/>
              </w:rPr>
              <w:instrText xml:space="preserve"> =SUM(ABOVE) </w:instrText>
            </w:r>
            <w:r w:rsidRPr="00FC300F">
              <w:rPr>
                <w:b/>
                <w:bCs/>
                <w:sz w:val="20"/>
                <w:szCs w:val="20"/>
                <w:lang w:eastAsia="en-AU"/>
              </w:rPr>
              <w:fldChar w:fldCharType="separate"/>
            </w:r>
            <w:r w:rsidRPr="00FC300F">
              <w:rPr>
                <w:b/>
                <w:bCs/>
                <w:noProof/>
                <w:sz w:val="20"/>
                <w:szCs w:val="20"/>
                <w:lang w:eastAsia="en-AU"/>
              </w:rPr>
              <w:t>494,114</w:t>
            </w:r>
            <w:r w:rsidRPr="00FC300F">
              <w:rPr>
                <w:b/>
                <w:bCs/>
                <w:sz w:val="20"/>
                <w:szCs w:val="20"/>
                <w:lang w:eastAsia="en-AU"/>
              </w:rPr>
              <w:fldChar w:fldCharType="end"/>
            </w:r>
          </w:p>
        </w:tc>
        <w:tc>
          <w:tcPr>
            <w:tcW w:w="147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b/>
                <w:sz w:val="20"/>
                <w:szCs w:val="20"/>
                <w:lang w:eastAsia="en-AU"/>
              </w:rPr>
            </w:pPr>
            <w:r w:rsidRPr="00737103">
              <w:rPr>
                <w:b/>
                <w:sz w:val="20"/>
                <w:szCs w:val="20"/>
                <w:lang w:eastAsia="en-AU"/>
              </w:rPr>
              <w:fldChar w:fldCharType="begin"/>
            </w:r>
            <w:r w:rsidRPr="00737103">
              <w:rPr>
                <w:b/>
                <w:sz w:val="20"/>
                <w:szCs w:val="20"/>
                <w:lang w:eastAsia="en-AU"/>
              </w:rPr>
              <w:instrText xml:space="preserve"> =SUM(ABOVE) </w:instrText>
            </w:r>
            <w:r w:rsidRPr="00737103">
              <w:rPr>
                <w:b/>
                <w:sz w:val="20"/>
                <w:szCs w:val="20"/>
                <w:lang w:eastAsia="en-AU"/>
              </w:rPr>
              <w:fldChar w:fldCharType="separate"/>
            </w:r>
            <w:r w:rsidRPr="00737103">
              <w:rPr>
                <w:b/>
                <w:noProof/>
                <w:sz w:val="20"/>
                <w:szCs w:val="20"/>
                <w:lang w:eastAsia="en-AU"/>
              </w:rPr>
              <w:t>2,933,704</w:t>
            </w:r>
            <w:r w:rsidRPr="00737103">
              <w:rPr>
                <w:b/>
                <w:sz w:val="20"/>
                <w:szCs w:val="20"/>
                <w:lang w:eastAsia="en-AU"/>
              </w:rPr>
              <w:fldChar w:fldCharType="end"/>
            </w:r>
          </w:p>
        </w:tc>
        <w:tc>
          <w:tcPr>
            <w:tcW w:w="1474" w:type="dxa"/>
            <w:tcBorders>
              <w:top w:val="single" w:sz="4" w:space="0" w:color="E0DCCB" w:themeColor="accent4" w:themeTint="66"/>
              <w:left w:val="nil"/>
              <w:bottom w:val="single" w:sz="4" w:space="0" w:color="E0DCCB" w:themeColor="accent4" w:themeTint="66"/>
              <w:right w:val="nil"/>
            </w:tcBorders>
            <w:vAlign w:val="center"/>
          </w:tcPr>
          <w:p w:rsidR="007B1360" w:rsidRPr="00737103" w:rsidRDefault="007B1360" w:rsidP="00FC300F">
            <w:pPr>
              <w:pStyle w:val="Financials"/>
              <w:jc w:val="right"/>
              <w:rPr>
                <w:b/>
                <w:sz w:val="20"/>
                <w:szCs w:val="20"/>
                <w:lang w:eastAsia="en-AU"/>
              </w:rPr>
            </w:pPr>
            <w:r w:rsidRPr="00737103">
              <w:rPr>
                <w:b/>
                <w:bCs/>
                <w:sz w:val="20"/>
                <w:szCs w:val="20"/>
                <w:lang w:eastAsia="en-AU"/>
              </w:rPr>
              <w:fldChar w:fldCharType="begin"/>
            </w:r>
            <w:r w:rsidRPr="00737103">
              <w:rPr>
                <w:b/>
                <w:bCs/>
                <w:sz w:val="20"/>
                <w:szCs w:val="20"/>
                <w:lang w:eastAsia="en-AU"/>
              </w:rPr>
              <w:instrText xml:space="preserve"> =SUM(ABOVE) </w:instrText>
            </w:r>
            <w:r w:rsidRPr="00737103">
              <w:rPr>
                <w:b/>
                <w:bCs/>
                <w:sz w:val="20"/>
                <w:szCs w:val="20"/>
                <w:lang w:eastAsia="en-AU"/>
              </w:rPr>
              <w:fldChar w:fldCharType="separate"/>
            </w:r>
            <w:r w:rsidRPr="00737103">
              <w:rPr>
                <w:b/>
                <w:bCs/>
                <w:noProof/>
                <w:sz w:val="20"/>
                <w:szCs w:val="20"/>
                <w:lang w:eastAsia="en-AU"/>
              </w:rPr>
              <w:t>3,800,875</w:t>
            </w:r>
            <w:r w:rsidRPr="00737103">
              <w:rPr>
                <w:b/>
                <w:bCs/>
                <w:sz w:val="20"/>
                <w:szCs w:val="20"/>
                <w:lang w:eastAsia="en-AU"/>
              </w:rPr>
              <w:fldChar w:fldCharType="end"/>
            </w:r>
          </w:p>
        </w:tc>
      </w:tr>
      <w:tr w:rsidR="00011640" w:rsidRPr="003B400A" w:rsidTr="00A12051">
        <w:trPr>
          <w:trHeight w:val="255"/>
        </w:trPr>
        <w:tc>
          <w:tcPr>
            <w:tcW w:w="2694"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7B1360" w:rsidRPr="00737103" w:rsidRDefault="007B1360" w:rsidP="0093364B">
            <w:pPr>
              <w:pStyle w:val="Financials"/>
              <w:rPr>
                <w:b/>
                <w:bCs/>
                <w:sz w:val="20"/>
                <w:szCs w:val="20"/>
                <w:lang w:eastAsia="en-AU"/>
              </w:rPr>
            </w:pPr>
          </w:p>
        </w:tc>
        <w:tc>
          <w:tcPr>
            <w:tcW w:w="1701" w:type="dxa"/>
            <w:tcBorders>
              <w:top w:val="single" w:sz="4" w:space="0" w:color="FFFFFF" w:themeColor="background1"/>
              <w:left w:val="nil"/>
              <w:bottom w:val="single" w:sz="4" w:space="0" w:color="FFFFFF" w:themeColor="background1"/>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p>
        </w:tc>
        <w:tc>
          <w:tcPr>
            <w:tcW w:w="1701"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E0DCCB" w:themeFill="accent4" w:themeFillTint="66"/>
          </w:tcPr>
          <w:p w:rsidR="007B1360" w:rsidRPr="00737103" w:rsidRDefault="007B1360" w:rsidP="00FC300F">
            <w:pPr>
              <w:pStyle w:val="Financials"/>
              <w:jc w:val="right"/>
              <w:rPr>
                <w:sz w:val="20"/>
                <w:szCs w:val="20"/>
                <w:lang w:eastAsia="en-AU"/>
              </w:rPr>
            </w:pPr>
          </w:p>
        </w:tc>
        <w:tc>
          <w:tcPr>
            <w:tcW w:w="1701" w:type="dxa"/>
            <w:tcBorders>
              <w:top w:val="single" w:sz="4" w:space="0" w:color="E0DCCB" w:themeColor="accent4" w:themeTint="66"/>
              <w:left w:val="single" w:sz="4" w:space="0" w:color="FFFFFF" w:themeColor="background1"/>
              <w:bottom w:val="single" w:sz="4" w:space="0" w:color="E0DCCB" w:themeColor="accent4" w:themeTint="66"/>
              <w:right w:val="single" w:sz="4" w:space="0" w:color="FFFFFF" w:themeColor="background1"/>
            </w:tcBorders>
            <w:shd w:val="clear" w:color="auto" w:fill="FFFFFF" w:themeFill="background1"/>
          </w:tcPr>
          <w:p w:rsidR="007B1360" w:rsidRPr="00737103" w:rsidRDefault="007B1360" w:rsidP="00FC300F">
            <w:pPr>
              <w:pStyle w:val="Financials"/>
              <w:jc w:val="right"/>
              <w:rPr>
                <w:sz w:val="20"/>
                <w:szCs w:val="20"/>
                <w:lang w:eastAsia="en-AU"/>
              </w:rPr>
            </w:pPr>
          </w:p>
        </w:tc>
        <w:tc>
          <w:tcPr>
            <w:tcW w:w="1644" w:type="dxa"/>
            <w:tcBorders>
              <w:top w:val="single" w:sz="4" w:space="0" w:color="FFFFFF" w:themeColor="background1"/>
              <w:left w:val="single" w:sz="4" w:space="0" w:color="FFFFFF" w:themeColor="background1"/>
              <w:bottom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p>
        </w:tc>
        <w:tc>
          <w:tcPr>
            <w:tcW w:w="1616" w:type="dxa"/>
            <w:tcBorders>
              <w:top w:val="single" w:sz="4" w:space="0" w:color="E0DCCB" w:themeColor="accent4" w:themeTint="66"/>
              <w:left w:val="nil"/>
              <w:bottom w:val="single" w:sz="4" w:space="0" w:color="E0DCCB" w:themeColor="accent4" w:themeTint="66"/>
              <w:right w:val="nil"/>
            </w:tcBorders>
            <w:vAlign w:val="center"/>
          </w:tcPr>
          <w:p w:rsidR="007B1360" w:rsidRPr="00737103" w:rsidRDefault="007B1360" w:rsidP="00FC300F">
            <w:pPr>
              <w:pStyle w:val="Financials"/>
              <w:jc w:val="right"/>
              <w:rPr>
                <w:sz w:val="20"/>
                <w:szCs w:val="20"/>
                <w:lang w:eastAsia="en-AU"/>
              </w:rPr>
            </w:pPr>
          </w:p>
        </w:tc>
        <w:tc>
          <w:tcPr>
            <w:tcW w:w="147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p>
        </w:tc>
        <w:tc>
          <w:tcPr>
            <w:tcW w:w="1474" w:type="dxa"/>
            <w:tcBorders>
              <w:top w:val="single" w:sz="4" w:space="0" w:color="E0DCCB" w:themeColor="accent4" w:themeTint="66"/>
              <w:left w:val="nil"/>
              <w:bottom w:val="single" w:sz="4" w:space="0" w:color="E0DCCB" w:themeColor="accent4" w:themeTint="66"/>
              <w:right w:val="nil"/>
            </w:tcBorders>
            <w:vAlign w:val="center"/>
          </w:tcPr>
          <w:p w:rsidR="007B1360" w:rsidRPr="00737103" w:rsidRDefault="007B1360" w:rsidP="00FC300F">
            <w:pPr>
              <w:pStyle w:val="Financials"/>
              <w:jc w:val="right"/>
              <w:rPr>
                <w:sz w:val="20"/>
                <w:szCs w:val="20"/>
                <w:lang w:eastAsia="en-AU"/>
              </w:rPr>
            </w:pPr>
            <w:r w:rsidRPr="00737103">
              <w:rPr>
                <w:sz w:val="20"/>
                <w:szCs w:val="20"/>
                <w:lang w:eastAsia="en-AU"/>
              </w:rPr>
              <w:t> </w:t>
            </w:r>
          </w:p>
        </w:tc>
      </w:tr>
      <w:tr w:rsidR="00011640" w:rsidRPr="003B400A" w:rsidTr="00A12051">
        <w:trPr>
          <w:trHeight w:val="255"/>
        </w:trPr>
        <w:tc>
          <w:tcPr>
            <w:tcW w:w="2694" w:type="dxa"/>
            <w:tcBorders>
              <w:top w:val="single" w:sz="4" w:space="0" w:color="E0DCCB" w:themeColor="accent4" w:themeTint="66"/>
              <w:left w:val="nil"/>
              <w:bottom w:val="single" w:sz="4" w:space="0" w:color="B2A97E" w:themeColor="accent4"/>
              <w:right w:val="nil"/>
            </w:tcBorders>
            <w:shd w:val="clear" w:color="auto" w:fill="auto"/>
            <w:vAlign w:val="center"/>
          </w:tcPr>
          <w:p w:rsidR="007B1360" w:rsidRPr="00737103" w:rsidRDefault="007B1360" w:rsidP="0093364B">
            <w:pPr>
              <w:pStyle w:val="Financials"/>
              <w:rPr>
                <w:i/>
                <w:iCs/>
                <w:sz w:val="20"/>
                <w:szCs w:val="20"/>
                <w:lang w:eastAsia="en-AU"/>
              </w:rPr>
            </w:pPr>
            <w:r w:rsidRPr="00737103">
              <w:rPr>
                <w:b/>
                <w:bCs/>
                <w:sz w:val="20"/>
                <w:szCs w:val="20"/>
                <w:lang w:eastAsia="en-AU"/>
              </w:rPr>
              <w:t>NET ASSETS</w:t>
            </w:r>
          </w:p>
        </w:tc>
        <w:tc>
          <w:tcPr>
            <w:tcW w:w="1701" w:type="dxa"/>
            <w:tcBorders>
              <w:top w:val="single" w:sz="4" w:space="0" w:color="FFFFFF" w:themeColor="background1"/>
              <w:left w:val="nil"/>
              <w:bottom w:val="single" w:sz="4" w:space="0" w:color="B2A97E" w:themeColor="accent4"/>
              <w:right w:val="single" w:sz="4" w:space="0" w:color="FFFFFF" w:themeColor="background1"/>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r w:rsidRPr="00737103">
              <w:rPr>
                <w:b/>
                <w:bCs/>
                <w:sz w:val="20"/>
                <w:szCs w:val="20"/>
                <w:lang w:eastAsia="en-AU"/>
              </w:rPr>
              <w:t>(847,467)</w:t>
            </w:r>
          </w:p>
        </w:tc>
        <w:tc>
          <w:tcPr>
            <w:tcW w:w="1701" w:type="dxa"/>
            <w:tcBorders>
              <w:top w:val="single" w:sz="4" w:space="0" w:color="FFFFFF" w:themeColor="background1"/>
              <w:left w:val="single" w:sz="4" w:space="0" w:color="FFFFFF" w:themeColor="background1"/>
              <w:bottom w:val="single" w:sz="4" w:space="0" w:color="B2A97E" w:themeColor="accent4"/>
              <w:right w:val="single" w:sz="4" w:space="0" w:color="FFFFFF" w:themeColor="background1"/>
            </w:tcBorders>
            <w:shd w:val="clear" w:color="auto" w:fill="E0DCCB" w:themeFill="accent4" w:themeFillTint="66"/>
          </w:tcPr>
          <w:p w:rsidR="007B1360" w:rsidRPr="00737103" w:rsidRDefault="007B1360" w:rsidP="00FC300F">
            <w:pPr>
              <w:pStyle w:val="Financials"/>
              <w:jc w:val="right"/>
              <w:rPr>
                <w:sz w:val="20"/>
                <w:szCs w:val="20"/>
                <w:lang w:eastAsia="en-AU"/>
              </w:rPr>
            </w:pPr>
            <w:r w:rsidRPr="00737103">
              <w:rPr>
                <w:b/>
                <w:bCs/>
                <w:sz w:val="20"/>
                <w:szCs w:val="20"/>
                <w:lang w:eastAsia="en-AU"/>
              </w:rPr>
              <w:t>(304,559)</w:t>
            </w:r>
          </w:p>
        </w:tc>
        <w:tc>
          <w:tcPr>
            <w:tcW w:w="1701" w:type="dxa"/>
            <w:tcBorders>
              <w:top w:val="single" w:sz="4" w:space="0" w:color="E0DCCB" w:themeColor="accent4" w:themeTint="66"/>
              <w:left w:val="single" w:sz="4" w:space="0" w:color="FFFFFF" w:themeColor="background1"/>
              <w:bottom w:val="single" w:sz="4" w:space="0" w:color="B2A97E" w:themeColor="accent4"/>
              <w:right w:val="single" w:sz="4" w:space="0" w:color="FFFFFF" w:themeColor="background1"/>
            </w:tcBorders>
            <w:shd w:val="clear" w:color="auto" w:fill="FFFFFF" w:themeFill="background1"/>
          </w:tcPr>
          <w:p w:rsidR="007B1360" w:rsidRPr="00737103" w:rsidRDefault="009C7365" w:rsidP="00FC300F">
            <w:pPr>
              <w:pStyle w:val="Financials"/>
              <w:jc w:val="right"/>
              <w:rPr>
                <w:b/>
                <w:bCs/>
                <w:sz w:val="20"/>
                <w:szCs w:val="20"/>
                <w:lang w:eastAsia="en-AU"/>
              </w:rPr>
            </w:pPr>
            <w:r>
              <w:rPr>
                <w:b/>
                <w:bCs/>
                <w:sz w:val="20"/>
                <w:szCs w:val="20"/>
                <w:lang w:eastAsia="en-AU"/>
              </w:rPr>
              <w:t>(1,558,140)</w:t>
            </w:r>
          </w:p>
        </w:tc>
        <w:tc>
          <w:tcPr>
            <w:tcW w:w="1644" w:type="dxa"/>
            <w:tcBorders>
              <w:top w:val="single" w:sz="4" w:space="0" w:color="FFFFFF" w:themeColor="background1"/>
              <w:left w:val="single" w:sz="4" w:space="0" w:color="FFFFFF" w:themeColor="background1"/>
              <w:bottom w:val="single" w:sz="4" w:space="0" w:color="B2A97E" w:themeColor="accent4"/>
              <w:right w:val="nil"/>
            </w:tcBorders>
            <w:shd w:val="clear" w:color="auto" w:fill="E0DCCB" w:themeFill="accent4" w:themeFillTint="66"/>
            <w:vAlign w:val="center"/>
          </w:tcPr>
          <w:p w:rsidR="007B1360" w:rsidRPr="00737103" w:rsidRDefault="007B1360" w:rsidP="00FC300F">
            <w:pPr>
              <w:pStyle w:val="Financials"/>
              <w:jc w:val="right"/>
              <w:rPr>
                <w:sz w:val="20"/>
                <w:szCs w:val="20"/>
                <w:lang w:eastAsia="en-AU"/>
              </w:rPr>
            </w:pPr>
            <w:r w:rsidRPr="00737103">
              <w:rPr>
                <w:b/>
                <w:bCs/>
                <w:sz w:val="20"/>
                <w:szCs w:val="20"/>
                <w:lang w:eastAsia="en-AU"/>
              </w:rPr>
              <w:t>(172,142)</w:t>
            </w:r>
          </w:p>
        </w:tc>
        <w:tc>
          <w:tcPr>
            <w:tcW w:w="1616" w:type="dxa"/>
            <w:tcBorders>
              <w:top w:val="single" w:sz="4" w:space="0" w:color="E0DCCB" w:themeColor="accent4" w:themeTint="66"/>
              <w:left w:val="nil"/>
              <w:bottom w:val="single" w:sz="4" w:space="0" w:color="B2A97E" w:themeColor="accent4"/>
              <w:right w:val="nil"/>
            </w:tcBorders>
            <w:vAlign w:val="center"/>
          </w:tcPr>
          <w:p w:rsidR="007B1360" w:rsidRPr="00737103" w:rsidRDefault="007B1360" w:rsidP="00FC300F">
            <w:pPr>
              <w:pStyle w:val="Financials"/>
              <w:jc w:val="right"/>
              <w:rPr>
                <w:sz w:val="20"/>
                <w:szCs w:val="20"/>
                <w:lang w:eastAsia="en-AU"/>
              </w:rPr>
            </w:pPr>
            <w:r w:rsidRPr="00737103">
              <w:rPr>
                <w:b/>
                <w:bCs/>
                <w:sz w:val="20"/>
                <w:szCs w:val="20"/>
                <w:lang w:eastAsia="en-AU"/>
              </w:rPr>
              <w:t>(269,074)</w:t>
            </w:r>
          </w:p>
        </w:tc>
        <w:tc>
          <w:tcPr>
            <w:tcW w:w="1474"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7B1360" w:rsidRPr="00737103" w:rsidRDefault="007B1360" w:rsidP="00FC300F">
            <w:pPr>
              <w:pStyle w:val="Financials"/>
              <w:jc w:val="right"/>
              <w:rPr>
                <w:b/>
                <w:sz w:val="20"/>
                <w:szCs w:val="20"/>
                <w:lang w:eastAsia="en-AU"/>
              </w:rPr>
            </w:pPr>
            <w:r w:rsidRPr="00737103">
              <w:rPr>
                <w:b/>
                <w:sz w:val="20"/>
                <w:szCs w:val="20"/>
                <w:lang w:eastAsia="en-AU"/>
              </w:rPr>
              <w:t>(1,324,167)</w:t>
            </w:r>
          </w:p>
        </w:tc>
        <w:tc>
          <w:tcPr>
            <w:tcW w:w="1474" w:type="dxa"/>
            <w:tcBorders>
              <w:top w:val="single" w:sz="4" w:space="0" w:color="E0DCCB" w:themeColor="accent4" w:themeTint="66"/>
              <w:left w:val="nil"/>
              <w:bottom w:val="single" w:sz="4" w:space="0" w:color="B2A97E" w:themeColor="accent4"/>
              <w:right w:val="nil"/>
            </w:tcBorders>
            <w:vAlign w:val="center"/>
          </w:tcPr>
          <w:p w:rsidR="007B1360" w:rsidRPr="00737103" w:rsidRDefault="007B1360" w:rsidP="00FC300F">
            <w:pPr>
              <w:pStyle w:val="Financials"/>
              <w:jc w:val="right"/>
              <w:rPr>
                <w:sz w:val="20"/>
                <w:szCs w:val="20"/>
                <w:lang w:eastAsia="en-AU"/>
              </w:rPr>
            </w:pPr>
            <w:r w:rsidRPr="00737103">
              <w:rPr>
                <w:b/>
                <w:bCs/>
                <w:sz w:val="20"/>
                <w:szCs w:val="20"/>
                <w:lang w:eastAsia="en-AU"/>
              </w:rPr>
              <w:t>(1,827,214)</w:t>
            </w:r>
          </w:p>
        </w:tc>
      </w:tr>
    </w:tbl>
    <w:p w:rsidR="00FC300F" w:rsidRPr="007B1360" w:rsidRDefault="00FC300F" w:rsidP="001C2C47">
      <w:pPr>
        <w:pStyle w:val="Financialfooter"/>
        <w:numPr>
          <w:ilvl w:val="0"/>
          <w:numId w:val="40"/>
        </w:numPr>
      </w:pPr>
      <w:r w:rsidRPr="007B1360">
        <w:t xml:space="preserve">New services were established in 2014–15. In previous years, Services 1 and 2 were combined as Service </w:t>
      </w:r>
      <w:r w:rsidR="007B1360" w:rsidRPr="007B1360">
        <w:t xml:space="preserve">1 </w:t>
      </w:r>
      <w:r w:rsidRPr="007B1360">
        <w:t>and therefore there are no comparatives for the 2013–14 year.</w:t>
      </w:r>
    </w:p>
    <w:p w:rsidR="003B400A" w:rsidRPr="00FC300F" w:rsidRDefault="00FC300F" w:rsidP="00FC300F">
      <w:pPr>
        <w:spacing w:before="120" w:after="0"/>
        <w:rPr>
          <w:rFonts w:ascii="Arial" w:eastAsia="Times New Roman" w:hAnsi="Arial" w:cs="Arial"/>
          <w:sz w:val="20"/>
          <w:szCs w:val="20"/>
          <w:lang w:eastAsia="en-AU"/>
        </w:rPr>
      </w:pPr>
      <w:r w:rsidRPr="00FC300F">
        <w:rPr>
          <w:rFonts w:ascii="Arial" w:eastAsia="Times New Roman" w:hAnsi="Arial" w:cs="Arial"/>
          <w:sz w:val="20"/>
          <w:szCs w:val="20"/>
          <w:lang w:eastAsia="en-AU"/>
        </w:rPr>
        <w:t>The Schedule of Assets and Liabilities by Service should be read in conjunction with the accompanying notes.</w:t>
      </w:r>
    </w:p>
    <w:p w:rsidR="003B400A" w:rsidRPr="00FC300F" w:rsidRDefault="003B400A" w:rsidP="00827E96">
      <w:pPr>
        <w:spacing w:before="120" w:after="0"/>
        <w:rPr>
          <w:rFonts w:ascii="Arial" w:eastAsia="Times New Roman" w:hAnsi="Arial" w:cs="Arial"/>
          <w:sz w:val="20"/>
          <w:szCs w:val="20"/>
          <w:lang w:eastAsia="en-AU"/>
        </w:rPr>
      </w:pPr>
    </w:p>
    <w:p w:rsidR="003B400A" w:rsidRDefault="003B400A" w:rsidP="00827E96">
      <w:pPr>
        <w:spacing w:before="120" w:after="0"/>
      </w:pPr>
    </w:p>
    <w:p w:rsidR="00AE2DE2" w:rsidRDefault="00AE2DE2">
      <w:pPr>
        <w:sectPr w:rsidR="00AE2DE2" w:rsidSect="00587B22">
          <w:footerReference w:type="default" r:id="rId65"/>
          <w:pgSz w:w="16838" w:h="11906" w:orient="landscape"/>
          <w:pgMar w:top="1276" w:right="1247" w:bottom="992" w:left="1440" w:header="567" w:footer="0" w:gutter="0"/>
          <w:cols w:space="709"/>
          <w:docGrid w:linePitch="360"/>
        </w:sectPr>
      </w:pPr>
    </w:p>
    <w:p w:rsidR="00FC300F" w:rsidRDefault="00FC300F" w:rsidP="004E5215">
      <w:pPr>
        <w:pStyle w:val="Financialsheading1"/>
      </w:pPr>
      <w:bookmarkStart w:id="103" w:name="_Toc425254045"/>
      <w:bookmarkStart w:id="104" w:name="_Toc428279209"/>
      <w:r>
        <w:lastRenderedPageBreak/>
        <w:t>Summary of Consolidated Account Appropriations and Income Estimates</w:t>
      </w:r>
      <w:bookmarkEnd w:id="103"/>
      <w:bookmarkEnd w:id="104"/>
    </w:p>
    <w:p w:rsidR="00C66D47" w:rsidRDefault="00FC300F" w:rsidP="004E5215">
      <w:pPr>
        <w:pStyle w:val="Financialsheading2"/>
      </w:pPr>
      <w:bookmarkStart w:id="105" w:name="_Toc425254046"/>
      <w:r>
        <w:t>For the year ended 30 June 2015</w:t>
      </w:r>
      <w:bookmarkEnd w:id="105"/>
    </w:p>
    <w:tbl>
      <w:tblPr>
        <w:tblW w:w="9892" w:type="dxa"/>
        <w:tblInd w:w="108" w:type="dxa"/>
        <w:tblLayout w:type="fixed"/>
        <w:tblCellMar>
          <w:top w:w="28" w:type="dxa"/>
          <w:bottom w:w="28" w:type="dxa"/>
        </w:tblCellMar>
        <w:tblLook w:val="04A0" w:firstRow="1" w:lastRow="0" w:firstColumn="1" w:lastColumn="0" w:noHBand="0" w:noVBand="1"/>
      </w:tblPr>
      <w:tblGrid>
        <w:gridCol w:w="2410"/>
        <w:gridCol w:w="1247"/>
        <w:gridCol w:w="1247"/>
        <w:gridCol w:w="1247"/>
        <w:gridCol w:w="1247"/>
        <w:gridCol w:w="1247"/>
        <w:gridCol w:w="1247"/>
      </w:tblGrid>
      <w:tr w:rsidR="004E5215" w:rsidTr="00E2543D">
        <w:trPr>
          <w:trHeight w:val="255"/>
        </w:trPr>
        <w:tc>
          <w:tcPr>
            <w:tcW w:w="2410" w:type="dxa"/>
            <w:shd w:val="clear" w:color="auto" w:fill="E0DCCB" w:themeFill="accent4" w:themeFillTint="66"/>
            <w:vAlign w:val="center"/>
            <w:hideMark/>
          </w:tcPr>
          <w:p w:rsidR="004E5215" w:rsidRPr="004E5215" w:rsidRDefault="004E5215" w:rsidP="004E5215">
            <w:pPr>
              <w:pStyle w:val="Financials"/>
              <w:rPr>
                <w:sz w:val="20"/>
                <w:szCs w:val="20"/>
                <w:lang w:eastAsia="en-AU"/>
              </w:rPr>
            </w:pPr>
          </w:p>
        </w:tc>
        <w:tc>
          <w:tcPr>
            <w:tcW w:w="1247" w:type="dxa"/>
            <w:shd w:val="clear" w:color="auto" w:fill="E0DCCB" w:themeFill="accent4" w:themeFillTint="66"/>
            <w:vAlign w:val="center"/>
            <w:hideMark/>
          </w:tcPr>
          <w:p w:rsidR="004E5215" w:rsidRPr="004E5215" w:rsidRDefault="004E5215" w:rsidP="004E5215">
            <w:pPr>
              <w:pStyle w:val="Financials"/>
              <w:jc w:val="center"/>
              <w:rPr>
                <w:b/>
                <w:bCs/>
                <w:sz w:val="20"/>
                <w:szCs w:val="20"/>
                <w:lang w:eastAsia="en-AU"/>
              </w:rPr>
            </w:pPr>
            <w:r w:rsidRPr="004E5215">
              <w:rPr>
                <w:b/>
                <w:bCs/>
                <w:sz w:val="20"/>
                <w:szCs w:val="20"/>
                <w:lang w:eastAsia="en-AU"/>
              </w:rPr>
              <w:t>2015</w:t>
            </w:r>
            <w:r w:rsidRPr="004E5215">
              <w:rPr>
                <w:b/>
                <w:bCs/>
                <w:sz w:val="20"/>
                <w:szCs w:val="20"/>
                <w:lang w:eastAsia="en-AU"/>
              </w:rPr>
              <w:br/>
              <w:t>Estimate</w:t>
            </w:r>
          </w:p>
        </w:tc>
        <w:tc>
          <w:tcPr>
            <w:tcW w:w="1247" w:type="dxa"/>
            <w:shd w:val="clear" w:color="auto" w:fill="E0DCCB" w:themeFill="accent4" w:themeFillTint="66"/>
          </w:tcPr>
          <w:p w:rsidR="004E5215" w:rsidRPr="004E5215" w:rsidRDefault="004E5215" w:rsidP="004E5215">
            <w:pPr>
              <w:pStyle w:val="Financials"/>
              <w:jc w:val="center"/>
              <w:rPr>
                <w:b/>
                <w:bCs/>
                <w:sz w:val="20"/>
                <w:szCs w:val="20"/>
                <w:lang w:eastAsia="en-AU"/>
              </w:rPr>
            </w:pPr>
            <w:r w:rsidRPr="004E5215">
              <w:rPr>
                <w:b/>
                <w:bCs/>
                <w:sz w:val="20"/>
                <w:szCs w:val="20"/>
                <w:lang w:eastAsia="en-AU"/>
              </w:rPr>
              <w:t>2015</w:t>
            </w:r>
            <w:r w:rsidRPr="004E5215">
              <w:rPr>
                <w:b/>
                <w:bCs/>
                <w:sz w:val="20"/>
                <w:szCs w:val="20"/>
                <w:lang w:eastAsia="en-AU"/>
              </w:rPr>
              <w:br/>
              <w:t>Actual</w:t>
            </w:r>
          </w:p>
        </w:tc>
        <w:tc>
          <w:tcPr>
            <w:tcW w:w="1247" w:type="dxa"/>
            <w:tcBorders>
              <w:right w:val="single" w:sz="4" w:space="0" w:color="B2A97E" w:themeColor="accent4"/>
            </w:tcBorders>
            <w:shd w:val="clear" w:color="auto" w:fill="E0DCCB" w:themeFill="accent4" w:themeFillTint="66"/>
            <w:vAlign w:val="center"/>
          </w:tcPr>
          <w:p w:rsidR="004E5215" w:rsidRPr="004E5215" w:rsidRDefault="004E5215" w:rsidP="004E5215">
            <w:pPr>
              <w:pStyle w:val="Financials"/>
              <w:jc w:val="center"/>
              <w:rPr>
                <w:b/>
                <w:bCs/>
                <w:sz w:val="20"/>
                <w:szCs w:val="20"/>
                <w:lang w:eastAsia="en-AU"/>
              </w:rPr>
            </w:pPr>
            <w:r w:rsidRPr="004E5215">
              <w:rPr>
                <w:b/>
                <w:bCs/>
                <w:sz w:val="20"/>
                <w:szCs w:val="20"/>
                <w:lang w:eastAsia="en-AU"/>
              </w:rPr>
              <w:t>Variance</w:t>
            </w:r>
          </w:p>
        </w:tc>
        <w:tc>
          <w:tcPr>
            <w:tcW w:w="1247" w:type="dxa"/>
            <w:tcBorders>
              <w:left w:val="single" w:sz="4" w:space="0" w:color="B2A97E" w:themeColor="accent4"/>
            </w:tcBorders>
            <w:shd w:val="clear" w:color="auto" w:fill="E0DCCB" w:themeFill="accent4" w:themeFillTint="66"/>
          </w:tcPr>
          <w:p w:rsidR="004E5215" w:rsidRPr="004E5215" w:rsidRDefault="004E5215" w:rsidP="004E5215">
            <w:pPr>
              <w:pStyle w:val="Financials"/>
              <w:jc w:val="center"/>
              <w:rPr>
                <w:b/>
                <w:bCs/>
                <w:sz w:val="20"/>
                <w:szCs w:val="20"/>
                <w:lang w:eastAsia="en-AU"/>
              </w:rPr>
            </w:pPr>
            <w:r w:rsidRPr="004E5215">
              <w:rPr>
                <w:b/>
                <w:bCs/>
                <w:sz w:val="20"/>
                <w:szCs w:val="20"/>
                <w:lang w:eastAsia="en-AU"/>
              </w:rPr>
              <w:t>2015</w:t>
            </w:r>
            <w:r w:rsidRPr="004E5215">
              <w:rPr>
                <w:b/>
                <w:bCs/>
                <w:sz w:val="20"/>
                <w:szCs w:val="20"/>
                <w:lang w:eastAsia="en-AU"/>
              </w:rPr>
              <w:br/>
              <w:t>Actual</w:t>
            </w:r>
          </w:p>
        </w:tc>
        <w:tc>
          <w:tcPr>
            <w:tcW w:w="1247" w:type="dxa"/>
            <w:shd w:val="clear" w:color="auto" w:fill="E0DCCB" w:themeFill="accent4" w:themeFillTint="66"/>
          </w:tcPr>
          <w:p w:rsidR="004E5215" w:rsidRPr="004E5215" w:rsidRDefault="004E5215" w:rsidP="004E5215">
            <w:pPr>
              <w:pStyle w:val="Financials"/>
              <w:jc w:val="center"/>
              <w:rPr>
                <w:b/>
                <w:bCs/>
                <w:sz w:val="20"/>
                <w:szCs w:val="20"/>
                <w:lang w:eastAsia="en-AU"/>
              </w:rPr>
            </w:pPr>
            <w:r w:rsidRPr="004E5215">
              <w:rPr>
                <w:b/>
                <w:bCs/>
                <w:sz w:val="20"/>
                <w:szCs w:val="20"/>
                <w:lang w:eastAsia="en-AU"/>
              </w:rPr>
              <w:t>2014</w:t>
            </w:r>
            <w:r w:rsidRPr="004E5215">
              <w:rPr>
                <w:b/>
                <w:bCs/>
                <w:sz w:val="20"/>
                <w:szCs w:val="20"/>
                <w:lang w:eastAsia="en-AU"/>
              </w:rPr>
              <w:br/>
              <w:t>Actual</w:t>
            </w:r>
          </w:p>
        </w:tc>
        <w:tc>
          <w:tcPr>
            <w:tcW w:w="1247" w:type="dxa"/>
            <w:shd w:val="clear" w:color="auto" w:fill="E0DCCB" w:themeFill="accent4" w:themeFillTint="66"/>
            <w:vAlign w:val="center"/>
          </w:tcPr>
          <w:p w:rsidR="004E5215" w:rsidRPr="004E5215" w:rsidRDefault="004E5215" w:rsidP="004E5215">
            <w:pPr>
              <w:pStyle w:val="Financials"/>
              <w:jc w:val="center"/>
              <w:rPr>
                <w:b/>
                <w:bCs/>
                <w:sz w:val="20"/>
                <w:szCs w:val="20"/>
                <w:lang w:eastAsia="en-AU"/>
              </w:rPr>
            </w:pPr>
            <w:r w:rsidRPr="004E5215">
              <w:rPr>
                <w:b/>
                <w:bCs/>
                <w:sz w:val="20"/>
                <w:szCs w:val="20"/>
                <w:lang w:eastAsia="en-AU"/>
              </w:rPr>
              <w:t>Variance</w:t>
            </w:r>
          </w:p>
        </w:tc>
      </w:tr>
      <w:tr w:rsidR="004E5215" w:rsidTr="00E2543D">
        <w:trPr>
          <w:trHeight w:val="255"/>
        </w:trPr>
        <w:tc>
          <w:tcPr>
            <w:tcW w:w="2410" w:type="dxa"/>
            <w:shd w:val="clear" w:color="auto" w:fill="E0DCCB" w:themeFill="accent4" w:themeFillTint="66"/>
            <w:vAlign w:val="center"/>
            <w:hideMark/>
          </w:tcPr>
          <w:p w:rsidR="004E5215" w:rsidRPr="004E5215" w:rsidRDefault="004E5215" w:rsidP="004E5215">
            <w:pPr>
              <w:pStyle w:val="Financials"/>
              <w:rPr>
                <w:sz w:val="20"/>
                <w:szCs w:val="20"/>
                <w:lang w:eastAsia="en-AU"/>
              </w:rPr>
            </w:pPr>
          </w:p>
        </w:tc>
        <w:tc>
          <w:tcPr>
            <w:tcW w:w="1247" w:type="dxa"/>
            <w:shd w:val="clear" w:color="auto" w:fill="E0DCCB" w:themeFill="accent4" w:themeFillTint="66"/>
            <w:vAlign w:val="center"/>
            <w:hideMark/>
          </w:tcPr>
          <w:p w:rsidR="004E5215" w:rsidRPr="004E5215" w:rsidRDefault="004E5215" w:rsidP="004E5215">
            <w:pPr>
              <w:pStyle w:val="Financials"/>
              <w:jc w:val="center"/>
              <w:rPr>
                <w:b/>
                <w:bCs/>
                <w:sz w:val="20"/>
                <w:szCs w:val="20"/>
                <w:lang w:eastAsia="en-AU"/>
              </w:rPr>
            </w:pPr>
            <w:r w:rsidRPr="004E5215">
              <w:rPr>
                <w:b/>
                <w:bCs/>
                <w:sz w:val="20"/>
                <w:szCs w:val="20"/>
                <w:lang w:eastAsia="en-AU"/>
              </w:rPr>
              <w:t>$</w:t>
            </w:r>
          </w:p>
        </w:tc>
        <w:tc>
          <w:tcPr>
            <w:tcW w:w="1247" w:type="dxa"/>
            <w:shd w:val="clear" w:color="auto" w:fill="E0DCCB" w:themeFill="accent4" w:themeFillTint="66"/>
          </w:tcPr>
          <w:p w:rsidR="004E5215" w:rsidRPr="004E5215" w:rsidRDefault="004E5215" w:rsidP="004E5215">
            <w:pPr>
              <w:pStyle w:val="Financials"/>
              <w:jc w:val="center"/>
              <w:rPr>
                <w:b/>
                <w:bCs/>
                <w:sz w:val="20"/>
                <w:szCs w:val="20"/>
                <w:lang w:eastAsia="en-AU"/>
              </w:rPr>
            </w:pPr>
            <w:r w:rsidRPr="004E5215">
              <w:rPr>
                <w:b/>
                <w:bCs/>
                <w:sz w:val="20"/>
                <w:szCs w:val="20"/>
                <w:lang w:eastAsia="en-AU"/>
              </w:rPr>
              <w:t>$</w:t>
            </w:r>
          </w:p>
        </w:tc>
        <w:tc>
          <w:tcPr>
            <w:tcW w:w="1247" w:type="dxa"/>
            <w:tcBorders>
              <w:right w:val="single" w:sz="4" w:space="0" w:color="B2A97E" w:themeColor="accent4"/>
            </w:tcBorders>
            <w:shd w:val="clear" w:color="auto" w:fill="E0DCCB" w:themeFill="accent4" w:themeFillTint="66"/>
            <w:vAlign w:val="center"/>
          </w:tcPr>
          <w:p w:rsidR="004E5215" w:rsidRPr="004E5215" w:rsidRDefault="004E5215" w:rsidP="004E5215">
            <w:pPr>
              <w:pStyle w:val="Financials"/>
              <w:jc w:val="center"/>
              <w:rPr>
                <w:b/>
                <w:bCs/>
                <w:sz w:val="20"/>
                <w:szCs w:val="20"/>
                <w:lang w:eastAsia="en-AU"/>
              </w:rPr>
            </w:pPr>
            <w:r w:rsidRPr="004E5215">
              <w:rPr>
                <w:b/>
                <w:bCs/>
                <w:sz w:val="20"/>
                <w:szCs w:val="20"/>
                <w:lang w:eastAsia="en-AU"/>
              </w:rPr>
              <w:t>$</w:t>
            </w:r>
          </w:p>
        </w:tc>
        <w:tc>
          <w:tcPr>
            <w:tcW w:w="1247" w:type="dxa"/>
            <w:tcBorders>
              <w:left w:val="single" w:sz="4" w:space="0" w:color="B2A97E" w:themeColor="accent4"/>
            </w:tcBorders>
            <w:shd w:val="clear" w:color="auto" w:fill="E0DCCB" w:themeFill="accent4" w:themeFillTint="66"/>
          </w:tcPr>
          <w:p w:rsidR="004E5215" w:rsidRPr="004E5215" w:rsidRDefault="004E5215" w:rsidP="004E5215">
            <w:pPr>
              <w:pStyle w:val="Financials"/>
              <w:jc w:val="center"/>
              <w:rPr>
                <w:b/>
                <w:bCs/>
                <w:sz w:val="20"/>
                <w:szCs w:val="20"/>
                <w:lang w:eastAsia="en-AU"/>
              </w:rPr>
            </w:pPr>
            <w:r w:rsidRPr="004E5215">
              <w:rPr>
                <w:b/>
                <w:bCs/>
                <w:sz w:val="20"/>
                <w:szCs w:val="20"/>
                <w:lang w:eastAsia="en-AU"/>
              </w:rPr>
              <w:t>$</w:t>
            </w:r>
          </w:p>
        </w:tc>
        <w:tc>
          <w:tcPr>
            <w:tcW w:w="1247" w:type="dxa"/>
            <w:shd w:val="clear" w:color="auto" w:fill="E0DCCB" w:themeFill="accent4" w:themeFillTint="66"/>
          </w:tcPr>
          <w:p w:rsidR="004E5215" w:rsidRPr="004E5215" w:rsidRDefault="004E5215" w:rsidP="004E5215">
            <w:pPr>
              <w:pStyle w:val="Financials"/>
              <w:jc w:val="center"/>
              <w:rPr>
                <w:b/>
                <w:bCs/>
                <w:sz w:val="20"/>
                <w:szCs w:val="20"/>
                <w:lang w:eastAsia="en-AU"/>
              </w:rPr>
            </w:pPr>
            <w:r w:rsidRPr="004E5215">
              <w:rPr>
                <w:b/>
                <w:bCs/>
                <w:sz w:val="20"/>
                <w:szCs w:val="20"/>
                <w:lang w:eastAsia="en-AU"/>
              </w:rPr>
              <w:t>$</w:t>
            </w:r>
          </w:p>
        </w:tc>
        <w:tc>
          <w:tcPr>
            <w:tcW w:w="1247" w:type="dxa"/>
            <w:shd w:val="clear" w:color="auto" w:fill="E0DCCB" w:themeFill="accent4" w:themeFillTint="66"/>
            <w:vAlign w:val="center"/>
          </w:tcPr>
          <w:p w:rsidR="004E5215" w:rsidRPr="004E5215" w:rsidRDefault="004E5215" w:rsidP="004E5215">
            <w:pPr>
              <w:pStyle w:val="Financials"/>
              <w:jc w:val="center"/>
              <w:rPr>
                <w:b/>
                <w:bCs/>
                <w:sz w:val="20"/>
                <w:szCs w:val="20"/>
                <w:lang w:eastAsia="en-AU"/>
              </w:rPr>
            </w:pPr>
            <w:r w:rsidRPr="004E5215">
              <w:rPr>
                <w:b/>
                <w:bCs/>
                <w:sz w:val="20"/>
                <w:szCs w:val="20"/>
                <w:lang w:eastAsia="en-AU"/>
              </w:rPr>
              <w:t>$</w:t>
            </w:r>
          </w:p>
        </w:tc>
      </w:tr>
      <w:tr w:rsidR="004E5215" w:rsidRPr="007043E4" w:rsidTr="00E2543D">
        <w:trPr>
          <w:trHeight w:val="255"/>
        </w:trPr>
        <w:tc>
          <w:tcPr>
            <w:tcW w:w="2410" w:type="dxa"/>
            <w:shd w:val="clear" w:color="auto" w:fill="auto"/>
            <w:vAlign w:val="bottom"/>
            <w:hideMark/>
          </w:tcPr>
          <w:p w:rsidR="004E5215" w:rsidRPr="004E5215" w:rsidRDefault="004E5215" w:rsidP="004E5215">
            <w:pPr>
              <w:pStyle w:val="Financials"/>
              <w:rPr>
                <w:b/>
                <w:bCs/>
                <w:sz w:val="20"/>
                <w:szCs w:val="20"/>
                <w:lang w:eastAsia="en-AU"/>
              </w:rPr>
            </w:pPr>
            <w:r w:rsidRPr="004E5215">
              <w:rPr>
                <w:b/>
                <w:kern w:val="28"/>
                <w:sz w:val="20"/>
                <w:szCs w:val="20"/>
                <w:lang w:eastAsia="en-AU"/>
              </w:rPr>
              <w:t>Delivery of Services</w:t>
            </w:r>
          </w:p>
        </w:tc>
        <w:tc>
          <w:tcPr>
            <w:tcW w:w="1247" w:type="dxa"/>
            <w:shd w:val="clear" w:color="auto" w:fill="auto"/>
            <w:vAlign w:val="bottom"/>
          </w:tcPr>
          <w:p w:rsidR="004E5215" w:rsidRPr="004E5215" w:rsidRDefault="004E5215" w:rsidP="004E5215">
            <w:pPr>
              <w:pStyle w:val="Financials"/>
              <w:jc w:val="right"/>
              <w:rPr>
                <w:sz w:val="20"/>
                <w:szCs w:val="20"/>
                <w:lang w:eastAsia="en-AU"/>
              </w:rPr>
            </w:pPr>
          </w:p>
        </w:tc>
        <w:tc>
          <w:tcPr>
            <w:tcW w:w="1247" w:type="dxa"/>
            <w:shd w:val="clear" w:color="auto" w:fill="E0DCCB" w:themeFill="accent4" w:themeFillTint="66"/>
            <w:vAlign w:val="bottom"/>
          </w:tcPr>
          <w:p w:rsidR="004E5215" w:rsidRPr="004E5215" w:rsidRDefault="004E5215" w:rsidP="004E5215">
            <w:pPr>
              <w:pStyle w:val="Financials"/>
              <w:jc w:val="right"/>
              <w:rPr>
                <w:sz w:val="20"/>
                <w:szCs w:val="20"/>
                <w:lang w:eastAsia="en-AU"/>
              </w:rPr>
            </w:pPr>
          </w:p>
        </w:tc>
        <w:tc>
          <w:tcPr>
            <w:tcW w:w="1247" w:type="dxa"/>
            <w:tcBorders>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p>
        </w:tc>
        <w:tc>
          <w:tcPr>
            <w:tcW w:w="1247" w:type="dxa"/>
            <w:tcBorders>
              <w:left w:val="single" w:sz="4" w:space="0" w:color="B2A97E" w:themeColor="accent4"/>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p>
        </w:tc>
        <w:tc>
          <w:tcPr>
            <w:tcW w:w="1247" w:type="dxa"/>
            <w:shd w:val="clear" w:color="auto" w:fill="auto"/>
            <w:vAlign w:val="bottom"/>
          </w:tcPr>
          <w:p w:rsidR="004E5215" w:rsidRPr="004E5215" w:rsidRDefault="004E5215" w:rsidP="004E5215">
            <w:pPr>
              <w:pStyle w:val="Financials"/>
              <w:jc w:val="right"/>
              <w:rPr>
                <w:sz w:val="20"/>
                <w:szCs w:val="20"/>
                <w:lang w:eastAsia="en-AU"/>
              </w:rPr>
            </w:pPr>
          </w:p>
        </w:tc>
        <w:tc>
          <w:tcPr>
            <w:tcW w:w="1247" w:type="dxa"/>
            <w:shd w:val="clear" w:color="auto" w:fill="E0DCCB" w:themeFill="accent4" w:themeFillTint="66"/>
            <w:vAlign w:val="bottom"/>
          </w:tcPr>
          <w:p w:rsidR="004E5215" w:rsidRPr="004E5215" w:rsidRDefault="004E5215" w:rsidP="004E5215">
            <w:pPr>
              <w:pStyle w:val="Financials"/>
              <w:jc w:val="right"/>
              <w:rPr>
                <w:sz w:val="20"/>
                <w:szCs w:val="20"/>
                <w:lang w:eastAsia="en-AU"/>
              </w:rPr>
            </w:pPr>
          </w:p>
        </w:tc>
      </w:tr>
      <w:tr w:rsidR="004E5215" w:rsidTr="00E2543D">
        <w:trPr>
          <w:trHeight w:val="255"/>
        </w:trPr>
        <w:tc>
          <w:tcPr>
            <w:tcW w:w="2410" w:type="dxa"/>
            <w:tcBorders>
              <w:left w:val="nil"/>
              <w:bottom w:val="single" w:sz="4" w:space="0" w:color="E0DCCB" w:themeColor="accent4" w:themeTint="66"/>
              <w:right w:val="nil"/>
            </w:tcBorders>
            <w:shd w:val="clear" w:color="auto" w:fill="auto"/>
            <w:vAlign w:val="bottom"/>
            <w:hideMark/>
          </w:tcPr>
          <w:p w:rsidR="004E5215" w:rsidRPr="004E5215" w:rsidRDefault="004E5215" w:rsidP="004E5215">
            <w:pPr>
              <w:pStyle w:val="Financials"/>
              <w:rPr>
                <w:b/>
                <w:bCs/>
                <w:sz w:val="20"/>
                <w:szCs w:val="20"/>
                <w:lang w:eastAsia="en-AU"/>
              </w:rPr>
            </w:pPr>
            <w:r w:rsidRPr="004E5215">
              <w:rPr>
                <w:kern w:val="28"/>
                <w:sz w:val="20"/>
                <w:szCs w:val="20"/>
                <w:lang w:eastAsia="en-AU"/>
              </w:rPr>
              <w:t>Item 106 Net amount appropriated to deliver services</w:t>
            </w:r>
          </w:p>
        </w:tc>
        <w:tc>
          <w:tcPr>
            <w:tcW w:w="1247" w:type="dxa"/>
            <w:tcBorders>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14,725,000</w:t>
            </w:r>
          </w:p>
        </w:tc>
        <w:tc>
          <w:tcPr>
            <w:tcW w:w="1247" w:type="dxa"/>
            <w:tcBorders>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14,996,000</w:t>
            </w:r>
          </w:p>
        </w:tc>
        <w:tc>
          <w:tcPr>
            <w:tcW w:w="1247" w:type="dxa"/>
            <w:tcBorders>
              <w:left w:val="nil"/>
              <w:bottom w:val="single" w:sz="4" w:space="0" w:color="E0DCCB" w:themeColor="accent4" w:themeTint="66"/>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271,000</w:t>
            </w:r>
          </w:p>
        </w:tc>
        <w:tc>
          <w:tcPr>
            <w:tcW w:w="1247" w:type="dxa"/>
            <w:tcBorders>
              <w:left w:val="single" w:sz="4" w:space="0" w:color="B2A97E" w:themeColor="accent4"/>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14,996,000</w:t>
            </w:r>
          </w:p>
        </w:tc>
        <w:tc>
          <w:tcPr>
            <w:tcW w:w="1247" w:type="dxa"/>
            <w:tcBorders>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14,533,000</w:t>
            </w:r>
          </w:p>
        </w:tc>
        <w:tc>
          <w:tcPr>
            <w:tcW w:w="1247" w:type="dxa"/>
            <w:tcBorders>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463,000</w:t>
            </w:r>
          </w:p>
        </w:tc>
      </w:tr>
      <w:tr w:rsidR="004E5215" w:rsidTr="00E2543D">
        <w:trPr>
          <w:trHeight w:val="255"/>
        </w:trPr>
        <w:tc>
          <w:tcPr>
            <w:tcW w:w="2410" w:type="dxa"/>
            <w:tcBorders>
              <w:top w:val="single" w:sz="4" w:space="0" w:color="E0DCCB" w:themeColor="accent4" w:themeTint="66"/>
              <w:left w:val="nil"/>
              <w:bottom w:val="single" w:sz="4" w:space="0" w:color="E0DCCB" w:themeColor="accent4" w:themeTint="66"/>
              <w:right w:val="nil"/>
            </w:tcBorders>
            <w:shd w:val="clear" w:color="auto" w:fill="auto"/>
            <w:vAlign w:val="bottom"/>
            <w:hideMark/>
          </w:tcPr>
          <w:p w:rsidR="004E5215" w:rsidRPr="004E5215" w:rsidRDefault="004E5215" w:rsidP="004E5215">
            <w:pPr>
              <w:pStyle w:val="Financials"/>
              <w:rPr>
                <w:sz w:val="20"/>
                <w:szCs w:val="20"/>
                <w:lang w:eastAsia="en-AU"/>
              </w:rPr>
            </w:pPr>
            <w:r w:rsidRPr="004E5215">
              <w:rPr>
                <w:b/>
                <w:kern w:val="28"/>
                <w:sz w:val="20"/>
                <w:szCs w:val="20"/>
                <w:lang w:eastAsia="en-AU"/>
              </w:rPr>
              <w:t>Total appropriations provided to deliver services</w:t>
            </w:r>
          </w:p>
        </w:tc>
        <w:tc>
          <w:tcPr>
            <w:tcW w:w="1247" w:type="dxa"/>
            <w:tcBorders>
              <w:top w:val="single" w:sz="4" w:space="0" w:color="E0DCCB" w:themeColor="accent4" w:themeTint="66"/>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fldChar w:fldCharType="begin"/>
            </w:r>
            <w:r w:rsidRPr="004E5215">
              <w:rPr>
                <w:b/>
                <w:kern w:val="28"/>
                <w:sz w:val="20"/>
                <w:szCs w:val="20"/>
                <w:lang w:eastAsia="en-AU"/>
              </w:rPr>
              <w:instrText xml:space="preserve"> =SUM(ABOVE) </w:instrText>
            </w:r>
            <w:r w:rsidRPr="004E5215">
              <w:rPr>
                <w:b/>
                <w:kern w:val="28"/>
                <w:sz w:val="20"/>
                <w:szCs w:val="20"/>
                <w:lang w:eastAsia="en-AU"/>
              </w:rPr>
              <w:fldChar w:fldCharType="separate"/>
            </w:r>
            <w:r w:rsidRPr="004E5215">
              <w:rPr>
                <w:b/>
                <w:noProof/>
                <w:kern w:val="28"/>
                <w:sz w:val="20"/>
                <w:szCs w:val="20"/>
                <w:lang w:eastAsia="en-AU"/>
              </w:rPr>
              <w:t>14,725,000</w:t>
            </w:r>
            <w:r w:rsidRPr="004E5215">
              <w:rPr>
                <w:b/>
                <w:kern w:val="28"/>
                <w:sz w:val="20"/>
                <w:szCs w:val="20"/>
                <w:lang w:eastAsia="en-AU"/>
              </w:rPr>
              <w:fldChar w:fldCharType="end"/>
            </w:r>
          </w:p>
        </w:tc>
        <w:tc>
          <w:tcPr>
            <w:tcW w:w="1247" w:type="dxa"/>
            <w:tcBorders>
              <w:top w:val="single" w:sz="4" w:space="0" w:color="FFFFFF" w:themeColor="background1"/>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fldChar w:fldCharType="begin"/>
            </w:r>
            <w:r w:rsidRPr="004E5215">
              <w:rPr>
                <w:b/>
                <w:kern w:val="28"/>
                <w:sz w:val="20"/>
                <w:szCs w:val="20"/>
                <w:lang w:eastAsia="en-AU"/>
              </w:rPr>
              <w:instrText xml:space="preserve"> =SUM(ABOVE) </w:instrText>
            </w:r>
            <w:r w:rsidRPr="004E5215">
              <w:rPr>
                <w:b/>
                <w:kern w:val="28"/>
                <w:sz w:val="20"/>
                <w:szCs w:val="20"/>
                <w:lang w:eastAsia="en-AU"/>
              </w:rPr>
              <w:fldChar w:fldCharType="separate"/>
            </w:r>
            <w:r w:rsidRPr="004E5215">
              <w:rPr>
                <w:b/>
                <w:noProof/>
                <w:kern w:val="28"/>
                <w:sz w:val="20"/>
                <w:szCs w:val="20"/>
                <w:lang w:eastAsia="en-AU"/>
              </w:rPr>
              <w:t>14,996,000</w:t>
            </w:r>
            <w:r w:rsidRPr="004E5215">
              <w:rPr>
                <w:b/>
                <w:kern w:val="28"/>
                <w:sz w:val="20"/>
                <w:szCs w:val="20"/>
                <w:lang w:eastAsia="en-AU"/>
              </w:rPr>
              <w:fldChar w:fldCharType="end"/>
            </w:r>
          </w:p>
        </w:tc>
        <w:tc>
          <w:tcPr>
            <w:tcW w:w="1247" w:type="dxa"/>
            <w:tcBorders>
              <w:top w:val="single" w:sz="4" w:space="0" w:color="E0DCCB" w:themeColor="accent4" w:themeTint="66"/>
              <w:left w:val="nil"/>
              <w:bottom w:val="single" w:sz="4" w:space="0" w:color="E0DCCB" w:themeColor="accent4" w:themeTint="66"/>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fldChar w:fldCharType="begin"/>
            </w:r>
            <w:r w:rsidRPr="004E5215">
              <w:rPr>
                <w:b/>
                <w:kern w:val="28"/>
                <w:sz w:val="20"/>
                <w:szCs w:val="20"/>
                <w:lang w:eastAsia="en-AU"/>
              </w:rPr>
              <w:instrText xml:space="preserve"> =SUM(ABOVE) </w:instrText>
            </w:r>
            <w:r w:rsidRPr="004E5215">
              <w:rPr>
                <w:b/>
                <w:kern w:val="28"/>
                <w:sz w:val="20"/>
                <w:szCs w:val="20"/>
                <w:lang w:eastAsia="en-AU"/>
              </w:rPr>
              <w:fldChar w:fldCharType="separate"/>
            </w:r>
            <w:r w:rsidRPr="004E5215">
              <w:rPr>
                <w:b/>
                <w:noProof/>
                <w:kern w:val="28"/>
                <w:sz w:val="20"/>
                <w:szCs w:val="20"/>
                <w:lang w:eastAsia="en-AU"/>
              </w:rPr>
              <w:t>271,000</w:t>
            </w:r>
            <w:r w:rsidRPr="004E5215">
              <w:rPr>
                <w:b/>
                <w:kern w:val="28"/>
                <w:sz w:val="20"/>
                <w:szCs w:val="20"/>
                <w:lang w:eastAsia="en-AU"/>
              </w:rPr>
              <w:fldChar w:fldCharType="end"/>
            </w:r>
          </w:p>
        </w:tc>
        <w:tc>
          <w:tcPr>
            <w:tcW w:w="1247" w:type="dxa"/>
            <w:tcBorders>
              <w:top w:val="single" w:sz="4" w:space="0" w:color="FFFFFF" w:themeColor="background1"/>
              <w:left w:val="single" w:sz="4" w:space="0" w:color="B2A97E" w:themeColor="accent4"/>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fldChar w:fldCharType="begin"/>
            </w:r>
            <w:r w:rsidRPr="004E5215">
              <w:rPr>
                <w:b/>
                <w:kern w:val="28"/>
                <w:sz w:val="20"/>
                <w:szCs w:val="20"/>
                <w:lang w:eastAsia="en-AU"/>
              </w:rPr>
              <w:instrText xml:space="preserve"> =SUM(ABOVE) </w:instrText>
            </w:r>
            <w:r w:rsidRPr="004E5215">
              <w:rPr>
                <w:b/>
                <w:kern w:val="28"/>
                <w:sz w:val="20"/>
                <w:szCs w:val="20"/>
                <w:lang w:eastAsia="en-AU"/>
              </w:rPr>
              <w:fldChar w:fldCharType="separate"/>
            </w:r>
            <w:r w:rsidRPr="004E5215">
              <w:rPr>
                <w:b/>
                <w:noProof/>
                <w:kern w:val="28"/>
                <w:sz w:val="20"/>
                <w:szCs w:val="20"/>
                <w:lang w:eastAsia="en-AU"/>
              </w:rPr>
              <w:t>14,996,000</w:t>
            </w:r>
            <w:r w:rsidRPr="004E5215">
              <w:rPr>
                <w:b/>
                <w:kern w:val="28"/>
                <w:sz w:val="20"/>
                <w:szCs w:val="20"/>
                <w:lang w:eastAsia="en-AU"/>
              </w:rPr>
              <w:fldChar w:fldCharType="end"/>
            </w:r>
          </w:p>
        </w:tc>
        <w:tc>
          <w:tcPr>
            <w:tcW w:w="1247" w:type="dxa"/>
            <w:tcBorders>
              <w:top w:val="single" w:sz="4" w:space="0" w:color="E0DCCB" w:themeColor="accent4" w:themeTint="66"/>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fldChar w:fldCharType="begin"/>
            </w:r>
            <w:r w:rsidRPr="004E5215">
              <w:rPr>
                <w:b/>
                <w:kern w:val="28"/>
                <w:sz w:val="20"/>
                <w:szCs w:val="20"/>
                <w:lang w:eastAsia="en-AU"/>
              </w:rPr>
              <w:instrText xml:space="preserve"> =SUM(ABOVE) </w:instrText>
            </w:r>
            <w:r w:rsidRPr="004E5215">
              <w:rPr>
                <w:b/>
                <w:kern w:val="28"/>
                <w:sz w:val="20"/>
                <w:szCs w:val="20"/>
                <w:lang w:eastAsia="en-AU"/>
              </w:rPr>
              <w:fldChar w:fldCharType="separate"/>
            </w:r>
            <w:r w:rsidRPr="004E5215">
              <w:rPr>
                <w:b/>
                <w:noProof/>
                <w:kern w:val="28"/>
                <w:sz w:val="20"/>
                <w:szCs w:val="20"/>
                <w:lang w:eastAsia="en-AU"/>
              </w:rPr>
              <w:t>14,533,000</w:t>
            </w:r>
            <w:r w:rsidRPr="004E5215">
              <w:rPr>
                <w:b/>
                <w:kern w:val="28"/>
                <w:sz w:val="20"/>
                <w:szCs w:val="20"/>
                <w:lang w:eastAsia="en-AU"/>
              </w:rPr>
              <w:fldChar w:fldCharType="end"/>
            </w:r>
          </w:p>
        </w:tc>
        <w:tc>
          <w:tcPr>
            <w:tcW w:w="1247" w:type="dxa"/>
            <w:tcBorders>
              <w:top w:val="single" w:sz="4" w:space="0" w:color="FFFFFF" w:themeColor="background1"/>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fldChar w:fldCharType="begin"/>
            </w:r>
            <w:r w:rsidRPr="004E5215">
              <w:rPr>
                <w:b/>
                <w:kern w:val="28"/>
                <w:sz w:val="20"/>
                <w:szCs w:val="20"/>
                <w:lang w:eastAsia="en-AU"/>
              </w:rPr>
              <w:instrText xml:space="preserve"> =SUM(ABOVE) </w:instrText>
            </w:r>
            <w:r w:rsidRPr="004E5215">
              <w:rPr>
                <w:b/>
                <w:kern w:val="28"/>
                <w:sz w:val="20"/>
                <w:szCs w:val="20"/>
                <w:lang w:eastAsia="en-AU"/>
              </w:rPr>
              <w:fldChar w:fldCharType="separate"/>
            </w:r>
            <w:r w:rsidRPr="004E5215">
              <w:rPr>
                <w:b/>
                <w:noProof/>
                <w:kern w:val="28"/>
                <w:sz w:val="20"/>
                <w:szCs w:val="20"/>
                <w:lang w:eastAsia="en-AU"/>
              </w:rPr>
              <w:t>463,000</w:t>
            </w:r>
            <w:r w:rsidRPr="004E5215">
              <w:rPr>
                <w:b/>
                <w:kern w:val="28"/>
                <w:sz w:val="20"/>
                <w:szCs w:val="20"/>
                <w:lang w:eastAsia="en-AU"/>
              </w:rPr>
              <w:fldChar w:fldCharType="end"/>
            </w:r>
          </w:p>
        </w:tc>
      </w:tr>
      <w:tr w:rsidR="004E5215" w:rsidRPr="00BB3285" w:rsidTr="00BB3285">
        <w:trPr>
          <w:trHeight w:val="113"/>
        </w:trPr>
        <w:tc>
          <w:tcPr>
            <w:tcW w:w="2410" w:type="dxa"/>
            <w:tcBorders>
              <w:top w:val="single" w:sz="4" w:space="0" w:color="E0DCCB" w:themeColor="accent4" w:themeTint="66"/>
              <w:left w:val="nil"/>
              <w:right w:val="nil"/>
            </w:tcBorders>
            <w:shd w:val="clear" w:color="auto" w:fill="auto"/>
            <w:vAlign w:val="bottom"/>
            <w:hideMark/>
          </w:tcPr>
          <w:p w:rsidR="004E5215" w:rsidRPr="00BB3285" w:rsidRDefault="004E5215" w:rsidP="004E5215">
            <w:pPr>
              <w:pStyle w:val="Financials"/>
              <w:rPr>
                <w:sz w:val="12"/>
                <w:szCs w:val="12"/>
                <w:lang w:eastAsia="en-AU"/>
              </w:rPr>
            </w:pPr>
          </w:p>
        </w:tc>
        <w:tc>
          <w:tcPr>
            <w:tcW w:w="1247" w:type="dxa"/>
            <w:tcBorders>
              <w:top w:val="single" w:sz="4" w:space="0" w:color="E0DCCB" w:themeColor="accent4" w:themeTint="66"/>
              <w:left w:val="nil"/>
              <w:right w:val="nil"/>
            </w:tcBorders>
            <w:shd w:val="clear" w:color="auto" w:fill="auto"/>
            <w:vAlign w:val="bottom"/>
          </w:tcPr>
          <w:p w:rsidR="004E5215" w:rsidRPr="00BB3285" w:rsidRDefault="004E5215" w:rsidP="00BB3285">
            <w:pPr>
              <w:pStyle w:val="Financials"/>
              <w:rPr>
                <w:sz w:val="12"/>
                <w:szCs w:val="12"/>
                <w:lang w:eastAsia="en-AU"/>
              </w:rPr>
            </w:pPr>
          </w:p>
        </w:tc>
        <w:tc>
          <w:tcPr>
            <w:tcW w:w="1247" w:type="dxa"/>
            <w:tcBorders>
              <w:top w:val="single" w:sz="4" w:space="0" w:color="FFFFFF" w:themeColor="background1"/>
              <w:left w:val="nil"/>
              <w:right w:val="nil"/>
            </w:tcBorders>
            <w:shd w:val="clear" w:color="auto" w:fill="E0DCCB" w:themeFill="accent4" w:themeFillTint="66"/>
            <w:vAlign w:val="bottom"/>
          </w:tcPr>
          <w:p w:rsidR="004E5215" w:rsidRPr="00BB3285" w:rsidRDefault="004E5215" w:rsidP="00BB3285">
            <w:pPr>
              <w:pStyle w:val="Financials"/>
              <w:rPr>
                <w:sz w:val="12"/>
                <w:szCs w:val="12"/>
                <w:lang w:eastAsia="en-AU"/>
              </w:rPr>
            </w:pPr>
          </w:p>
        </w:tc>
        <w:tc>
          <w:tcPr>
            <w:tcW w:w="1247" w:type="dxa"/>
            <w:tcBorders>
              <w:top w:val="single" w:sz="4" w:space="0" w:color="E0DCCB" w:themeColor="accent4" w:themeTint="66"/>
              <w:left w:val="nil"/>
              <w:right w:val="single" w:sz="4" w:space="0" w:color="B2A97E" w:themeColor="accent4"/>
            </w:tcBorders>
            <w:shd w:val="clear" w:color="auto" w:fill="auto"/>
            <w:vAlign w:val="bottom"/>
          </w:tcPr>
          <w:p w:rsidR="004E5215" w:rsidRPr="00BB3285" w:rsidRDefault="004E5215" w:rsidP="00BB3285">
            <w:pPr>
              <w:pStyle w:val="Financials"/>
              <w:rPr>
                <w:sz w:val="12"/>
                <w:szCs w:val="12"/>
                <w:lang w:eastAsia="en-AU"/>
              </w:rPr>
            </w:pPr>
          </w:p>
        </w:tc>
        <w:tc>
          <w:tcPr>
            <w:tcW w:w="1247" w:type="dxa"/>
            <w:tcBorders>
              <w:top w:val="single" w:sz="4" w:space="0" w:color="FFFFFF" w:themeColor="background1"/>
              <w:left w:val="single" w:sz="4" w:space="0" w:color="B2A97E" w:themeColor="accent4"/>
              <w:right w:val="nil"/>
            </w:tcBorders>
            <w:shd w:val="clear" w:color="auto" w:fill="E0DCCB" w:themeFill="accent4" w:themeFillTint="66"/>
            <w:vAlign w:val="bottom"/>
          </w:tcPr>
          <w:p w:rsidR="004E5215" w:rsidRPr="00BB3285" w:rsidRDefault="004E5215" w:rsidP="00BB3285">
            <w:pPr>
              <w:pStyle w:val="Financials"/>
              <w:rPr>
                <w:sz w:val="12"/>
                <w:szCs w:val="12"/>
                <w:lang w:eastAsia="en-AU"/>
              </w:rPr>
            </w:pPr>
          </w:p>
        </w:tc>
        <w:tc>
          <w:tcPr>
            <w:tcW w:w="1247" w:type="dxa"/>
            <w:tcBorders>
              <w:top w:val="single" w:sz="4" w:space="0" w:color="E0DCCB" w:themeColor="accent4" w:themeTint="66"/>
              <w:left w:val="nil"/>
              <w:right w:val="nil"/>
            </w:tcBorders>
            <w:shd w:val="clear" w:color="auto" w:fill="auto"/>
            <w:vAlign w:val="bottom"/>
          </w:tcPr>
          <w:p w:rsidR="004E5215" w:rsidRPr="00BB3285" w:rsidRDefault="004E5215" w:rsidP="00BB3285">
            <w:pPr>
              <w:pStyle w:val="Financials"/>
              <w:rPr>
                <w:sz w:val="12"/>
                <w:szCs w:val="12"/>
                <w:lang w:eastAsia="en-AU"/>
              </w:rPr>
            </w:pPr>
          </w:p>
        </w:tc>
        <w:tc>
          <w:tcPr>
            <w:tcW w:w="1247" w:type="dxa"/>
            <w:tcBorders>
              <w:top w:val="single" w:sz="4" w:space="0" w:color="FFFFFF" w:themeColor="background1"/>
              <w:left w:val="nil"/>
              <w:right w:val="nil"/>
            </w:tcBorders>
            <w:shd w:val="clear" w:color="auto" w:fill="E0DCCB" w:themeFill="accent4" w:themeFillTint="66"/>
            <w:vAlign w:val="bottom"/>
          </w:tcPr>
          <w:p w:rsidR="004E5215" w:rsidRPr="00BB3285" w:rsidRDefault="004E5215" w:rsidP="00BB3285">
            <w:pPr>
              <w:pStyle w:val="Financials"/>
              <w:rPr>
                <w:sz w:val="12"/>
                <w:szCs w:val="12"/>
                <w:lang w:eastAsia="en-AU"/>
              </w:rPr>
            </w:pPr>
          </w:p>
        </w:tc>
      </w:tr>
      <w:tr w:rsidR="004E5215" w:rsidTr="00E2543D">
        <w:trPr>
          <w:trHeight w:val="255"/>
        </w:trPr>
        <w:tc>
          <w:tcPr>
            <w:tcW w:w="2410" w:type="dxa"/>
            <w:tcBorders>
              <w:left w:val="nil"/>
              <w:right w:val="nil"/>
            </w:tcBorders>
            <w:shd w:val="clear" w:color="auto" w:fill="auto"/>
            <w:vAlign w:val="bottom"/>
            <w:hideMark/>
          </w:tcPr>
          <w:p w:rsidR="004E5215" w:rsidRPr="004E5215" w:rsidRDefault="004E5215" w:rsidP="004E5215">
            <w:pPr>
              <w:pStyle w:val="Financials"/>
              <w:rPr>
                <w:b/>
                <w:sz w:val="20"/>
                <w:szCs w:val="20"/>
                <w:lang w:eastAsia="en-AU"/>
              </w:rPr>
            </w:pPr>
            <w:r w:rsidRPr="004E5215">
              <w:rPr>
                <w:b/>
                <w:kern w:val="28"/>
                <w:sz w:val="20"/>
                <w:szCs w:val="20"/>
                <w:u w:val="single"/>
                <w:lang w:eastAsia="en-AU"/>
              </w:rPr>
              <w:t>Capital</w:t>
            </w:r>
          </w:p>
        </w:tc>
        <w:tc>
          <w:tcPr>
            <w:tcW w:w="1247" w:type="dxa"/>
            <w:tcBorders>
              <w:left w:val="nil"/>
              <w:right w:val="nil"/>
            </w:tcBorders>
            <w:shd w:val="clear" w:color="auto" w:fill="auto"/>
            <w:vAlign w:val="bottom"/>
          </w:tcPr>
          <w:p w:rsidR="004E5215" w:rsidRPr="004E5215" w:rsidRDefault="004E5215" w:rsidP="004E5215">
            <w:pPr>
              <w:pStyle w:val="Financials"/>
              <w:jc w:val="right"/>
              <w:rPr>
                <w:sz w:val="20"/>
                <w:szCs w:val="20"/>
                <w:lang w:eastAsia="en-AU"/>
              </w:rPr>
            </w:pPr>
          </w:p>
        </w:tc>
        <w:tc>
          <w:tcPr>
            <w:tcW w:w="1247" w:type="dxa"/>
            <w:tcBorders>
              <w:left w:val="nil"/>
              <w:right w:val="nil"/>
            </w:tcBorders>
            <w:shd w:val="clear" w:color="auto" w:fill="E0DCCB" w:themeFill="accent4" w:themeFillTint="66"/>
            <w:vAlign w:val="bottom"/>
          </w:tcPr>
          <w:p w:rsidR="004E5215" w:rsidRPr="004E5215" w:rsidRDefault="004E5215" w:rsidP="004E5215">
            <w:pPr>
              <w:pStyle w:val="Financials"/>
              <w:jc w:val="right"/>
              <w:rPr>
                <w:b/>
                <w:bCs/>
                <w:sz w:val="20"/>
                <w:szCs w:val="20"/>
                <w:lang w:eastAsia="en-AU"/>
              </w:rPr>
            </w:pPr>
          </w:p>
        </w:tc>
        <w:tc>
          <w:tcPr>
            <w:tcW w:w="1247" w:type="dxa"/>
            <w:tcBorders>
              <w:left w:val="nil"/>
              <w:right w:val="single" w:sz="4" w:space="0" w:color="B2A97E" w:themeColor="accent4"/>
            </w:tcBorders>
            <w:shd w:val="clear" w:color="auto" w:fill="auto"/>
            <w:vAlign w:val="bottom"/>
          </w:tcPr>
          <w:p w:rsidR="004E5215" w:rsidRPr="004E5215" w:rsidRDefault="004E5215" w:rsidP="004E5215">
            <w:pPr>
              <w:pStyle w:val="Financials"/>
              <w:jc w:val="right"/>
              <w:rPr>
                <w:b/>
                <w:bCs/>
                <w:sz w:val="20"/>
                <w:szCs w:val="20"/>
                <w:lang w:eastAsia="en-AU"/>
              </w:rPr>
            </w:pPr>
          </w:p>
        </w:tc>
        <w:tc>
          <w:tcPr>
            <w:tcW w:w="1247" w:type="dxa"/>
            <w:tcBorders>
              <w:left w:val="single" w:sz="4" w:space="0" w:color="B2A97E" w:themeColor="accent4"/>
              <w:right w:val="nil"/>
            </w:tcBorders>
            <w:shd w:val="clear" w:color="auto" w:fill="E0DCCB" w:themeFill="accent4" w:themeFillTint="66"/>
            <w:vAlign w:val="bottom"/>
          </w:tcPr>
          <w:p w:rsidR="004E5215" w:rsidRPr="004E5215" w:rsidRDefault="004E5215" w:rsidP="004E5215">
            <w:pPr>
              <w:pStyle w:val="Financials"/>
              <w:jc w:val="right"/>
              <w:rPr>
                <w:b/>
                <w:bCs/>
                <w:sz w:val="20"/>
                <w:szCs w:val="20"/>
                <w:lang w:eastAsia="en-AU"/>
              </w:rPr>
            </w:pPr>
          </w:p>
        </w:tc>
        <w:tc>
          <w:tcPr>
            <w:tcW w:w="1247" w:type="dxa"/>
            <w:tcBorders>
              <w:left w:val="nil"/>
              <w:right w:val="nil"/>
            </w:tcBorders>
            <w:shd w:val="clear" w:color="auto" w:fill="auto"/>
            <w:vAlign w:val="bottom"/>
          </w:tcPr>
          <w:p w:rsidR="004E5215" w:rsidRPr="004E5215" w:rsidRDefault="004E5215" w:rsidP="004E5215">
            <w:pPr>
              <w:pStyle w:val="Financials"/>
              <w:jc w:val="right"/>
              <w:rPr>
                <w:b/>
                <w:bCs/>
                <w:sz w:val="20"/>
                <w:szCs w:val="20"/>
                <w:lang w:eastAsia="en-AU"/>
              </w:rPr>
            </w:pPr>
          </w:p>
        </w:tc>
        <w:tc>
          <w:tcPr>
            <w:tcW w:w="1247" w:type="dxa"/>
            <w:tcBorders>
              <w:left w:val="nil"/>
              <w:right w:val="nil"/>
            </w:tcBorders>
            <w:shd w:val="clear" w:color="auto" w:fill="E0DCCB" w:themeFill="accent4" w:themeFillTint="66"/>
            <w:vAlign w:val="bottom"/>
          </w:tcPr>
          <w:p w:rsidR="004E5215" w:rsidRPr="004E5215" w:rsidRDefault="004E5215" w:rsidP="004E5215">
            <w:pPr>
              <w:pStyle w:val="Financials"/>
              <w:jc w:val="right"/>
              <w:rPr>
                <w:b/>
                <w:bCs/>
                <w:sz w:val="20"/>
                <w:szCs w:val="20"/>
                <w:lang w:eastAsia="en-AU"/>
              </w:rPr>
            </w:pPr>
          </w:p>
        </w:tc>
      </w:tr>
      <w:tr w:rsidR="004E5215" w:rsidRPr="007043E4" w:rsidTr="00E2543D">
        <w:trPr>
          <w:trHeight w:val="270"/>
        </w:trPr>
        <w:tc>
          <w:tcPr>
            <w:tcW w:w="2410" w:type="dxa"/>
            <w:tcBorders>
              <w:left w:val="nil"/>
              <w:right w:val="nil"/>
            </w:tcBorders>
            <w:shd w:val="clear" w:color="auto" w:fill="auto"/>
            <w:vAlign w:val="bottom"/>
          </w:tcPr>
          <w:p w:rsidR="004E5215" w:rsidRPr="004E5215" w:rsidRDefault="004E5215" w:rsidP="004E5215">
            <w:pPr>
              <w:pStyle w:val="Financials"/>
              <w:rPr>
                <w:sz w:val="20"/>
                <w:szCs w:val="20"/>
                <w:lang w:eastAsia="en-AU"/>
              </w:rPr>
            </w:pPr>
            <w:r w:rsidRPr="004E5215">
              <w:rPr>
                <w:kern w:val="28"/>
                <w:sz w:val="20"/>
                <w:szCs w:val="20"/>
                <w:lang w:eastAsia="en-AU"/>
              </w:rPr>
              <w:t>Capital appropriations</w:t>
            </w:r>
          </w:p>
        </w:tc>
        <w:tc>
          <w:tcPr>
            <w:tcW w:w="1247" w:type="dxa"/>
            <w:tcBorders>
              <w:left w:val="nil"/>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w:t>
            </w:r>
          </w:p>
        </w:tc>
        <w:tc>
          <w:tcPr>
            <w:tcW w:w="1247" w:type="dxa"/>
            <w:tcBorders>
              <w:left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59,000</w:t>
            </w:r>
          </w:p>
        </w:tc>
        <w:tc>
          <w:tcPr>
            <w:tcW w:w="1247" w:type="dxa"/>
            <w:tcBorders>
              <w:left w:val="nil"/>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w:t>
            </w:r>
          </w:p>
        </w:tc>
        <w:tc>
          <w:tcPr>
            <w:tcW w:w="1247" w:type="dxa"/>
            <w:tcBorders>
              <w:left w:val="single" w:sz="4" w:space="0" w:color="B2A97E" w:themeColor="accent4"/>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59,000</w:t>
            </w:r>
          </w:p>
        </w:tc>
        <w:tc>
          <w:tcPr>
            <w:tcW w:w="1247" w:type="dxa"/>
            <w:tcBorders>
              <w:left w:val="nil"/>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w:t>
            </w:r>
          </w:p>
        </w:tc>
        <w:tc>
          <w:tcPr>
            <w:tcW w:w="1247" w:type="dxa"/>
            <w:tcBorders>
              <w:left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(59,000)</w:t>
            </w:r>
          </w:p>
        </w:tc>
      </w:tr>
      <w:tr w:rsidR="004E5215" w:rsidRPr="00BB3285" w:rsidTr="00BB3285">
        <w:trPr>
          <w:trHeight w:val="165"/>
        </w:trPr>
        <w:tc>
          <w:tcPr>
            <w:tcW w:w="2410" w:type="dxa"/>
            <w:tcBorders>
              <w:left w:val="nil"/>
              <w:bottom w:val="single" w:sz="4" w:space="0" w:color="E0DCCB" w:themeColor="accent4" w:themeTint="66"/>
              <w:right w:val="nil"/>
            </w:tcBorders>
            <w:shd w:val="clear" w:color="auto" w:fill="auto"/>
            <w:vAlign w:val="bottom"/>
            <w:hideMark/>
          </w:tcPr>
          <w:p w:rsidR="004E5215" w:rsidRPr="00BB3285" w:rsidRDefault="004E5215" w:rsidP="004E5215">
            <w:pPr>
              <w:pStyle w:val="Financials"/>
              <w:rPr>
                <w:sz w:val="12"/>
                <w:szCs w:val="12"/>
                <w:lang w:eastAsia="en-AU"/>
              </w:rPr>
            </w:pPr>
          </w:p>
        </w:tc>
        <w:tc>
          <w:tcPr>
            <w:tcW w:w="1247" w:type="dxa"/>
            <w:tcBorders>
              <w:left w:val="nil"/>
              <w:bottom w:val="single" w:sz="4" w:space="0" w:color="E0DCCB" w:themeColor="accent4" w:themeTint="66"/>
              <w:right w:val="nil"/>
            </w:tcBorders>
            <w:shd w:val="clear" w:color="auto" w:fill="auto"/>
            <w:vAlign w:val="bottom"/>
          </w:tcPr>
          <w:p w:rsidR="004E5215" w:rsidRPr="00BB3285" w:rsidRDefault="004E5215" w:rsidP="004E5215">
            <w:pPr>
              <w:pStyle w:val="Financials"/>
              <w:jc w:val="right"/>
              <w:rPr>
                <w:sz w:val="12"/>
                <w:szCs w:val="12"/>
                <w:lang w:eastAsia="en-AU"/>
              </w:rPr>
            </w:pPr>
          </w:p>
        </w:tc>
        <w:tc>
          <w:tcPr>
            <w:tcW w:w="1247" w:type="dxa"/>
            <w:tcBorders>
              <w:left w:val="nil"/>
              <w:bottom w:val="single" w:sz="4" w:space="0" w:color="FFFFFF" w:themeColor="background1"/>
              <w:right w:val="nil"/>
            </w:tcBorders>
            <w:shd w:val="clear" w:color="auto" w:fill="E0DCCB" w:themeFill="accent4" w:themeFillTint="66"/>
            <w:vAlign w:val="bottom"/>
          </w:tcPr>
          <w:p w:rsidR="004E5215" w:rsidRPr="00BB3285" w:rsidRDefault="004E5215" w:rsidP="004E5215">
            <w:pPr>
              <w:pStyle w:val="Financials"/>
              <w:jc w:val="right"/>
              <w:rPr>
                <w:sz w:val="12"/>
                <w:szCs w:val="12"/>
                <w:highlight w:val="yellow"/>
                <w:lang w:eastAsia="en-AU"/>
              </w:rPr>
            </w:pPr>
          </w:p>
        </w:tc>
        <w:tc>
          <w:tcPr>
            <w:tcW w:w="1247" w:type="dxa"/>
            <w:tcBorders>
              <w:left w:val="nil"/>
              <w:bottom w:val="single" w:sz="4" w:space="0" w:color="E0DCCB" w:themeColor="accent4" w:themeTint="66"/>
              <w:right w:val="single" w:sz="4" w:space="0" w:color="B2A97E" w:themeColor="accent4"/>
            </w:tcBorders>
            <w:shd w:val="clear" w:color="auto" w:fill="auto"/>
            <w:vAlign w:val="bottom"/>
          </w:tcPr>
          <w:p w:rsidR="004E5215" w:rsidRPr="00BB3285" w:rsidRDefault="004E5215" w:rsidP="004E5215">
            <w:pPr>
              <w:pStyle w:val="Financials"/>
              <w:jc w:val="right"/>
              <w:rPr>
                <w:sz w:val="12"/>
                <w:szCs w:val="12"/>
                <w:highlight w:val="yellow"/>
                <w:lang w:eastAsia="en-AU"/>
              </w:rPr>
            </w:pPr>
          </w:p>
        </w:tc>
        <w:tc>
          <w:tcPr>
            <w:tcW w:w="1247" w:type="dxa"/>
            <w:tcBorders>
              <w:left w:val="single" w:sz="4" w:space="0" w:color="B2A97E" w:themeColor="accent4"/>
              <w:bottom w:val="single" w:sz="4" w:space="0" w:color="FFFFFF" w:themeColor="background1"/>
              <w:right w:val="nil"/>
            </w:tcBorders>
            <w:shd w:val="clear" w:color="auto" w:fill="E0DCCB" w:themeFill="accent4" w:themeFillTint="66"/>
            <w:vAlign w:val="bottom"/>
          </w:tcPr>
          <w:p w:rsidR="004E5215" w:rsidRPr="00BB3285" w:rsidRDefault="004E5215" w:rsidP="004E5215">
            <w:pPr>
              <w:pStyle w:val="Financials"/>
              <w:jc w:val="right"/>
              <w:rPr>
                <w:sz w:val="12"/>
                <w:szCs w:val="12"/>
                <w:highlight w:val="yellow"/>
                <w:lang w:eastAsia="en-AU"/>
              </w:rPr>
            </w:pPr>
          </w:p>
        </w:tc>
        <w:tc>
          <w:tcPr>
            <w:tcW w:w="1247" w:type="dxa"/>
            <w:tcBorders>
              <w:left w:val="nil"/>
              <w:bottom w:val="single" w:sz="4" w:space="0" w:color="E0DCCB" w:themeColor="accent4" w:themeTint="66"/>
              <w:right w:val="nil"/>
            </w:tcBorders>
            <w:shd w:val="clear" w:color="auto" w:fill="auto"/>
            <w:vAlign w:val="bottom"/>
          </w:tcPr>
          <w:p w:rsidR="004E5215" w:rsidRPr="00BB3285" w:rsidRDefault="004E5215" w:rsidP="004E5215">
            <w:pPr>
              <w:pStyle w:val="Financials"/>
              <w:jc w:val="right"/>
              <w:rPr>
                <w:sz w:val="12"/>
                <w:szCs w:val="12"/>
                <w:highlight w:val="yellow"/>
                <w:lang w:eastAsia="en-AU"/>
              </w:rPr>
            </w:pPr>
          </w:p>
        </w:tc>
        <w:tc>
          <w:tcPr>
            <w:tcW w:w="1247" w:type="dxa"/>
            <w:tcBorders>
              <w:left w:val="nil"/>
              <w:bottom w:val="single" w:sz="4" w:space="0" w:color="FFFFFF" w:themeColor="background1"/>
              <w:right w:val="nil"/>
            </w:tcBorders>
            <w:shd w:val="clear" w:color="auto" w:fill="E0DCCB" w:themeFill="accent4" w:themeFillTint="66"/>
            <w:vAlign w:val="bottom"/>
          </w:tcPr>
          <w:p w:rsidR="004E5215" w:rsidRPr="00BB3285" w:rsidRDefault="004E5215" w:rsidP="004E5215">
            <w:pPr>
              <w:pStyle w:val="Financials"/>
              <w:jc w:val="right"/>
              <w:rPr>
                <w:sz w:val="12"/>
                <w:szCs w:val="12"/>
                <w:highlight w:val="yellow"/>
                <w:lang w:eastAsia="en-AU"/>
              </w:rPr>
            </w:pPr>
          </w:p>
        </w:tc>
      </w:tr>
      <w:tr w:rsidR="004E5215" w:rsidRPr="007043E4" w:rsidTr="00E2543D">
        <w:trPr>
          <w:trHeight w:val="270"/>
        </w:trPr>
        <w:tc>
          <w:tcPr>
            <w:tcW w:w="2410" w:type="dxa"/>
            <w:tcBorders>
              <w:top w:val="single" w:sz="4" w:space="0" w:color="E0DCCB" w:themeColor="accent4" w:themeTint="66"/>
              <w:left w:val="nil"/>
              <w:bottom w:val="single" w:sz="4" w:space="0" w:color="B2A97E" w:themeColor="accent4"/>
              <w:right w:val="nil"/>
            </w:tcBorders>
            <w:shd w:val="clear" w:color="auto" w:fill="auto"/>
            <w:vAlign w:val="bottom"/>
            <w:hideMark/>
          </w:tcPr>
          <w:p w:rsidR="004E5215" w:rsidRPr="004E5215" w:rsidRDefault="004E5215" w:rsidP="004E5215">
            <w:pPr>
              <w:pStyle w:val="Financials"/>
              <w:rPr>
                <w:b/>
                <w:bCs/>
                <w:sz w:val="20"/>
                <w:szCs w:val="20"/>
                <w:lang w:eastAsia="en-AU"/>
              </w:rPr>
            </w:pPr>
            <w:r w:rsidRPr="004E5215">
              <w:rPr>
                <w:b/>
                <w:kern w:val="28"/>
                <w:sz w:val="20"/>
                <w:szCs w:val="20"/>
                <w:lang w:eastAsia="en-AU"/>
              </w:rPr>
              <w:t>GRAND TOTAL</w:t>
            </w:r>
          </w:p>
        </w:tc>
        <w:tc>
          <w:tcPr>
            <w:tcW w:w="1247" w:type="dxa"/>
            <w:tcBorders>
              <w:top w:val="single" w:sz="4" w:space="0" w:color="E0DCCB" w:themeColor="accent4" w:themeTint="66"/>
              <w:left w:val="nil"/>
              <w:bottom w:val="single" w:sz="4" w:space="0" w:color="B2A97E" w:themeColor="accent4"/>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t>14,725,000</w:t>
            </w:r>
          </w:p>
        </w:tc>
        <w:tc>
          <w:tcPr>
            <w:tcW w:w="1247" w:type="dxa"/>
            <w:tcBorders>
              <w:top w:val="single" w:sz="4" w:space="0" w:color="FFFFFF" w:themeColor="background1"/>
              <w:left w:val="nil"/>
              <w:bottom w:val="single" w:sz="4" w:space="0" w:color="B2A97E" w:themeColor="accent4"/>
              <w:right w:val="nil"/>
            </w:tcBorders>
            <w:shd w:val="clear" w:color="auto" w:fill="E0DCCB" w:themeFill="accent4" w:themeFillTint="66"/>
            <w:vAlign w:val="bottom"/>
          </w:tcPr>
          <w:p w:rsidR="004E5215" w:rsidRPr="004E5215" w:rsidRDefault="004E5215" w:rsidP="004E5215">
            <w:pPr>
              <w:pStyle w:val="Financials"/>
              <w:jc w:val="right"/>
              <w:rPr>
                <w:b/>
                <w:bCs/>
                <w:sz w:val="20"/>
                <w:szCs w:val="20"/>
                <w:highlight w:val="yellow"/>
                <w:lang w:eastAsia="en-AU"/>
              </w:rPr>
            </w:pPr>
            <w:r w:rsidRPr="004E5215">
              <w:rPr>
                <w:b/>
                <w:kern w:val="28"/>
                <w:sz w:val="20"/>
                <w:szCs w:val="20"/>
                <w:lang w:eastAsia="en-AU"/>
              </w:rPr>
              <w:t>15,055,000</w:t>
            </w:r>
          </w:p>
        </w:tc>
        <w:tc>
          <w:tcPr>
            <w:tcW w:w="1247" w:type="dxa"/>
            <w:tcBorders>
              <w:top w:val="single" w:sz="4" w:space="0" w:color="E0DCCB" w:themeColor="accent4" w:themeTint="66"/>
              <w:left w:val="nil"/>
              <w:bottom w:val="single" w:sz="4" w:space="0" w:color="B2A97E" w:themeColor="accent4"/>
              <w:right w:val="single" w:sz="4" w:space="0" w:color="B2A97E" w:themeColor="accent4"/>
            </w:tcBorders>
            <w:shd w:val="clear" w:color="auto" w:fill="auto"/>
            <w:vAlign w:val="bottom"/>
          </w:tcPr>
          <w:p w:rsidR="004E5215" w:rsidRPr="004E5215" w:rsidRDefault="004E5215" w:rsidP="004E5215">
            <w:pPr>
              <w:pStyle w:val="Financials"/>
              <w:jc w:val="right"/>
              <w:rPr>
                <w:b/>
                <w:bCs/>
                <w:sz w:val="20"/>
                <w:szCs w:val="20"/>
                <w:highlight w:val="yellow"/>
                <w:lang w:eastAsia="en-AU"/>
              </w:rPr>
            </w:pPr>
            <w:r w:rsidRPr="004E5215">
              <w:rPr>
                <w:b/>
                <w:kern w:val="28"/>
                <w:sz w:val="20"/>
                <w:szCs w:val="20"/>
                <w:lang w:eastAsia="en-AU"/>
              </w:rPr>
              <w:t>271,000</w:t>
            </w:r>
          </w:p>
        </w:tc>
        <w:tc>
          <w:tcPr>
            <w:tcW w:w="1247" w:type="dxa"/>
            <w:tcBorders>
              <w:top w:val="single" w:sz="4" w:space="0" w:color="FFFFFF" w:themeColor="background1"/>
              <w:left w:val="single" w:sz="4" w:space="0" w:color="B2A97E" w:themeColor="accent4"/>
              <w:bottom w:val="single" w:sz="4" w:space="0" w:color="B2A97E" w:themeColor="accent4"/>
              <w:right w:val="nil"/>
            </w:tcBorders>
            <w:shd w:val="clear" w:color="auto" w:fill="E0DCCB" w:themeFill="accent4" w:themeFillTint="66"/>
            <w:vAlign w:val="bottom"/>
          </w:tcPr>
          <w:p w:rsidR="004E5215" w:rsidRPr="004E5215" w:rsidRDefault="004E5215" w:rsidP="004E5215">
            <w:pPr>
              <w:pStyle w:val="Financials"/>
              <w:jc w:val="right"/>
              <w:rPr>
                <w:b/>
                <w:bCs/>
                <w:sz w:val="20"/>
                <w:szCs w:val="20"/>
                <w:highlight w:val="yellow"/>
                <w:lang w:eastAsia="en-AU"/>
              </w:rPr>
            </w:pPr>
            <w:r w:rsidRPr="004E5215">
              <w:rPr>
                <w:b/>
                <w:kern w:val="28"/>
                <w:sz w:val="20"/>
                <w:szCs w:val="20"/>
                <w:lang w:eastAsia="en-AU"/>
              </w:rPr>
              <w:t>15,055,000</w:t>
            </w:r>
          </w:p>
        </w:tc>
        <w:tc>
          <w:tcPr>
            <w:tcW w:w="1247" w:type="dxa"/>
            <w:tcBorders>
              <w:top w:val="single" w:sz="4" w:space="0" w:color="E0DCCB" w:themeColor="accent4" w:themeTint="66"/>
              <w:left w:val="nil"/>
              <w:bottom w:val="single" w:sz="4" w:space="0" w:color="B2A97E" w:themeColor="accent4"/>
              <w:right w:val="nil"/>
            </w:tcBorders>
            <w:shd w:val="clear" w:color="auto" w:fill="auto"/>
            <w:vAlign w:val="bottom"/>
          </w:tcPr>
          <w:p w:rsidR="004E5215" w:rsidRPr="004E5215" w:rsidRDefault="004E5215" w:rsidP="004E5215">
            <w:pPr>
              <w:pStyle w:val="Financials"/>
              <w:jc w:val="right"/>
              <w:rPr>
                <w:b/>
                <w:bCs/>
                <w:sz w:val="20"/>
                <w:szCs w:val="20"/>
                <w:highlight w:val="yellow"/>
                <w:lang w:eastAsia="en-AU"/>
              </w:rPr>
            </w:pPr>
            <w:r w:rsidRPr="004E5215">
              <w:rPr>
                <w:b/>
                <w:kern w:val="28"/>
                <w:sz w:val="20"/>
                <w:szCs w:val="20"/>
                <w:lang w:eastAsia="en-AU"/>
              </w:rPr>
              <w:t>14,533,000</w:t>
            </w:r>
          </w:p>
        </w:tc>
        <w:tc>
          <w:tcPr>
            <w:tcW w:w="1247" w:type="dxa"/>
            <w:tcBorders>
              <w:top w:val="single" w:sz="4" w:space="0" w:color="FFFFFF" w:themeColor="background1"/>
              <w:left w:val="nil"/>
              <w:bottom w:val="single" w:sz="4" w:space="0" w:color="B2A97E" w:themeColor="accent4"/>
              <w:right w:val="nil"/>
            </w:tcBorders>
            <w:shd w:val="clear" w:color="auto" w:fill="E0DCCB" w:themeFill="accent4" w:themeFillTint="66"/>
            <w:vAlign w:val="bottom"/>
          </w:tcPr>
          <w:p w:rsidR="004E5215" w:rsidRPr="004E5215" w:rsidRDefault="004E5215" w:rsidP="004E5215">
            <w:pPr>
              <w:pStyle w:val="Financials"/>
              <w:jc w:val="right"/>
              <w:rPr>
                <w:b/>
                <w:bCs/>
                <w:sz w:val="20"/>
                <w:szCs w:val="20"/>
                <w:highlight w:val="yellow"/>
                <w:lang w:eastAsia="en-AU"/>
              </w:rPr>
            </w:pPr>
            <w:r w:rsidRPr="004E5215">
              <w:rPr>
                <w:b/>
                <w:kern w:val="28"/>
                <w:sz w:val="20"/>
                <w:szCs w:val="20"/>
                <w:lang w:eastAsia="en-AU"/>
              </w:rPr>
              <w:t>(522,000)</w:t>
            </w:r>
          </w:p>
        </w:tc>
      </w:tr>
      <w:tr w:rsidR="004E5215" w:rsidRPr="00BB3285" w:rsidTr="00E2543D">
        <w:trPr>
          <w:trHeight w:val="255"/>
        </w:trPr>
        <w:tc>
          <w:tcPr>
            <w:tcW w:w="2410" w:type="dxa"/>
            <w:tcBorders>
              <w:top w:val="single" w:sz="4" w:space="0" w:color="B2A97E" w:themeColor="accent4"/>
              <w:left w:val="nil"/>
              <w:bottom w:val="nil"/>
              <w:right w:val="nil"/>
            </w:tcBorders>
            <w:shd w:val="clear" w:color="auto" w:fill="auto"/>
            <w:vAlign w:val="bottom"/>
          </w:tcPr>
          <w:p w:rsidR="004E5215" w:rsidRPr="00BB3285" w:rsidRDefault="004E5215" w:rsidP="004E5215">
            <w:pPr>
              <w:pStyle w:val="Financials"/>
              <w:rPr>
                <w:sz w:val="12"/>
                <w:szCs w:val="12"/>
                <w:lang w:eastAsia="en-AU"/>
              </w:rPr>
            </w:pPr>
          </w:p>
        </w:tc>
        <w:tc>
          <w:tcPr>
            <w:tcW w:w="1247" w:type="dxa"/>
            <w:tcBorders>
              <w:top w:val="single" w:sz="4" w:space="0" w:color="B2A97E" w:themeColor="accent4"/>
              <w:left w:val="nil"/>
              <w:bottom w:val="nil"/>
              <w:right w:val="nil"/>
            </w:tcBorders>
            <w:shd w:val="clear" w:color="auto" w:fill="auto"/>
            <w:vAlign w:val="bottom"/>
          </w:tcPr>
          <w:p w:rsidR="004E5215" w:rsidRPr="00BB3285" w:rsidRDefault="004E5215" w:rsidP="00BB3285">
            <w:pPr>
              <w:pStyle w:val="Financials"/>
              <w:rPr>
                <w:sz w:val="12"/>
                <w:szCs w:val="12"/>
                <w:lang w:eastAsia="en-AU"/>
              </w:rPr>
            </w:pPr>
          </w:p>
        </w:tc>
        <w:tc>
          <w:tcPr>
            <w:tcW w:w="1247" w:type="dxa"/>
            <w:tcBorders>
              <w:top w:val="single" w:sz="4" w:space="0" w:color="B2A97E" w:themeColor="accent4"/>
              <w:left w:val="nil"/>
              <w:bottom w:val="nil"/>
              <w:right w:val="nil"/>
            </w:tcBorders>
            <w:shd w:val="clear" w:color="auto" w:fill="E0DCCB" w:themeFill="accent4" w:themeFillTint="66"/>
            <w:vAlign w:val="bottom"/>
          </w:tcPr>
          <w:p w:rsidR="004E5215" w:rsidRPr="00BB3285" w:rsidRDefault="004E5215" w:rsidP="00BB3285">
            <w:pPr>
              <w:pStyle w:val="Financials"/>
              <w:rPr>
                <w:sz w:val="12"/>
                <w:szCs w:val="12"/>
                <w:lang w:eastAsia="en-AU"/>
              </w:rPr>
            </w:pPr>
          </w:p>
        </w:tc>
        <w:tc>
          <w:tcPr>
            <w:tcW w:w="1247" w:type="dxa"/>
            <w:tcBorders>
              <w:top w:val="single" w:sz="4" w:space="0" w:color="B2A97E" w:themeColor="accent4"/>
              <w:left w:val="nil"/>
              <w:bottom w:val="nil"/>
              <w:right w:val="single" w:sz="4" w:space="0" w:color="B2A97E" w:themeColor="accent4"/>
            </w:tcBorders>
            <w:shd w:val="clear" w:color="auto" w:fill="auto"/>
            <w:vAlign w:val="bottom"/>
          </w:tcPr>
          <w:p w:rsidR="004E5215" w:rsidRPr="00BB3285" w:rsidRDefault="004E5215" w:rsidP="00BB3285">
            <w:pPr>
              <w:pStyle w:val="Financials"/>
              <w:rPr>
                <w:sz w:val="12"/>
                <w:szCs w:val="12"/>
                <w:lang w:eastAsia="en-AU"/>
              </w:rPr>
            </w:pPr>
          </w:p>
        </w:tc>
        <w:tc>
          <w:tcPr>
            <w:tcW w:w="1247" w:type="dxa"/>
            <w:tcBorders>
              <w:top w:val="single" w:sz="4" w:space="0" w:color="B2A97E" w:themeColor="accent4"/>
              <w:left w:val="single" w:sz="4" w:space="0" w:color="B2A97E" w:themeColor="accent4"/>
              <w:bottom w:val="nil"/>
              <w:right w:val="nil"/>
            </w:tcBorders>
            <w:shd w:val="clear" w:color="auto" w:fill="E0DCCB" w:themeFill="accent4" w:themeFillTint="66"/>
            <w:vAlign w:val="bottom"/>
          </w:tcPr>
          <w:p w:rsidR="004E5215" w:rsidRPr="00BB3285" w:rsidRDefault="004E5215" w:rsidP="00BB3285">
            <w:pPr>
              <w:pStyle w:val="Financials"/>
              <w:rPr>
                <w:sz w:val="12"/>
                <w:szCs w:val="12"/>
                <w:lang w:eastAsia="en-AU"/>
              </w:rPr>
            </w:pPr>
          </w:p>
        </w:tc>
        <w:tc>
          <w:tcPr>
            <w:tcW w:w="1247" w:type="dxa"/>
            <w:tcBorders>
              <w:top w:val="single" w:sz="4" w:space="0" w:color="B2A97E" w:themeColor="accent4"/>
              <w:left w:val="nil"/>
              <w:bottom w:val="nil"/>
              <w:right w:val="nil"/>
            </w:tcBorders>
            <w:shd w:val="clear" w:color="auto" w:fill="auto"/>
            <w:vAlign w:val="bottom"/>
          </w:tcPr>
          <w:p w:rsidR="004E5215" w:rsidRPr="00BB3285" w:rsidRDefault="004E5215" w:rsidP="00BB3285">
            <w:pPr>
              <w:pStyle w:val="Financials"/>
              <w:rPr>
                <w:sz w:val="12"/>
                <w:szCs w:val="12"/>
                <w:lang w:eastAsia="en-AU"/>
              </w:rPr>
            </w:pPr>
          </w:p>
        </w:tc>
        <w:tc>
          <w:tcPr>
            <w:tcW w:w="1247" w:type="dxa"/>
            <w:tcBorders>
              <w:top w:val="single" w:sz="4" w:space="0" w:color="B2A97E" w:themeColor="accent4"/>
              <w:left w:val="nil"/>
              <w:bottom w:val="nil"/>
              <w:right w:val="nil"/>
            </w:tcBorders>
            <w:shd w:val="clear" w:color="auto" w:fill="E0DCCB" w:themeFill="accent4" w:themeFillTint="66"/>
            <w:vAlign w:val="bottom"/>
          </w:tcPr>
          <w:p w:rsidR="004E5215" w:rsidRPr="00BB3285" w:rsidRDefault="004E5215" w:rsidP="00BB3285">
            <w:pPr>
              <w:pStyle w:val="Financials"/>
              <w:rPr>
                <w:sz w:val="12"/>
                <w:szCs w:val="12"/>
                <w:lang w:eastAsia="en-AU"/>
              </w:rPr>
            </w:pPr>
          </w:p>
        </w:tc>
      </w:tr>
      <w:tr w:rsidR="004E5215" w:rsidTr="00E2543D">
        <w:trPr>
          <w:trHeight w:val="255"/>
        </w:trPr>
        <w:tc>
          <w:tcPr>
            <w:tcW w:w="2410" w:type="dxa"/>
            <w:tcBorders>
              <w:top w:val="nil"/>
              <w:left w:val="nil"/>
              <w:bottom w:val="nil"/>
              <w:right w:val="nil"/>
            </w:tcBorders>
            <w:shd w:val="clear" w:color="auto" w:fill="auto"/>
            <w:vAlign w:val="center"/>
          </w:tcPr>
          <w:p w:rsidR="004E5215" w:rsidRPr="004E5215" w:rsidRDefault="004E5215" w:rsidP="004E5215">
            <w:pPr>
              <w:pStyle w:val="Financials"/>
              <w:rPr>
                <w:b/>
                <w:bCs/>
                <w:sz w:val="20"/>
                <w:szCs w:val="20"/>
                <w:lang w:eastAsia="en-AU"/>
              </w:rPr>
            </w:pPr>
            <w:r w:rsidRPr="004E5215">
              <w:rPr>
                <w:kern w:val="28"/>
                <w:sz w:val="20"/>
                <w:szCs w:val="20"/>
                <w:u w:val="single"/>
                <w:lang w:eastAsia="en-AU"/>
              </w:rPr>
              <w:t>Details of Expenses by Service</w:t>
            </w:r>
          </w:p>
        </w:tc>
        <w:tc>
          <w:tcPr>
            <w:tcW w:w="1247" w:type="dxa"/>
            <w:tcBorders>
              <w:top w:val="nil"/>
              <w:left w:val="nil"/>
              <w:bottom w:val="nil"/>
              <w:right w:val="nil"/>
            </w:tcBorders>
            <w:shd w:val="clear" w:color="auto" w:fill="auto"/>
            <w:vAlign w:val="bottom"/>
          </w:tcPr>
          <w:p w:rsidR="004E5215" w:rsidRPr="004E5215" w:rsidRDefault="004E5215" w:rsidP="004E5215">
            <w:pPr>
              <w:pStyle w:val="Financials"/>
              <w:jc w:val="right"/>
              <w:rPr>
                <w:sz w:val="20"/>
                <w:szCs w:val="20"/>
                <w:lang w:eastAsia="en-AU"/>
              </w:rPr>
            </w:pPr>
          </w:p>
        </w:tc>
        <w:tc>
          <w:tcPr>
            <w:tcW w:w="1247" w:type="dxa"/>
            <w:tcBorders>
              <w:top w:val="nil"/>
              <w:left w:val="nil"/>
              <w:bottom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p>
        </w:tc>
        <w:tc>
          <w:tcPr>
            <w:tcW w:w="1247" w:type="dxa"/>
            <w:tcBorders>
              <w:top w:val="nil"/>
              <w:left w:val="nil"/>
              <w:bottom w:val="nil"/>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p>
        </w:tc>
        <w:tc>
          <w:tcPr>
            <w:tcW w:w="1247" w:type="dxa"/>
            <w:tcBorders>
              <w:top w:val="nil"/>
              <w:left w:val="single" w:sz="4" w:space="0" w:color="B2A97E" w:themeColor="accent4"/>
              <w:bottom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p>
        </w:tc>
        <w:tc>
          <w:tcPr>
            <w:tcW w:w="1247" w:type="dxa"/>
            <w:tcBorders>
              <w:top w:val="nil"/>
              <w:left w:val="nil"/>
              <w:bottom w:val="nil"/>
              <w:right w:val="nil"/>
            </w:tcBorders>
            <w:shd w:val="clear" w:color="auto" w:fill="auto"/>
            <w:vAlign w:val="bottom"/>
          </w:tcPr>
          <w:p w:rsidR="004E5215" w:rsidRPr="004E5215" w:rsidRDefault="004E5215" w:rsidP="004E5215">
            <w:pPr>
              <w:pStyle w:val="Financials"/>
              <w:jc w:val="right"/>
              <w:rPr>
                <w:sz w:val="20"/>
                <w:szCs w:val="20"/>
                <w:lang w:eastAsia="en-AU"/>
              </w:rPr>
            </w:pPr>
          </w:p>
        </w:tc>
        <w:tc>
          <w:tcPr>
            <w:tcW w:w="1247" w:type="dxa"/>
            <w:tcBorders>
              <w:top w:val="nil"/>
              <w:left w:val="nil"/>
              <w:bottom w:val="nil"/>
              <w:right w:val="nil"/>
            </w:tcBorders>
            <w:shd w:val="clear" w:color="auto" w:fill="E0DCCB" w:themeFill="accent4" w:themeFillTint="66"/>
          </w:tcPr>
          <w:p w:rsidR="004E5215" w:rsidRPr="004E5215" w:rsidRDefault="004E5215" w:rsidP="004E5215">
            <w:pPr>
              <w:pStyle w:val="Financials"/>
              <w:jc w:val="right"/>
              <w:rPr>
                <w:sz w:val="20"/>
                <w:szCs w:val="20"/>
                <w:lang w:eastAsia="en-AU"/>
              </w:rPr>
            </w:pPr>
          </w:p>
        </w:tc>
      </w:tr>
      <w:tr w:rsidR="004E5215" w:rsidTr="00E2543D">
        <w:trPr>
          <w:trHeight w:val="255"/>
        </w:trPr>
        <w:tc>
          <w:tcPr>
            <w:tcW w:w="2410" w:type="dxa"/>
            <w:tcBorders>
              <w:top w:val="nil"/>
              <w:left w:val="nil"/>
              <w:right w:val="nil"/>
            </w:tcBorders>
            <w:shd w:val="clear" w:color="auto" w:fill="auto"/>
            <w:vAlign w:val="bottom"/>
          </w:tcPr>
          <w:p w:rsidR="004E5215" w:rsidRPr="004E5215" w:rsidRDefault="004E5215" w:rsidP="004E5215">
            <w:pPr>
              <w:pStyle w:val="Financials"/>
              <w:rPr>
                <w:i/>
                <w:iCs/>
                <w:sz w:val="20"/>
                <w:szCs w:val="20"/>
                <w:lang w:eastAsia="en-AU"/>
              </w:rPr>
            </w:pPr>
            <w:r w:rsidRPr="004E5215">
              <w:rPr>
                <w:kern w:val="28"/>
                <w:sz w:val="20"/>
                <w:szCs w:val="20"/>
                <w:lang w:eastAsia="en-AU"/>
              </w:rPr>
              <w:t>Environmental Impact Assessment Services to the EPA</w:t>
            </w:r>
            <w:r w:rsidR="003F2AA0" w:rsidRPr="003F2AA0">
              <w:rPr>
                <w:kern w:val="28"/>
                <w:sz w:val="20"/>
                <w:szCs w:val="20"/>
                <w:vertAlign w:val="superscript"/>
                <w:lang w:eastAsia="en-AU"/>
              </w:rPr>
              <w:t>(a)</w:t>
            </w:r>
          </w:p>
        </w:tc>
        <w:tc>
          <w:tcPr>
            <w:tcW w:w="1247" w:type="dxa"/>
            <w:tcBorders>
              <w:top w:val="nil"/>
              <w:left w:val="nil"/>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9,983,000</w:t>
            </w:r>
          </w:p>
        </w:tc>
        <w:tc>
          <w:tcPr>
            <w:tcW w:w="1247" w:type="dxa"/>
            <w:tcBorders>
              <w:top w:val="nil"/>
              <w:left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9,177,865</w:t>
            </w:r>
          </w:p>
        </w:tc>
        <w:tc>
          <w:tcPr>
            <w:tcW w:w="1247" w:type="dxa"/>
            <w:tcBorders>
              <w:top w:val="nil"/>
              <w:left w:val="nil"/>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805,135</w:t>
            </w:r>
          </w:p>
        </w:tc>
        <w:tc>
          <w:tcPr>
            <w:tcW w:w="1247" w:type="dxa"/>
            <w:tcBorders>
              <w:top w:val="nil"/>
              <w:left w:val="single" w:sz="4" w:space="0" w:color="B2A97E" w:themeColor="accent4"/>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9,177,865</w:t>
            </w:r>
          </w:p>
        </w:tc>
        <w:tc>
          <w:tcPr>
            <w:tcW w:w="1247" w:type="dxa"/>
            <w:tcBorders>
              <w:top w:val="nil"/>
              <w:left w:val="nil"/>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n/a</w:t>
            </w:r>
          </w:p>
        </w:tc>
        <w:tc>
          <w:tcPr>
            <w:tcW w:w="1247" w:type="dxa"/>
            <w:tcBorders>
              <w:top w:val="nil"/>
              <w:left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n/a</w:t>
            </w:r>
          </w:p>
        </w:tc>
      </w:tr>
      <w:tr w:rsidR="004E5215" w:rsidTr="00E2543D">
        <w:trPr>
          <w:trHeight w:val="270"/>
        </w:trPr>
        <w:tc>
          <w:tcPr>
            <w:tcW w:w="2410" w:type="dxa"/>
            <w:tcBorders>
              <w:top w:val="nil"/>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rPr>
                <w:kern w:val="28"/>
                <w:sz w:val="20"/>
                <w:szCs w:val="20"/>
                <w:lang w:eastAsia="en-AU"/>
              </w:rPr>
            </w:pPr>
            <w:r w:rsidRPr="004E5215">
              <w:rPr>
                <w:kern w:val="28"/>
                <w:sz w:val="20"/>
                <w:szCs w:val="20"/>
                <w:lang w:eastAsia="en-AU"/>
              </w:rPr>
              <w:t>Environmental Management Services to the EPA</w:t>
            </w:r>
            <w:r w:rsidR="003F2AA0">
              <w:rPr>
                <w:kern w:val="28"/>
                <w:sz w:val="20"/>
                <w:szCs w:val="20"/>
                <w:lang w:eastAsia="en-AU"/>
              </w:rPr>
              <w:t>(a)</w:t>
            </w:r>
          </w:p>
        </w:tc>
        <w:tc>
          <w:tcPr>
            <w:tcW w:w="1247" w:type="dxa"/>
            <w:tcBorders>
              <w:top w:val="nil"/>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kern w:val="28"/>
                <w:sz w:val="20"/>
                <w:szCs w:val="20"/>
                <w:lang w:eastAsia="en-AU"/>
              </w:rPr>
            </w:pPr>
            <w:r w:rsidRPr="004E5215">
              <w:rPr>
                <w:kern w:val="28"/>
                <w:sz w:val="20"/>
                <w:szCs w:val="20"/>
                <w:lang w:eastAsia="en-AU"/>
              </w:rPr>
              <w:t>2,896,000</w:t>
            </w:r>
          </w:p>
        </w:tc>
        <w:tc>
          <w:tcPr>
            <w:tcW w:w="1247" w:type="dxa"/>
            <w:tcBorders>
              <w:top w:val="nil"/>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kern w:val="28"/>
                <w:sz w:val="20"/>
                <w:szCs w:val="20"/>
                <w:lang w:eastAsia="en-AU"/>
              </w:rPr>
            </w:pPr>
            <w:r w:rsidRPr="004E5215">
              <w:rPr>
                <w:kern w:val="28"/>
                <w:sz w:val="20"/>
                <w:szCs w:val="20"/>
                <w:lang w:eastAsia="en-AU"/>
              </w:rPr>
              <w:t>3,470,980</w:t>
            </w:r>
          </w:p>
        </w:tc>
        <w:tc>
          <w:tcPr>
            <w:tcW w:w="1247" w:type="dxa"/>
            <w:tcBorders>
              <w:top w:val="nil"/>
              <w:left w:val="nil"/>
              <w:bottom w:val="single" w:sz="4" w:space="0" w:color="E0DCCB" w:themeColor="accent4" w:themeTint="66"/>
              <w:right w:val="single" w:sz="4" w:space="0" w:color="B2A97E" w:themeColor="accent4"/>
            </w:tcBorders>
            <w:shd w:val="clear" w:color="auto" w:fill="auto"/>
            <w:vAlign w:val="bottom"/>
          </w:tcPr>
          <w:p w:rsidR="004E5215" w:rsidRPr="004E5215" w:rsidRDefault="004E5215" w:rsidP="004E5215">
            <w:pPr>
              <w:pStyle w:val="Financials"/>
              <w:jc w:val="right"/>
              <w:rPr>
                <w:kern w:val="28"/>
                <w:sz w:val="20"/>
                <w:szCs w:val="20"/>
                <w:lang w:eastAsia="en-AU"/>
              </w:rPr>
            </w:pPr>
            <w:r w:rsidRPr="004E5215">
              <w:rPr>
                <w:kern w:val="28"/>
                <w:sz w:val="20"/>
                <w:szCs w:val="20"/>
                <w:lang w:eastAsia="en-AU"/>
              </w:rPr>
              <w:t>(574,980)</w:t>
            </w:r>
          </w:p>
        </w:tc>
        <w:tc>
          <w:tcPr>
            <w:tcW w:w="1247" w:type="dxa"/>
            <w:tcBorders>
              <w:top w:val="nil"/>
              <w:left w:val="single" w:sz="4" w:space="0" w:color="B2A97E" w:themeColor="accent4"/>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kern w:val="28"/>
                <w:sz w:val="20"/>
                <w:szCs w:val="20"/>
                <w:lang w:eastAsia="en-AU"/>
              </w:rPr>
            </w:pPr>
            <w:r w:rsidRPr="004E5215">
              <w:rPr>
                <w:kern w:val="28"/>
                <w:sz w:val="20"/>
                <w:szCs w:val="20"/>
                <w:lang w:eastAsia="en-AU"/>
              </w:rPr>
              <w:t>3,470,980</w:t>
            </w:r>
          </w:p>
        </w:tc>
        <w:tc>
          <w:tcPr>
            <w:tcW w:w="1247" w:type="dxa"/>
            <w:tcBorders>
              <w:top w:val="nil"/>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kern w:val="28"/>
                <w:sz w:val="20"/>
                <w:szCs w:val="20"/>
                <w:lang w:eastAsia="en-AU"/>
              </w:rPr>
            </w:pPr>
            <w:r w:rsidRPr="004E5215">
              <w:rPr>
                <w:kern w:val="28"/>
                <w:sz w:val="20"/>
                <w:szCs w:val="20"/>
                <w:lang w:eastAsia="en-AU"/>
              </w:rPr>
              <w:t>n/a</w:t>
            </w:r>
          </w:p>
        </w:tc>
        <w:tc>
          <w:tcPr>
            <w:tcW w:w="1247" w:type="dxa"/>
            <w:tcBorders>
              <w:top w:val="nil"/>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kern w:val="28"/>
                <w:sz w:val="20"/>
                <w:szCs w:val="20"/>
                <w:lang w:eastAsia="en-AU"/>
              </w:rPr>
            </w:pPr>
            <w:r w:rsidRPr="004E5215">
              <w:rPr>
                <w:kern w:val="28"/>
                <w:sz w:val="20"/>
                <w:szCs w:val="20"/>
                <w:lang w:eastAsia="en-AU"/>
              </w:rPr>
              <w:t>n/a</w:t>
            </w:r>
          </w:p>
        </w:tc>
      </w:tr>
      <w:tr w:rsidR="00D47D47" w:rsidTr="00E2543D">
        <w:trPr>
          <w:trHeight w:val="270"/>
        </w:trPr>
        <w:tc>
          <w:tcPr>
            <w:tcW w:w="2410" w:type="dxa"/>
            <w:tcBorders>
              <w:top w:val="nil"/>
              <w:left w:val="nil"/>
              <w:bottom w:val="single" w:sz="4" w:space="0" w:color="E0DCCB" w:themeColor="accent4" w:themeTint="66"/>
              <w:right w:val="nil"/>
            </w:tcBorders>
            <w:shd w:val="clear" w:color="auto" w:fill="auto"/>
            <w:vAlign w:val="bottom"/>
          </w:tcPr>
          <w:p w:rsidR="00D47D47" w:rsidRPr="004E5215" w:rsidRDefault="00D47D47" w:rsidP="004E5215">
            <w:pPr>
              <w:pStyle w:val="Financials"/>
              <w:rPr>
                <w:kern w:val="28"/>
                <w:sz w:val="20"/>
                <w:szCs w:val="20"/>
                <w:lang w:eastAsia="en-AU"/>
              </w:rPr>
            </w:pPr>
            <w:r>
              <w:rPr>
                <w:kern w:val="28"/>
                <w:sz w:val="20"/>
                <w:szCs w:val="20"/>
                <w:lang w:eastAsia="en-AU"/>
              </w:rPr>
              <w:t>Environmental Impact Assessment &amp; Policies</w:t>
            </w:r>
            <w:r w:rsidRPr="00D47D47">
              <w:rPr>
                <w:kern w:val="28"/>
                <w:sz w:val="20"/>
                <w:szCs w:val="20"/>
                <w:vertAlign w:val="superscript"/>
                <w:lang w:eastAsia="en-AU"/>
              </w:rPr>
              <w:t>(a)</w:t>
            </w:r>
          </w:p>
        </w:tc>
        <w:tc>
          <w:tcPr>
            <w:tcW w:w="1247" w:type="dxa"/>
            <w:tcBorders>
              <w:top w:val="nil"/>
              <w:left w:val="nil"/>
              <w:bottom w:val="single" w:sz="4" w:space="0" w:color="E0DCCB" w:themeColor="accent4" w:themeTint="66"/>
              <w:right w:val="nil"/>
            </w:tcBorders>
            <w:shd w:val="clear" w:color="auto" w:fill="auto"/>
            <w:vAlign w:val="bottom"/>
          </w:tcPr>
          <w:p w:rsidR="00D47D47" w:rsidRPr="004E5215" w:rsidRDefault="00D47D47" w:rsidP="004E5215">
            <w:pPr>
              <w:pStyle w:val="Financials"/>
              <w:jc w:val="right"/>
              <w:rPr>
                <w:kern w:val="28"/>
                <w:sz w:val="20"/>
                <w:szCs w:val="20"/>
                <w:lang w:eastAsia="en-AU"/>
              </w:rPr>
            </w:pPr>
            <w:r>
              <w:rPr>
                <w:kern w:val="28"/>
                <w:sz w:val="20"/>
                <w:szCs w:val="20"/>
                <w:lang w:eastAsia="en-AU"/>
              </w:rPr>
              <w:t>n/a</w:t>
            </w:r>
          </w:p>
        </w:tc>
        <w:tc>
          <w:tcPr>
            <w:tcW w:w="1247" w:type="dxa"/>
            <w:tcBorders>
              <w:top w:val="nil"/>
              <w:left w:val="nil"/>
              <w:bottom w:val="single" w:sz="4" w:space="0" w:color="FFFFFF" w:themeColor="background1"/>
              <w:right w:val="nil"/>
            </w:tcBorders>
            <w:shd w:val="clear" w:color="auto" w:fill="E0DCCB" w:themeFill="accent4" w:themeFillTint="66"/>
            <w:vAlign w:val="bottom"/>
          </w:tcPr>
          <w:p w:rsidR="00D47D47" w:rsidRPr="004E5215" w:rsidRDefault="00D47D47" w:rsidP="004E5215">
            <w:pPr>
              <w:pStyle w:val="Financials"/>
              <w:jc w:val="right"/>
              <w:rPr>
                <w:kern w:val="28"/>
                <w:sz w:val="20"/>
                <w:szCs w:val="20"/>
                <w:lang w:eastAsia="en-AU"/>
              </w:rPr>
            </w:pPr>
            <w:r>
              <w:rPr>
                <w:kern w:val="28"/>
                <w:sz w:val="20"/>
                <w:szCs w:val="20"/>
                <w:lang w:eastAsia="en-AU"/>
              </w:rPr>
              <w:t>n/a</w:t>
            </w:r>
          </w:p>
        </w:tc>
        <w:tc>
          <w:tcPr>
            <w:tcW w:w="1247" w:type="dxa"/>
            <w:tcBorders>
              <w:top w:val="nil"/>
              <w:left w:val="nil"/>
              <w:bottom w:val="single" w:sz="4" w:space="0" w:color="E0DCCB" w:themeColor="accent4" w:themeTint="66"/>
              <w:right w:val="single" w:sz="4" w:space="0" w:color="B2A97E" w:themeColor="accent4"/>
            </w:tcBorders>
            <w:shd w:val="clear" w:color="auto" w:fill="auto"/>
            <w:vAlign w:val="bottom"/>
          </w:tcPr>
          <w:p w:rsidR="00D47D47" w:rsidRPr="004E5215" w:rsidRDefault="00D47D47" w:rsidP="004E5215">
            <w:pPr>
              <w:pStyle w:val="Financials"/>
              <w:jc w:val="right"/>
              <w:rPr>
                <w:kern w:val="28"/>
                <w:sz w:val="20"/>
                <w:szCs w:val="20"/>
                <w:lang w:eastAsia="en-AU"/>
              </w:rPr>
            </w:pPr>
            <w:r>
              <w:rPr>
                <w:kern w:val="28"/>
                <w:sz w:val="20"/>
                <w:szCs w:val="20"/>
                <w:lang w:eastAsia="en-AU"/>
              </w:rPr>
              <w:t>n/a</w:t>
            </w:r>
          </w:p>
        </w:tc>
        <w:tc>
          <w:tcPr>
            <w:tcW w:w="1247" w:type="dxa"/>
            <w:tcBorders>
              <w:top w:val="nil"/>
              <w:left w:val="single" w:sz="4" w:space="0" w:color="B2A97E" w:themeColor="accent4"/>
              <w:bottom w:val="single" w:sz="4" w:space="0" w:color="FFFFFF" w:themeColor="background1"/>
              <w:right w:val="nil"/>
            </w:tcBorders>
            <w:shd w:val="clear" w:color="auto" w:fill="E0DCCB" w:themeFill="accent4" w:themeFillTint="66"/>
            <w:vAlign w:val="bottom"/>
          </w:tcPr>
          <w:p w:rsidR="00D47D47" w:rsidRPr="004E5215" w:rsidRDefault="00D47D47" w:rsidP="004E5215">
            <w:pPr>
              <w:pStyle w:val="Financials"/>
              <w:jc w:val="right"/>
              <w:rPr>
                <w:kern w:val="28"/>
                <w:sz w:val="20"/>
                <w:szCs w:val="20"/>
                <w:lang w:eastAsia="en-AU"/>
              </w:rPr>
            </w:pPr>
            <w:r>
              <w:rPr>
                <w:kern w:val="28"/>
                <w:sz w:val="20"/>
                <w:szCs w:val="20"/>
                <w:lang w:eastAsia="en-AU"/>
              </w:rPr>
              <w:t>n/a</w:t>
            </w:r>
          </w:p>
        </w:tc>
        <w:tc>
          <w:tcPr>
            <w:tcW w:w="1247" w:type="dxa"/>
            <w:tcBorders>
              <w:top w:val="nil"/>
              <w:left w:val="nil"/>
              <w:bottom w:val="single" w:sz="4" w:space="0" w:color="E0DCCB" w:themeColor="accent4" w:themeTint="66"/>
              <w:right w:val="nil"/>
            </w:tcBorders>
            <w:shd w:val="clear" w:color="auto" w:fill="auto"/>
            <w:vAlign w:val="bottom"/>
          </w:tcPr>
          <w:p w:rsidR="00D47D47" w:rsidRPr="004E5215" w:rsidRDefault="00D47D47" w:rsidP="004E5215">
            <w:pPr>
              <w:pStyle w:val="Financials"/>
              <w:jc w:val="right"/>
              <w:rPr>
                <w:kern w:val="28"/>
                <w:sz w:val="20"/>
                <w:szCs w:val="20"/>
                <w:lang w:eastAsia="en-AU"/>
              </w:rPr>
            </w:pPr>
            <w:r>
              <w:rPr>
                <w:kern w:val="28"/>
                <w:sz w:val="20"/>
                <w:szCs w:val="20"/>
                <w:lang w:eastAsia="en-AU"/>
              </w:rPr>
              <w:t>14,111,305</w:t>
            </w:r>
          </w:p>
        </w:tc>
        <w:tc>
          <w:tcPr>
            <w:tcW w:w="1247" w:type="dxa"/>
            <w:tcBorders>
              <w:top w:val="nil"/>
              <w:left w:val="nil"/>
              <w:bottom w:val="single" w:sz="4" w:space="0" w:color="FFFFFF" w:themeColor="background1"/>
              <w:right w:val="nil"/>
            </w:tcBorders>
            <w:shd w:val="clear" w:color="auto" w:fill="E0DCCB" w:themeFill="accent4" w:themeFillTint="66"/>
            <w:vAlign w:val="bottom"/>
          </w:tcPr>
          <w:p w:rsidR="00D47D47" w:rsidRPr="004E5215" w:rsidRDefault="00D47D47" w:rsidP="004E5215">
            <w:pPr>
              <w:pStyle w:val="Financials"/>
              <w:jc w:val="right"/>
              <w:rPr>
                <w:kern w:val="28"/>
                <w:sz w:val="20"/>
                <w:szCs w:val="20"/>
                <w:lang w:eastAsia="en-AU"/>
              </w:rPr>
            </w:pPr>
            <w:r>
              <w:rPr>
                <w:kern w:val="28"/>
                <w:sz w:val="20"/>
                <w:szCs w:val="20"/>
                <w:lang w:eastAsia="en-AU"/>
              </w:rPr>
              <w:t>n/a</w:t>
            </w:r>
          </w:p>
        </w:tc>
      </w:tr>
      <w:tr w:rsidR="004E5215" w:rsidTr="00E2543D">
        <w:trPr>
          <w:trHeight w:val="270"/>
        </w:trPr>
        <w:tc>
          <w:tcPr>
            <w:tcW w:w="2410" w:type="dxa"/>
            <w:tcBorders>
              <w:top w:val="nil"/>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rPr>
                <w:sz w:val="20"/>
                <w:szCs w:val="20"/>
                <w:lang w:eastAsia="en-AU"/>
              </w:rPr>
            </w:pPr>
            <w:r w:rsidRPr="004E5215">
              <w:rPr>
                <w:kern w:val="28"/>
                <w:sz w:val="20"/>
                <w:szCs w:val="20"/>
                <w:lang w:eastAsia="en-AU"/>
              </w:rPr>
              <w:t>Compliance Monitoring Services to the Minister</w:t>
            </w:r>
          </w:p>
        </w:tc>
        <w:tc>
          <w:tcPr>
            <w:tcW w:w="1247" w:type="dxa"/>
            <w:tcBorders>
              <w:top w:val="nil"/>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2,068,000</w:t>
            </w:r>
          </w:p>
        </w:tc>
        <w:tc>
          <w:tcPr>
            <w:tcW w:w="1247" w:type="dxa"/>
            <w:tcBorders>
              <w:top w:val="nil"/>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1,911,579</w:t>
            </w:r>
          </w:p>
        </w:tc>
        <w:tc>
          <w:tcPr>
            <w:tcW w:w="1247" w:type="dxa"/>
            <w:tcBorders>
              <w:top w:val="nil"/>
              <w:left w:val="nil"/>
              <w:bottom w:val="single" w:sz="4" w:space="0" w:color="E0DCCB" w:themeColor="accent4" w:themeTint="66"/>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156,421</w:t>
            </w:r>
          </w:p>
        </w:tc>
        <w:tc>
          <w:tcPr>
            <w:tcW w:w="1247" w:type="dxa"/>
            <w:tcBorders>
              <w:top w:val="nil"/>
              <w:left w:val="single" w:sz="4" w:space="0" w:color="B2A97E" w:themeColor="accent4"/>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1,911,579</w:t>
            </w:r>
          </w:p>
        </w:tc>
        <w:tc>
          <w:tcPr>
            <w:tcW w:w="1247" w:type="dxa"/>
            <w:tcBorders>
              <w:top w:val="nil"/>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1,931,892</w:t>
            </w:r>
          </w:p>
        </w:tc>
        <w:tc>
          <w:tcPr>
            <w:tcW w:w="1247" w:type="dxa"/>
            <w:tcBorders>
              <w:top w:val="nil"/>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20,313</w:t>
            </w:r>
          </w:p>
        </w:tc>
      </w:tr>
      <w:tr w:rsidR="004E5215" w:rsidTr="00E2543D">
        <w:trPr>
          <w:trHeight w:val="270"/>
        </w:trPr>
        <w:tc>
          <w:tcPr>
            <w:tcW w:w="2410" w:type="dxa"/>
            <w:tcBorders>
              <w:top w:val="single" w:sz="4" w:space="0" w:color="E0DCCB" w:themeColor="accent4" w:themeTint="66"/>
              <w:left w:val="nil"/>
              <w:right w:val="nil"/>
            </w:tcBorders>
            <w:shd w:val="clear" w:color="auto" w:fill="auto"/>
            <w:vAlign w:val="bottom"/>
          </w:tcPr>
          <w:p w:rsidR="004E5215" w:rsidRPr="004E5215" w:rsidRDefault="004E5215" w:rsidP="004E5215">
            <w:pPr>
              <w:pStyle w:val="Financials"/>
              <w:rPr>
                <w:b/>
                <w:bCs/>
                <w:sz w:val="20"/>
                <w:szCs w:val="20"/>
                <w:lang w:eastAsia="en-AU"/>
              </w:rPr>
            </w:pPr>
            <w:r w:rsidRPr="004E5215">
              <w:rPr>
                <w:kern w:val="28"/>
                <w:sz w:val="20"/>
                <w:szCs w:val="20"/>
                <w:lang w:eastAsia="en-AU"/>
              </w:rPr>
              <w:t>Total Cost of Services</w:t>
            </w:r>
          </w:p>
        </w:tc>
        <w:tc>
          <w:tcPr>
            <w:tcW w:w="1247" w:type="dxa"/>
            <w:tcBorders>
              <w:top w:val="single" w:sz="4" w:space="0" w:color="E0DCCB" w:themeColor="accent4" w:themeTint="66"/>
              <w:left w:val="nil"/>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fldChar w:fldCharType="begin"/>
            </w:r>
            <w:r w:rsidRPr="004E5215">
              <w:rPr>
                <w:kern w:val="28"/>
                <w:sz w:val="20"/>
                <w:szCs w:val="20"/>
                <w:lang w:eastAsia="en-AU"/>
              </w:rPr>
              <w:instrText xml:space="preserve"> =SUM(ABOVE) </w:instrText>
            </w:r>
            <w:r w:rsidRPr="004E5215">
              <w:rPr>
                <w:kern w:val="28"/>
                <w:sz w:val="20"/>
                <w:szCs w:val="20"/>
                <w:lang w:eastAsia="en-AU"/>
              </w:rPr>
              <w:fldChar w:fldCharType="separate"/>
            </w:r>
            <w:r w:rsidRPr="004E5215">
              <w:rPr>
                <w:noProof/>
                <w:kern w:val="28"/>
                <w:sz w:val="20"/>
                <w:szCs w:val="20"/>
                <w:lang w:eastAsia="en-AU"/>
              </w:rPr>
              <w:t>14,947,000</w:t>
            </w:r>
            <w:r w:rsidRPr="004E5215">
              <w:rPr>
                <w:kern w:val="28"/>
                <w:sz w:val="20"/>
                <w:szCs w:val="20"/>
                <w:lang w:eastAsia="en-AU"/>
              </w:rPr>
              <w:fldChar w:fldCharType="end"/>
            </w:r>
          </w:p>
        </w:tc>
        <w:tc>
          <w:tcPr>
            <w:tcW w:w="1247" w:type="dxa"/>
            <w:tcBorders>
              <w:top w:val="single" w:sz="4" w:space="0" w:color="FFFFFF" w:themeColor="background1"/>
              <w:left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fldChar w:fldCharType="begin"/>
            </w:r>
            <w:r w:rsidRPr="004E5215">
              <w:rPr>
                <w:kern w:val="28"/>
                <w:sz w:val="20"/>
                <w:szCs w:val="20"/>
                <w:lang w:eastAsia="en-AU"/>
              </w:rPr>
              <w:instrText xml:space="preserve"> =SUM(ABOVE) </w:instrText>
            </w:r>
            <w:r w:rsidRPr="004E5215">
              <w:rPr>
                <w:kern w:val="28"/>
                <w:sz w:val="20"/>
                <w:szCs w:val="20"/>
                <w:lang w:eastAsia="en-AU"/>
              </w:rPr>
              <w:fldChar w:fldCharType="separate"/>
            </w:r>
            <w:r w:rsidRPr="004E5215">
              <w:rPr>
                <w:noProof/>
                <w:kern w:val="28"/>
                <w:sz w:val="20"/>
                <w:szCs w:val="20"/>
                <w:lang w:eastAsia="en-AU"/>
              </w:rPr>
              <w:t>14,560,424</w:t>
            </w:r>
            <w:r w:rsidRPr="004E5215">
              <w:rPr>
                <w:kern w:val="28"/>
                <w:sz w:val="20"/>
                <w:szCs w:val="20"/>
                <w:lang w:eastAsia="en-AU"/>
              </w:rPr>
              <w:fldChar w:fldCharType="end"/>
            </w:r>
          </w:p>
        </w:tc>
        <w:tc>
          <w:tcPr>
            <w:tcW w:w="1247" w:type="dxa"/>
            <w:tcBorders>
              <w:top w:val="single" w:sz="4" w:space="0" w:color="E0DCCB" w:themeColor="accent4" w:themeTint="66"/>
              <w:left w:val="nil"/>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386,576</w:t>
            </w:r>
          </w:p>
        </w:tc>
        <w:tc>
          <w:tcPr>
            <w:tcW w:w="1247" w:type="dxa"/>
            <w:tcBorders>
              <w:top w:val="single" w:sz="4" w:space="0" w:color="FFFFFF" w:themeColor="background1"/>
              <w:left w:val="single" w:sz="4" w:space="0" w:color="B2A97E" w:themeColor="accent4"/>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fldChar w:fldCharType="begin"/>
            </w:r>
            <w:r w:rsidRPr="004E5215">
              <w:rPr>
                <w:kern w:val="28"/>
                <w:sz w:val="20"/>
                <w:szCs w:val="20"/>
                <w:lang w:eastAsia="en-AU"/>
              </w:rPr>
              <w:instrText xml:space="preserve"> =SUM(ABOVE) </w:instrText>
            </w:r>
            <w:r w:rsidRPr="004E5215">
              <w:rPr>
                <w:kern w:val="28"/>
                <w:sz w:val="20"/>
                <w:szCs w:val="20"/>
                <w:lang w:eastAsia="en-AU"/>
              </w:rPr>
              <w:fldChar w:fldCharType="separate"/>
            </w:r>
            <w:r w:rsidRPr="004E5215">
              <w:rPr>
                <w:noProof/>
                <w:kern w:val="28"/>
                <w:sz w:val="20"/>
                <w:szCs w:val="20"/>
                <w:lang w:eastAsia="en-AU"/>
              </w:rPr>
              <w:t>14,560,424</w:t>
            </w:r>
            <w:r w:rsidRPr="004E5215">
              <w:rPr>
                <w:kern w:val="28"/>
                <w:sz w:val="20"/>
                <w:szCs w:val="20"/>
                <w:lang w:eastAsia="en-AU"/>
              </w:rPr>
              <w:fldChar w:fldCharType="end"/>
            </w:r>
          </w:p>
        </w:tc>
        <w:tc>
          <w:tcPr>
            <w:tcW w:w="1247" w:type="dxa"/>
            <w:tcBorders>
              <w:top w:val="single" w:sz="4" w:space="0" w:color="E0DCCB" w:themeColor="accent4" w:themeTint="66"/>
              <w:left w:val="nil"/>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16,043,197</w:t>
            </w:r>
          </w:p>
        </w:tc>
        <w:tc>
          <w:tcPr>
            <w:tcW w:w="1247" w:type="dxa"/>
            <w:tcBorders>
              <w:top w:val="single" w:sz="4" w:space="0" w:color="FFFFFF" w:themeColor="background1"/>
              <w:left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1,482,773</w:t>
            </w:r>
          </w:p>
        </w:tc>
      </w:tr>
      <w:tr w:rsidR="004E5215" w:rsidTr="00E2543D">
        <w:trPr>
          <w:trHeight w:val="255"/>
        </w:trPr>
        <w:tc>
          <w:tcPr>
            <w:tcW w:w="2410" w:type="dxa"/>
            <w:tcBorders>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rPr>
                <w:sz w:val="20"/>
                <w:szCs w:val="20"/>
                <w:lang w:eastAsia="en-AU"/>
              </w:rPr>
            </w:pPr>
            <w:r w:rsidRPr="004E5215">
              <w:rPr>
                <w:i/>
                <w:kern w:val="28"/>
                <w:sz w:val="20"/>
                <w:szCs w:val="20"/>
                <w:lang w:eastAsia="en-AU"/>
              </w:rPr>
              <w:t>Less</w:t>
            </w:r>
            <w:r w:rsidRPr="004E5215">
              <w:rPr>
                <w:kern w:val="28"/>
                <w:sz w:val="20"/>
                <w:szCs w:val="20"/>
                <w:lang w:eastAsia="en-AU"/>
              </w:rPr>
              <w:t xml:space="preserve"> Total Income</w:t>
            </w:r>
          </w:p>
        </w:tc>
        <w:tc>
          <w:tcPr>
            <w:tcW w:w="1247" w:type="dxa"/>
            <w:tcBorders>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(150,000)</w:t>
            </w:r>
          </w:p>
        </w:tc>
        <w:tc>
          <w:tcPr>
            <w:tcW w:w="1247" w:type="dxa"/>
            <w:tcBorders>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(29,570)</w:t>
            </w:r>
          </w:p>
        </w:tc>
        <w:tc>
          <w:tcPr>
            <w:tcW w:w="1247" w:type="dxa"/>
            <w:tcBorders>
              <w:left w:val="nil"/>
              <w:bottom w:val="single" w:sz="4" w:space="0" w:color="E0DCCB" w:themeColor="accent4" w:themeTint="66"/>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(120,430)</w:t>
            </w:r>
          </w:p>
        </w:tc>
        <w:tc>
          <w:tcPr>
            <w:tcW w:w="1247" w:type="dxa"/>
            <w:tcBorders>
              <w:left w:val="single" w:sz="4" w:space="0" w:color="B2A97E" w:themeColor="accent4"/>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(29,570)</w:t>
            </w:r>
          </w:p>
        </w:tc>
        <w:tc>
          <w:tcPr>
            <w:tcW w:w="1247" w:type="dxa"/>
            <w:tcBorders>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(87,670)</w:t>
            </w:r>
          </w:p>
        </w:tc>
        <w:tc>
          <w:tcPr>
            <w:tcW w:w="1247" w:type="dxa"/>
            <w:tcBorders>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(58,100)</w:t>
            </w:r>
          </w:p>
        </w:tc>
      </w:tr>
      <w:tr w:rsidR="004E5215" w:rsidRPr="007043E4" w:rsidTr="00E2543D">
        <w:trPr>
          <w:trHeight w:val="255"/>
        </w:trPr>
        <w:tc>
          <w:tcPr>
            <w:tcW w:w="2410" w:type="dxa"/>
            <w:tcBorders>
              <w:top w:val="single" w:sz="4" w:space="0" w:color="E0DCCB" w:themeColor="accent4" w:themeTint="66"/>
              <w:left w:val="nil"/>
              <w:right w:val="nil"/>
            </w:tcBorders>
            <w:shd w:val="clear" w:color="auto" w:fill="auto"/>
            <w:vAlign w:val="bottom"/>
            <w:hideMark/>
          </w:tcPr>
          <w:p w:rsidR="004E5215" w:rsidRPr="004E5215" w:rsidRDefault="004E5215" w:rsidP="004E5215">
            <w:pPr>
              <w:pStyle w:val="Financials"/>
              <w:rPr>
                <w:i/>
                <w:iCs/>
                <w:sz w:val="20"/>
                <w:szCs w:val="20"/>
                <w:lang w:eastAsia="en-AU"/>
              </w:rPr>
            </w:pPr>
            <w:r w:rsidRPr="004E5215">
              <w:rPr>
                <w:kern w:val="28"/>
                <w:sz w:val="20"/>
                <w:szCs w:val="20"/>
                <w:lang w:eastAsia="en-AU"/>
              </w:rPr>
              <w:t>Net Cost of Services</w:t>
            </w:r>
          </w:p>
        </w:tc>
        <w:tc>
          <w:tcPr>
            <w:tcW w:w="1247" w:type="dxa"/>
            <w:tcBorders>
              <w:top w:val="single" w:sz="4" w:space="0" w:color="E0DCCB" w:themeColor="accent4" w:themeTint="66"/>
              <w:left w:val="nil"/>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14,797,000</w:t>
            </w:r>
          </w:p>
        </w:tc>
        <w:tc>
          <w:tcPr>
            <w:tcW w:w="1247" w:type="dxa"/>
            <w:tcBorders>
              <w:top w:val="single" w:sz="4" w:space="0" w:color="FFFFFF" w:themeColor="background1"/>
              <w:left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14,530,854</w:t>
            </w:r>
          </w:p>
        </w:tc>
        <w:tc>
          <w:tcPr>
            <w:tcW w:w="1247" w:type="dxa"/>
            <w:tcBorders>
              <w:top w:val="single" w:sz="4" w:space="0" w:color="E0DCCB" w:themeColor="accent4" w:themeTint="66"/>
              <w:left w:val="nil"/>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266,146</w:t>
            </w:r>
          </w:p>
        </w:tc>
        <w:tc>
          <w:tcPr>
            <w:tcW w:w="1247" w:type="dxa"/>
            <w:tcBorders>
              <w:top w:val="single" w:sz="4" w:space="0" w:color="FFFFFF" w:themeColor="background1"/>
              <w:left w:val="single" w:sz="4" w:space="0" w:color="B2A97E" w:themeColor="accent4"/>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14,530,854</w:t>
            </w:r>
          </w:p>
        </w:tc>
        <w:tc>
          <w:tcPr>
            <w:tcW w:w="1247" w:type="dxa"/>
            <w:tcBorders>
              <w:top w:val="single" w:sz="4" w:space="0" w:color="E0DCCB" w:themeColor="accent4" w:themeTint="66"/>
              <w:left w:val="nil"/>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15,955,527</w:t>
            </w:r>
          </w:p>
        </w:tc>
        <w:tc>
          <w:tcPr>
            <w:tcW w:w="1247" w:type="dxa"/>
            <w:tcBorders>
              <w:top w:val="single" w:sz="4" w:space="0" w:color="FFFFFF" w:themeColor="background1"/>
              <w:left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1,424,673</w:t>
            </w:r>
          </w:p>
        </w:tc>
      </w:tr>
      <w:tr w:rsidR="004E5215" w:rsidRPr="007043E4" w:rsidTr="00E2543D">
        <w:trPr>
          <w:trHeight w:val="270"/>
        </w:trPr>
        <w:tc>
          <w:tcPr>
            <w:tcW w:w="2410" w:type="dxa"/>
            <w:tcBorders>
              <w:top w:val="nil"/>
              <w:left w:val="nil"/>
              <w:bottom w:val="single" w:sz="4" w:space="0" w:color="E0DCCB" w:themeColor="accent4" w:themeTint="66"/>
              <w:right w:val="nil"/>
            </w:tcBorders>
            <w:shd w:val="clear" w:color="auto" w:fill="auto"/>
            <w:vAlign w:val="bottom"/>
            <w:hideMark/>
          </w:tcPr>
          <w:p w:rsidR="004E5215" w:rsidRPr="004E5215" w:rsidRDefault="004E5215" w:rsidP="004E5215">
            <w:pPr>
              <w:pStyle w:val="Financials"/>
              <w:rPr>
                <w:sz w:val="20"/>
                <w:szCs w:val="20"/>
                <w:lang w:eastAsia="en-AU"/>
              </w:rPr>
            </w:pPr>
            <w:r w:rsidRPr="004E5215">
              <w:rPr>
                <w:kern w:val="28"/>
                <w:sz w:val="20"/>
                <w:szCs w:val="20"/>
                <w:lang w:eastAsia="en-AU"/>
              </w:rPr>
              <w:t>Adjustments</w:t>
            </w:r>
          </w:p>
        </w:tc>
        <w:tc>
          <w:tcPr>
            <w:tcW w:w="1247" w:type="dxa"/>
            <w:tcBorders>
              <w:top w:val="nil"/>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(72,000)</w:t>
            </w:r>
          </w:p>
        </w:tc>
        <w:tc>
          <w:tcPr>
            <w:tcW w:w="1247" w:type="dxa"/>
            <w:tcBorders>
              <w:top w:val="nil"/>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465,146</w:t>
            </w:r>
          </w:p>
        </w:tc>
        <w:tc>
          <w:tcPr>
            <w:tcW w:w="1247" w:type="dxa"/>
            <w:tcBorders>
              <w:top w:val="nil"/>
              <w:left w:val="nil"/>
              <w:bottom w:val="single" w:sz="4" w:space="0" w:color="E0DCCB" w:themeColor="accent4" w:themeTint="66"/>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(537,146)</w:t>
            </w:r>
          </w:p>
        </w:tc>
        <w:tc>
          <w:tcPr>
            <w:tcW w:w="1247" w:type="dxa"/>
            <w:tcBorders>
              <w:top w:val="nil"/>
              <w:left w:val="single" w:sz="4" w:space="0" w:color="B2A97E" w:themeColor="accent4"/>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465,146</w:t>
            </w:r>
          </w:p>
        </w:tc>
        <w:tc>
          <w:tcPr>
            <w:tcW w:w="1247" w:type="dxa"/>
            <w:tcBorders>
              <w:top w:val="nil"/>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(1,422,527)</w:t>
            </w:r>
          </w:p>
        </w:tc>
        <w:tc>
          <w:tcPr>
            <w:tcW w:w="1247" w:type="dxa"/>
            <w:tcBorders>
              <w:top w:val="nil"/>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(1887,673)</w:t>
            </w:r>
          </w:p>
        </w:tc>
      </w:tr>
      <w:tr w:rsidR="004E5215" w:rsidTr="00E2543D">
        <w:trPr>
          <w:trHeight w:val="270"/>
        </w:trPr>
        <w:tc>
          <w:tcPr>
            <w:tcW w:w="2410" w:type="dxa"/>
            <w:tcBorders>
              <w:top w:val="single" w:sz="4" w:space="0" w:color="E0DCCB" w:themeColor="accent4" w:themeTint="66"/>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rPr>
                <w:b/>
                <w:bCs/>
                <w:sz w:val="20"/>
                <w:szCs w:val="20"/>
                <w:lang w:eastAsia="en-AU"/>
              </w:rPr>
            </w:pPr>
            <w:r w:rsidRPr="004E5215">
              <w:rPr>
                <w:b/>
                <w:kern w:val="28"/>
                <w:sz w:val="20"/>
                <w:szCs w:val="20"/>
                <w:lang w:eastAsia="en-AU"/>
              </w:rPr>
              <w:t>Total appropriations provided to deliver services</w:t>
            </w:r>
          </w:p>
        </w:tc>
        <w:tc>
          <w:tcPr>
            <w:tcW w:w="1247" w:type="dxa"/>
            <w:tcBorders>
              <w:top w:val="single" w:sz="4" w:space="0" w:color="E0DCCB" w:themeColor="accent4" w:themeTint="66"/>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t>14,725,000</w:t>
            </w:r>
          </w:p>
        </w:tc>
        <w:tc>
          <w:tcPr>
            <w:tcW w:w="1247" w:type="dxa"/>
            <w:tcBorders>
              <w:top w:val="single" w:sz="4" w:space="0" w:color="FFFFFF" w:themeColor="background1"/>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t>14,996,000</w:t>
            </w:r>
          </w:p>
        </w:tc>
        <w:tc>
          <w:tcPr>
            <w:tcW w:w="1247" w:type="dxa"/>
            <w:tcBorders>
              <w:top w:val="single" w:sz="4" w:space="0" w:color="E0DCCB" w:themeColor="accent4" w:themeTint="66"/>
              <w:left w:val="nil"/>
              <w:bottom w:val="single" w:sz="4" w:space="0" w:color="E0DCCB" w:themeColor="accent4" w:themeTint="66"/>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t>(271,000)</w:t>
            </w:r>
          </w:p>
        </w:tc>
        <w:tc>
          <w:tcPr>
            <w:tcW w:w="1247" w:type="dxa"/>
            <w:tcBorders>
              <w:top w:val="single" w:sz="4" w:space="0" w:color="FFFFFF" w:themeColor="background1"/>
              <w:left w:val="single" w:sz="4" w:space="0" w:color="B2A97E" w:themeColor="accent4"/>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t>14,996,000</w:t>
            </w:r>
          </w:p>
        </w:tc>
        <w:tc>
          <w:tcPr>
            <w:tcW w:w="1247" w:type="dxa"/>
            <w:tcBorders>
              <w:top w:val="single" w:sz="4" w:space="0" w:color="E0DCCB" w:themeColor="accent4" w:themeTint="66"/>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t>14,533,000</w:t>
            </w:r>
          </w:p>
        </w:tc>
        <w:tc>
          <w:tcPr>
            <w:tcW w:w="1247" w:type="dxa"/>
            <w:tcBorders>
              <w:top w:val="single" w:sz="4" w:space="0" w:color="FFFFFF" w:themeColor="background1"/>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b/>
                <w:kern w:val="28"/>
                <w:sz w:val="20"/>
                <w:szCs w:val="20"/>
                <w:lang w:eastAsia="en-AU"/>
              </w:rPr>
              <w:t>463,000</w:t>
            </w:r>
          </w:p>
        </w:tc>
      </w:tr>
      <w:tr w:rsidR="004E5215" w:rsidRPr="00BB3285" w:rsidTr="00BB3285">
        <w:trPr>
          <w:trHeight w:val="125"/>
        </w:trPr>
        <w:tc>
          <w:tcPr>
            <w:tcW w:w="2410" w:type="dxa"/>
            <w:tcBorders>
              <w:top w:val="single" w:sz="4" w:space="0" w:color="E0DCCB" w:themeColor="accent4" w:themeTint="66"/>
              <w:left w:val="nil"/>
              <w:right w:val="nil"/>
            </w:tcBorders>
            <w:shd w:val="clear" w:color="auto" w:fill="auto"/>
            <w:vAlign w:val="bottom"/>
          </w:tcPr>
          <w:p w:rsidR="004E5215" w:rsidRPr="00BB3285" w:rsidRDefault="004E5215" w:rsidP="004E5215">
            <w:pPr>
              <w:pStyle w:val="Financials"/>
              <w:rPr>
                <w:sz w:val="12"/>
                <w:szCs w:val="12"/>
                <w:lang w:eastAsia="en-AU"/>
              </w:rPr>
            </w:pPr>
          </w:p>
        </w:tc>
        <w:tc>
          <w:tcPr>
            <w:tcW w:w="1247" w:type="dxa"/>
            <w:tcBorders>
              <w:top w:val="single" w:sz="4" w:space="0" w:color="E0DCCB" w:themeColor="accent4" w:themeTint="66"/>
              <w:left w:val="nil"/>
              <w:right w:val="nil"/>
            </w:tcBorders>
            <w:shd w:val="clear" w:color="auto" w:fill="auto"/>
            <w:vAlign w:val="bottom"/>
          </w:tcPr>
          <w:p w:rsidR="004E5215" w:rsidRPr="00BB3285" w:rsidRDefault="004E5215" w:rsidP="00BB3285">
            <w:pPr>
              <w:pStyle w:val="Financials"/>
              <w:rPr>
                <w:sz w:val="12"/>
                <w:szCs w:val="12"/>
                <w:lang w:eastAsia="en-AU"/>
              </w:rPr>
            </w:pPr>
          </w:p>
        </w:tc>
        <w:tc>
          <w:tcPr>
            <w:tcW w:w="1247" w:type="dxa"/>
            <w:tcBorders>
              <w:top w:val="single" w:sz="4" w:space="0" w:color="FFFFFF" w:themeColor="background1"/>
              <w:left w:val="nil"/>
              <w:right w:val="nil"/>
            </w:tcBorders>
            <w:shd w:val="clear" w:color="auto" w:fill="E0DCCB" w:themeFill="accent4" w:themeFillTint="66"/>
            <w:vAlign w:val="bottom"/>
          </w:tcPr>
          <w:p w:rsidR="004E5215" w:rsidRPr="00BB3285" w:rsidRDefault="004E5215" w:rsidP="00BB3285">
            <w:pPr>
              <w:pStyle w:val="Financials"/>
              <w:rPr>
                <w:sz w:val="12"/>
                <w:szCs w:val="12"/>
                <w:lang w:eastAsia="en-AU"/>
              </w:rPr>
            </w:pPr>
          </w:p>
        </w:tc>
        <w:tc>
          <w:tcPr>
            <w:tcW w:w="1247" w:type="dxa"/>
            <w:tcBorders>
              <w:top w:val="single" w:sz="4" w:space="0" w:color="E0DCCB" w:themeColor="accent4" w:themeTint="66"/>
              <w:left w:val="nil"/>
              <w:right w:val="single" w:sz="4" w:space="0" w:color="B2A97E" w:themeColor="accent4"/>
            </w:tcBorders>
            <w:shd w:val="clear" w:color="auto" w:fill="auto"/>
            <w:vAlign w:val="bottom"/>
          </w:tcPr>
          <w:p w:rsidR="004E5215" w:rsidRPr="00BB3285" w:rsidRDefault="004E5215" w:rsidP="00BB3285">
            <w:pPr>
              <w:pStyle w:val="Financials"/>
              <w:rPr>
                <w:sz w:val="12"/>
                <w:szCs w:val="12"/>
                <w:lang w:eastAsia="en-AU"/>
              </w:rPr>
            </w:pPr>
          </w:p>
        </w:tc>
        <w:tc>
          <w:tcPr>
            <w:tcW w:w="1247" w:type="dxa"/>
            <w:tcBorders>
              <w:top w:val="single" w:sz="4" w:space="0" w:color="FFFFFF" w:themeColor="background1"/>
              <w:left w:val="single" w:sz="4" w:space="0" w:color="B2A97E" w:themeColor="accent4"/>
              <w:right w:val="nil"/>
            </w:tcBorders>
            <w:shd w:val="clear" w:color="auto" w:fill="E0DCCB" w:themeFill="accent4" w:themeFillTint="66"/>
            <w:vAlign w:val="bottom"/>
          </w:tcPr>
          <w:p w:rsidR="004E5215" w:rsidRPr="00BB3285" w:rsidRDefault="004E5215" w:rsidP="00BB3285">
            <w:pPr>
              <w:pStyle w:val="Financials"/>
              <w:rPr>
                <w:sz w:val="12"/>
                <w:szCs w:val="12"/>
                <w:lang w:eastAsia="en-AU"/>
              </w:rPr>
            </w:pPr>
          </w:p>
        </w:tc>
        <w:tc>
          <w:tcPr>
            <w:tcW w:w="1247" w:type="dxa"/>
            <w:tcBorders>
              <w:top w:val="single" w:sz="4" w:space="0" w:color="E0DCCB" w:themeColor="accent4" w:themeTint="66"/>
              <w:left w:val="nil"/>
              <w:right w:val="nil"/>
            </w:tcBorders>
            <w:shd w:val="clear" w:color="auto" w:fill="auto"/>
            <w:vAlign w:val="bottom"/>
          </w:tcPr>
          <w:p w:rsidR="004E5215" w:rsidRPr="00BB3285" w:rsidRDefault="004E5215" w:rsidP="00BB3285">
            <w:pPr>
              <w:pStyle w:val="Financials"/>
              <w:rPr>
                <w:sz w:val="12"/>
                <w:szCs w:val="12"/>
                <w:lang w:eastAsia="en-AU"/>
              </w:rPr>
            </w:pPr>
          </w:p>
        </w:tc>
        <w:tc>
          <w:tcPr>
            <w:tcW w:w="1247" w:type="dxa"/>
            <w:tcBorders>
              <w:top w:val="single" w:sz="4" w:space="0" w:color="FFFFFF" w:themeColor="background1"/>
              <w:left w:val="nil"/>
              <w:right w:val="nil"/>
            </w:tcBorders>
            <w:shd w:val="clear" w:color="auto" w:fill="E0DCCB" w:themeFill="accent4" w:themeFillTint="66"/>
            <w:vAlign w:val="bottom"/>
          </w:tcPr>
          <w:p w:rsidR="004E5215" w:rsidRPr="00BB3285" w:rsidRDefault="004E5215" w:rsidP="00BB3285">
            <w:pPr>
              <w:pStyle w:val="Financials"/>
              <w:rPr>
                <w:sz w:val="12"/>
                <w:szCs w:val="12"/>
                <w:lang w:eastAsia="en-AU"/>
              </w:rPr>
            </w:pPr>
          </w:p>
        </w:tc>
      </w:tr>
      <w:tr w:rsidR="004E5215" w:rsidTr="00E2543D">
        <w:trPr>
          <w:trHeight w:val="270"/>
        </w:trPr>
        <w:tc>
          <w:tcPr>
            <w:tcW w:w="2410" w:type="dxa"/>
            <w:tcBorders>
              <w:left w:val="nil"/>
              <w:right w:val="nil"/>
            </w:tcBorders>
            <w:shd w:val="clear" w:color="auto" w:fill="auto"/>
            <w:vAlign w:val="bottom"/>
            <w:hideMark/>
          </w:tcPr>
          <w:p w:rsidR="004E5215" w:rsidRPr="004E5215" w:rsidRDefault="004E5215" w:rsidP="004E5215">
            <w:pPr>
              <w:pStyle w:val="Financials"/>
              <w:rPr>
                <w:sz w:val="20"/>
                <w:szCs w:val="20"/>
                <w:lang w:eastAsia="en-AU"/>
              </w:rPr>
            </w:pPr>
            <w:r w:rsidRPr="004E5215">
              <w:rPr>
                <w:kern w:val="28"/>
                <w:sz w:val="20"/>
                <w:szCs w:val="20"/>
                <w:u w:val="single"/>
                <w:lang w:eastAsia="en-AU"/>
              </w:rPr>
              <w:t>Capital Expenditure</w:t>
            </w:r>
          </w:p>
        </w:tc>
        <w:tc>
          <w:tcPr>
            <w:tcW w:w="1247" w:type="dxa"/>
            <w:tcBorders>
              <w:left w:val="nil"/>
              <w:right w:val="nil"/>
            </w:tcBorders>
            <w:shd w:val="clear" w:color="auto" w:fill="auto"/>
            <w:vAlign w:val="bottom"/>
          </w:tcPr>
          <w:p w:rsidR="004E5215" w:rsidRPr="004E5215" w:rsidRDefault="004E5215" w:rsidP="004E5215">
            <w:pPr>
              <w:pStyle w:val="Financials"/>
              <w:jc w:val="right"/>
              <w:rPr>
                <w:sz w:val="20"/>
                <w:szCs w:val="20"/>
                <w:lang w:eastAsia="en-AU"/>
              </w:rPr>
            </w:pPr>
          </w:p>
        </w:tc>
        <w:tc>
          <w:tcPr>
            <w:tcW w:w="1247" w:type="dxa"/>
            <w:tcBorders>
              <w:left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p>
        </w:tc>
        <w:tc>
          <w:tcPr>
            <w:tcW w:w="1247" w:type="dxa"/>
            <w:tcBorders>
              <w:left w:val="nil"/>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p>
        </w:tc>
        <w:tc>
          <w:tcPr>
            <w:tcW w:w="1247" w:type="dxa"/>
            <w:tcBorders>
              <w:left w:val="single" w:sz="4" w:space="0" w:color="B2A97E" w:themeColor="accent4"/>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p>
        </w:tc>
        <w:tc>
          <w:tcPr>
            <w:tcW w:w="1247" w:type="dxa"/>
            <w:tcBorders>
              <w:left w:val="nil"/>
              <w:right w:val="nil"/>
            </w:tcBorders>
            <w:shd w:val="clear" w:color="auto" w:fill="auto"/>
            <w:vAlign w:val="bottom"/>
          </w:tcPr>
          <w:p w:rsidR="004E5215" w:rsidRPr="004E5215" w:rsidRDefault="004E5215" w:rsidP="004E5215">
            <w:pPr>
              <w:pStyle w:val="Financials"/>
              <w:jc w:val="right"/>
              <w:rPr>
                <w:sz w:val="20"/>
                <w:szCs w:val="20"/>
                <w:lang w:eastAsia="en-AU"/>
              </w:rPr>
            </w:pPr>
          </w:p>
        </w:tc>
        <w:tc>
          <w:tcPr>
            <w:tcW w:w="1247" w:type="dxa"/>
            <w:tcBorders>
              <w:left w:val="nil"/>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p>
        </w:tc>
      </w:tr>
      <w:tr w:rsidR="004E5215" w:rsidTr="00E2543D">
        <w:trPr>
          <w:trHeight w:val="255"/>
        </w:trPr>
        <w:tc>
          <w:tcPr>
            <w:tcW w:w="2410" w:type="dxa"/>
            <w:tcBorders>
              <w:left w:val="nil"/>
              <w:right w:val="nil"/>
            </w:tcBorders>
            <w:shd w:val="clear" w:color="auto" w:fill="auto"/>
            <w:vAlign w:val="bottom"/>
            <w:hideMark/>
          </w:tcPr>
          <w:p w:rsidR="004E5215" w:rsidRPr="004E5215" w:rsidRDefault="004E5215" w:rsidP="004E5215">
            <w:pPr>
              <w:pStyle w:val="Financials"/>
              <w:rPr>
                <w:b/>
                <w:bCs/>
                <w:sz w:val="20"/>
                <w:szCs w:val="20"/>
                <w:lang w:eastAsia="en-AU"/>
              </w:rPr>
            </w:pPr>
            <w:r w:rsidRPr="004E5215">
              <w:rPr>
                <w:kern w:val="28"/>
                <w:sz w:val="20"/>
                <w:szCs w:val="20"/>
                <w:lang w:eastAsia="en-AU"/>
              </w:rPr>
              <w:t>Purchase of non-current physical assets</w:t>
            </w:r>
          </w:p>
        </w:tc>
        <w:tc>
          <w:tcPr>
            <w:tcW w:w="1247" w:type="dxa"/>
            <w:tcBorders>
              <w:left w:val="nil"/>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146,000</w:t>
            </w:r>
          </w:p>
        </w:tc>
        <w:tc>
          <w:tcPr>
            <w:tcW w:w="1247" w:type="dxa"/>
            <w:tcBorders>
              <w:left w:val="nil"/>
              <w:right w:val="nil"/>
            </w:tcBorders>
            <w:shd w:val="clear" w:color="auto" w:fill="E0DCCB" w:themeFill="accent4" w:themeFillTint="66"/>
            <w:vAlign w:val="bottom"/>
          </w:tcPr>
          <w:p w:rsidR="004E5215" w:rsidRPr="004E5215" w:rsidRDefault="004E5215" w:rsidP="004E5215">
            <w:pPr>
              <w:pStyle w:val="Financials"/>
              <w:jc w:val="right"/>
              <w:rPr>
                <w:b/>
                <w:bCs/>
                <w:sz w:val="20"/>
                <w:szCs w:val="20"/>
                <w:lang w:eastAsia="en-AU"/>
              </w:rPr>
            </w:pPr>
            <w:r w:rsidRPr="004E5215">
              <w:rPr>
                <w:kern w:val="28"/>
                <w:sz w:val="20"/>
                <w:szCs w:val="20"/>
                <w:lang w:eastAsia="en-AU"/>
              </w:rPr>
              <w:t>130,006</w:t>
            </w:r>
          </w:p>
        </w:tc>
        <w:tc>
          <w:tcPr>
            <w:tcW w:w="1247" w:type="dxa"/>
            <w:tcBorders>
              <w:left w:val="nil"/>
              <w:right w:val="single" w:sz="4" w:space="0" w:color="B2A97E" w:themeColor="accent4"/>
            </w:tcBorders>
            <w:shd w:val="clear" w:color="auto" w:fill="auto"/>
            <w:vAlign w:val="bottom"/>
          </w:tcPr>
          <w:p w:rsidR="004E5215" w:rsidRPr="004E5215" w:rsidRDefault="004E5215" w:rsidP="004E5215">
            <w:pPr>
              <w:pStyle w:val="Financials"/>
              <w:jc w:val="right"/>
              <w:rPr>
                <w:b/>
                <w:bCs/>
                <w:sz w:val="20"/>
                <w:szCs w:val="20"/>
                <w:lang w:eastAsia="en-AU"/>
              </w:rPr>
            </w:pPr>
            <w:r w:rsidRPr="004E5215">
              <w:rPr>
                <w:kern w:val="28"/>
                <w:sz w:val="20"/>
                <w:szCs w:val="20"/>
                <w:lang w:eastAsia="en-AU"/>
              </w:rPr>
              <w:t>(15,994)</w:t>
            </w:r>
          </w:p>
        </w:tc>
        <w:tc>
          <w:tcPr>
            <w:tcW w:w="1247" w:type="dxa"/>
            <w:tcBorders>
              <w:left w:val="single" w:sz="4" w:space="0" w:color="B2A97E" w:themeColor="accent4"/>
              <w:right w:val="nil"/>
            </w:tcBorders>
            <w:shd w:val="clear" w:color="auto" w:fill="E0DCCB" w:themeFill="accent4" w:themeFillTint="66"/>
            <w:vAlign w:val="bottom"/>
          </w:tcPr>
          <w:p w:rsidR="004E5215" w:rsidRPr="004E5215" w:rsidRDefault="004E5215" w:rsidP="004E5215">
            <w:pPr>
              <w:pStyle w:val="Financials"/>
              <w:jc w:val="right"/>
              <w:rPr>
                <w:b/>
                <w:bCs/>
                <w:sz w:val="20"/>
                <w:szCs w:val="20"/>
                <w:lang w:eastAsia="en-AU"/>
              </w:rPr>
            </w:pPr>
            <w:r w:rsidRPr="004E5215">
              <w:rPr>
                <w:kern w:val="28"/>
                <w:sz w:val="20"/>
                <w:szCs w:val="20"/>
                <w:lang w:eastAsia="en-AU"/>
              </w:rPr>
              <w:t>130,006</w:t>
            </w:r>
          </w:p>
        </w:tc>
        <w:tc>
          <w:tcPr>
            <w:tcW w:w="1247" w:type="dxa"/>
            <w:tcBorders>
              <w:left w:val="nil"/>
              <w:right w:val="nil"/>
            </w:tcBorders>
            <w:shd w:val="clear" w:color="auto" w:fill="auto"/>
            <w:vAlign w:val="bottom"/>
          </w:tcPr>
          <w:p w:rsidR="004E5215" w:rsidRPr="004E5215" w:rsidRDefault="004E5215" w:rsidP="004E5215">
            <w:pPr>
              <w:pStyle w:val="Financials"/>
              <w:jc w:val="right"/>
              <w:rPr>
                <w:b/>
                <w:bCs/>
                <w:sz w:val="20"/>
                <w:szCs w:val="20"/>
                <w:lang w:eastAsia="en-AU"/>
              </w:rPr>
            </w:pPr>
            <w:r w:rsidRPr="004E5215">
              <w:rPr>
                <w:kern w:val="28"/>
                <w:sz w:val="20"/>
                <w:szCs w:val="20"/>
                <w:lang w:eastAsia="en-AU"/>
              </w:rPr>
              <w:t>152,134</w:t>
            </w:r>
          </w:p>
        </w:tc>
        <w:tc>
          <w:tcPr>
            <w:tcW w:w="1247" w:type="dxa"/>
            <w:tcBorders>
              <w:left w:val="nil"/>
              <w:right w:val="nil"/>
            </w:tcBorders>
            <w:shd w:val="clear" w:color="auto" w:fill="E0DCCB" w:themeFill="accent4" w:themeFillTint="66"/>
            <w:vAlign w:val="bottom"/>
          </w:tcPr>
          <w:p w:rsidR="004E5215" w:rsidRPr="004E5215" w:rsidRDefault="004E5215" w:rsidP="004E5215">
            <w:pPr>
              <w:pStyle w:val="Financials"/>
              <w:jc w:val="right"/>
              <w:rPr>
                <w:b/>
                <w:bCs/>
                <w:sz w:val="20"/>
                <w:szCs w:val="20"/>
                <w:lang w:eastAsia="en-AU"/>
              </w:rPr>
            </w:pPr>
            <w:r w:rsidRPr="004E5215">
              <w:rPr>
                <w:kern w:val="28"/>
                <w:sz w:val="20"/>
                <w:szCs w:val="20"/>
                <w:lang w:eastAsia="en-AU"/>
              </w:rPr>
              <w:t>22,128</w:t>
            </w:r>
          </w:p>
        </w:tc>
      </w:tr>
      <w:tr w:rsidR="004E5215" w:rsidRPr="007043E4" w:rsidTr="00E2543D">
        <w:trPr>
          <w:trHeight w:val="255"/>
        </w:trPr>
        <w:tc>
          <w:tcPr>
            <w:tcW w:w="2410" w:type="dxa"/>
            <w:tcBorders>
              <w:left w:val="nil"/>
              <w:bottom w:val="single" w:sz="4" w:space="0" w:color="E0DCCB" w:themeColor="accent4" w:themeTint="66"/>
              <w:right w:val="nil"/>
            </w:tcBorders>
            <w:shd w:val="clear" w:color="auto" w:fill="auto"/>
            <w:vAlign w:val="bottom"/>
            <w:hideMark/>
          </w:tcPr>
          <w:p w:rsidR="004E5215" w:rsidRPr="004E5215" w:rsidRDefault="004E5215" w:rsidP="004E5215">
            <w:pPr>
              <w:pStyle w:val="Financials"/>
              <w:rPr>
                <w:sz w:val="20"/>
                <w:szCs w:val="20"/>
              </w:rPr>
            </w:pPr>
            <w:r w:rsidRPr="004E5215">
              <w:rPr>
                <w:kern w:val="28"/>
                <w:sz w:val="20"/>
                <w:szCs w:val="20"/>
                <w:lang w:eastAsia="en-AU"/>
              </w:rPr>
              <w:t>Adjustments for other funding sources</w:t>
            </w:r>
          </w:p>
        </w:tc>
        <w:tc>
          <w:tcPr>
            <w:tcW w:w="1247" w:type="dxa"/>
            <w:tcBorders>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(87,000)</w:t>
            </w:r>
          </w:p>
        </w:tc>
        <w:tc>
          <w:tcPr>
            <w:tcW w:w="1247" w:type="dxa"/>
            <w:tcBorders>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(71,006)</w:t>
            </w:r>
          </w:p>
        </w:tc>
        <w:tc>
          <w:tcPr>
            <w:tcW w:w="1247" w:type="dxa"/>
            <w:tcBorders>
              <w:left w:val="nil"/>
              <w:bottom w:val="single" w:sz="4" w:space="0" w:color="E0DCCB" w:themeColor="accent4" w:themeTint="66"/>
              <w:right w:val="single" w:sz="4" w:space="0" w:color="B2A97E" w:themeColor="accent4"/>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15,994</w:t>
            </w:r>
          </w:p>
        </w:tc>
        <w:tc>
          <w:tcPr>
            <w:tcW w:w="1247" w:type="dxa"/>
            <w:tcBorders>
              <w:left w:val="single" w:sz="4" w:space="0" w:color="B2A97E" w:themeColor="accent4"/>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(71,006)</w:t>
            </w:r>
          </w:p>
        </w:tc>
        <w:tc>
          <w:tcPr>
            <w:tcW w:w="1247" w:type="dxa"/>
            <w:tcBorders>
              <w:left w:val="nil"/>
              <w:bottom w:val="single" w:sz="4" w:space="0" w:color="E0DCCB" w:themeColor="accent4" w:themeTint="66"/>
              <w:right w:val="nil"/>
            </w:tcBorders>
            <w:shd w:val="clear" w:color="auto" w:fill="auto"/>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(152,134)</w:t>
            </w:r>
          </w:p>
        </w:tc>
        <w:tc>
          <w:tcPr>
            <w:tcW w:w="1247" w:type="dxa"/>
            <w:tcBorders>
              <w:left w:val="nil"/>
              <w:bottom w:val="single" w:sz="4" w:space="0" w:color="FFFFFF" w:themeColor="background1"/>
              <w:right w:val="nil"/>
            </w:tcBorders>
            <w:shd w:val="clear" w:color="auto" w:fill="E0DCCB" w:themeFill="accent4" w:themeFillTint="66"/>
            <w:vAlign w:val="bottom"/>
          </w:tcPr>
          <w:p w:rsidR="004E5215" w:rsidRPr="004E5215" w:rsidRDefault="004E5215" w:rsidP="004E5215">
            <w:pPr>
              <w:pStyle w:val="Financials"/>
              <w:jc w:val="right"/>
              <w:rPr>
                <w:sz w:val="20"/>
                <w:szCs w:val="20"/>
                <w:lang w:eastAsia="en-AU"/>
              </w:rPr>
            </w:pPr>
            <w:r w:rsidRPr="004E5215">
              <w:rPr>
                <w:kern w:val="28"/>
                <w:sz w:val="20"/>
                <w:szCs w:val="20"/>
                <w:lang w:eastAsia="en-AU"/>
              </w:rPr>
              <w:t>(81,128)</w:t>
            </w:r>
          </w:p>
        </w:tc>
      </w:tr>
      <w:tr w:rsidR="004E5215" w:rsidTr="00E2543D">
        <w:trPr>
          <w:trHeight w:val="255"/>
        </w:trPr>
        <w:tc>
          <w:tcPr>
            <w:tcW w:w="2410" w:type="dxa"/>
            <w:tcBorders>
              <w:top w:val="single" w:sz="4" w:space="0" w:color="E0DCCB" w:themeColor="accent4" w:themeTint="66"/>
              <w:left w:val="nil"/>
              <w:bottom w:val="single" w:sz="6" w:space="0" w:color="E0DCCB" w:themeColor="accent4" w:themeTint="66"/>
              <w:right w:val="nil"/>
            </w:tcBorders>
            <w:shd w:val="clear" w:color="auto" w:fill="auto"/>
            <w:vAlign w:val="bottom"/>
          </w:tcPr>
          <w:p w:rsidR="004E5215" w:rsidRPr="004E5215" w:rsidRDefault="004E5215" w:rsidP="004E5215">
            <w:pPr>
              <w:pStyle w:val="Financials"/>
              <w:rPr>
                <w:kern w:val="28"/>
                <w:sz w:val="20"/>
                <w:szCs w:val="20"/>
              </w:rPr>
            </w:pPr>
            <w:r w:rsidRPr="004E5215">
              <w:rPr>
                <w:b/>
                <w:kern w:val="28"/>
                <w:sz w:val="20"/>
                <w:szCs w:val="20"/>
                <w:lang w:eastAsia="en-AU"/>
              </w:rPr>
              <w:t>Capital appropriations</w:t>
            </w:r>
          </w:p>
        </w:tc>
        <w:tc>
          <w:tcPr>
            <w:tcW w:w="1247" w:type="dxa"/>
            <w:tcBorders>
              <w:top w:val="single" w:sz="4" w:space="0" w:color="E0DCCB" w:themeColor="accent4" w:themeTint="66"/>
              <w:left w:val="nil"/>
              <w:bottom w:val="single" w:sz="6" w:space="0" w:color="E0DCCB" w:themeColor="accent4" w:themeTint="66"/>
              <w:right w:val="nil"/>
            </w:tcBorders>
            <w:shd w:val="clear" w:color="auto" w:fill="auto"/>
            <w:vAlign w:val="bottom"/>
          </w:tcPr>
          <w:p w:rsidR="004E5215" w:rsidRPr="004E5215" w:rsidRDefault="004E5215" w:rsidP="004E5215">
            <w:pPr>
              <w:pStyle w:val="Financials"/>
              <w:jc w:val="right"/>
              <w:rPr>
                <w:kern w:val="28"/>
                <w:sz w:val="20"/>
                <w:szCs w:val="20"/>
                <w:lang w:eastAsia="en-AU"/>
              </w:rPr>
            </w:pPr>
            <w:r w:rsidRPr="004E5215">
              <w:rPr>
                <w:b/>
                <w:kern w:val="28"/>
                <w:sz w:val="20"/>
                <w:szCs w:val="20"/>
                <w:lang w:eastAsia="en-AU"/>
              </w:rPr>
              <w:t>59,000</w:t>
            </w:r>
          </w:p>
        </w:tc>
        <w:tc>
          <w:tcPr>
            <w:tcW w:w="1247" w:type="dxa"/>
            <w:tcBorders>
              <w:top w:val="single" w:sz="4" w:space="0" w:color="FFFFFF" w:themeColor="background1"/>
              <w:left w:val="nil"/>
              <w:bottom w:val="single" w:sz="6" w:space="0" w:color="E0DCCB" w:themeColor="accent4" w:themeTint="66"/>
              <w:right w:val="nil"/>
            </w:tcBorders>
            <w:shd w:val="clear" w:color="auto" w:fill="E0DCCB" w:themeFill="accent4" w:themeFillTint="66"/>
            <w:vAlign w:val="bottom"/>
          </w:tcPr>
          <w:p w:rsidR="004E5215" w:rsidRPr="004E5215" w:rsidRDefault="004E5215" w:rsidP="004E5215">
            <w:pPr>
              <w:pStyle w:val="Financials"/>
              <w:jc w:val="right"/>
              <w:rPr>
                <w:kern w:val="28"/>
                <w:sz w:val="20"/>
                <w:szCs w:val="20"/>
                <w:lang w:eastAsia="en-AU"/>
              </w:rPr>
            </w:pPr>
            <w:r w:rsidRPr="004E5215">
              <w:rPr>
                <w:b/>
                <w:kern w:val="28"/>
                <w:sz w:val="20"/>
                <w:szCs w:val="20"/>
                <w:lang w:eastAsia="en-AU"/>
              </w:rPr>
              <w:t>59,000</w:t>
            </w:r>
          </w:p>
        </w:tc>
        <w:tc>
          <w:tcPr>
            <w:tcW w:w="1247" w:type="dxa"/>
            <w:tcBorders>
              <w:top w:val="single" w:sz="4" w:space="0" w:color="E0DCCB" w:themeColor="accent4" w:themeTint="66"/>
              <w:left w:val="nil"/>
              <w:bottom w:val="single" w:sz="6" w:space="0" w:color="E0DCCB" w:themeColor="accent4" w:themeTint="66"/>
              <w:right w:val="single" w:sz="4" w:space="0" w:color="B2A97E" w:themeColor="accent4"/>
            </w:tcBorders>
            <w:shd w:val="clear" w:color="auto" w:fill="auto"/>
            <w:vAlign w:val="bottom"/>
          </w:tcPr>
          <w:p w:rsidR="004E5215" w:rsidRPr="004E5215" w:rsidRDefault="004E5215" w:rsidP="004E5215">
            <w:pPr>
              <w:pStyle w:val="Financials"/>
              <w:jc w:val="right"/>
              <w:rPr>
                <w:kern w:val="28"/>
                <w:sz w:val="20"/>
                <w:szCs w:val="20"/>
                <w:lang w:eastAsia="en-AU"/>
              </w:rPr>
            </w:pPr>
            <w:r w:rsidRPr="004E5215">
              <w:rPr>
                <w:b/>
                <w:kern w:val="28"/>
                <w:sz w:val="20"/>
                <w:szCs w:val="20"/>
                <w:lang w:eastAsia="en-AU"/>
              </w:rPr>
              <w:t>-</w:t>
            </w:r>
          </w:p>
        </w:tc>
        <w:tc>
          <w:tcPr>
            <w:tcW w:w="1247" w:type="dxa"/>
            <w:tcBorders>
              <w:top w:val="single" w:sz="4" w:space="0" w:color="FFFFFF" w:themeColor="background1"/>
              <w:left w:val="single" w:sz="4" w:space="0" w:color="B2A97E" w:themeColor="accent4"/>
              <w:bottom w:val="single" w:sz="6" w:space="0" w:color="E0DCCB" w:themeColor="accent4" w:themeTint="66"/>
              <w:right w:val="nil"/>
            </w:tcBorders>
            <w:shd w:val="clear" w:color="auto" w:fill="E0DCCB" w:themeFill="accent4" w:themeFillTint="66"/>
            <w:vAlign w:val="bottom"/>
          </w:tcPr>
          <w:p w:rsidR="004E5215" w:rsidRPr="004E5215" w:rsidRDefault="004E5215" w:rsidP="004E5215">
            <w:pPr>
              <w:pStyle w:val="Financials"/>
              <w:jc w:val="right"/>
              <w:rPr>
                <w:kern w:val="28"/>
                <w:sz w:val="20"/>
                <w:szCs w:val="20"/>
                <w:lang w:eastAsia="en-AU"/>
              </w:rPr>
            </w:pPr>
            <w:r w:rsidRPr="004E5215">
              <w:rPr>
                <w:b/>
                <w:kern w:val="28"/>
                <w:sz w:val="20"/>
                <w:szCs w:val="20"/>
                <w:lang w:eastAsia="en-AU"/>
              </w:rPr>
              <w:t>59,000</w:t>
            </w:r>
          </w:p>
        </w:tc>
        <w:tc>
          <w:tcPr>
            <w:tcW w:w="1247" w:type="dxa"/>
            <w:tcBorders>
              <w:top w:val="single" w:sz="4" w:space="0" w:color="E0DCCB" w:themeColor="accent4" w:themeTint="66"/>
              <w:left w:val="nil"/>
              <w:bottom w:val="single" w:sz="6" w:space="0" w:color="E0DCCB" w:themeColor="accent4" w:themeTint="66"/>
              <w:right w:val="nil"/>
            </w:tcBorders>
            <w:shd w:val="clear" w:color="auto" w:fill="auto"/>
            <w:vAlign w:val="bottom"/>
          </w:tcPr>
          <w:p w:rsidR="004E5215" w:rsidRPr="004E5215" w:rsidRDefault="004E5215" w:rsidP="004E5215">
            <w:pPr>
              <w:pStyle w:val="Financials"/>
              <w:jc w:val="right"/>
              <w:rPr>
                <w:kern w:val="28"/>
                <w:sz w:val="20"/>
                <w:szCs w:val="20"/>
                <w:lang w:eastAsia="en-AU"/>
              </w:rPr>
            </w:pPr>
            <w:r w:rsidRPr="004E5215">
              <w:rPr>
                <w:b/>
                <w:kern w:val="28"/>
                <w:sz w:val="20"/>
                <w:szCs w:val="20"/>
                <w:lang w:eastAsia="en-AU"/>
              </w:rPr>
              <w:t>-</w:t>
            </w:r>
          </w:p>
        </w:tc>
        <w:tc>
          <w:tcPr>
            <w:tcW w:w="1247" w:type="dxa"/>
            <w:tcBorders>
              <w:top w:val="single" w:sz="4" w:space="0" w:color="FFFFFF" w:themeColor="background1"/>
              <w:left w:val="nil"/>
              <w:bottom w:val="single" w:sz="6" w:space="0" w:color="E0DCCB" w:themeColor="accent4" w:themeTint="66"/>
              <w:right w:val="nil"/>
            </w:tcBorders>
            <w:shd w:val="clear" w:color="auto" w:fill="E0DCCB" w:themeFill="accent4" w:themeFillTint="66"/>
            <w:vAlign w:val="bottom"/>
          </w:tcPr>
          <w:p w:rsidR="004E5215" w:rsidRPr="004E5215" w:rsidRDefault="004E5215" w:rsidP="004E5215">
            <w:pPr>
              <w:pStyle w:val="Financials"/>
              <w:jc w:val="right"/>
              <w:rPr>
                <w:kern w:val="28"/>
                <w:sz w:val="20"/>
                <w:szCs w:val="20"/>
                <w:lang w:eastAsia="en-AU"/>
              </w:rPr>
            </w:pPr>
            <w:r w:rsidRPr="004E5215">
              <w:rPr>
                <w:b/>
                <w:kern w:val="28"/>
                <w:sz w:val="20"/>
                <w:szCs w:val="20"/>
                <w:lang w:eastAsia="en-AU"/>
              </w:rPr>
              <w:t>(59,000)</w:t>
            </w:r>
          </w:p>
        </w:tc>
      </w:tr>
    </w:tbl>
    <w:p w:rsidR="00D47D47" w:rsidRPr="007A586B" w:rsidRDefault="00D47D47" w:rsidP="00587B22">
      <w:pPr>
        <w:pStyle w:val="Financialfooter"/>
        <w:numPr>
          <w:ilvl w:val="0"/>
          <w:numId w:val="41"/>
        </w:numPr>
      </w:pPr>
      <w:r w:rsidRPr="007A586B">
        <w:t xml:space="preserve">New services were established in 2014-15. In previous years, Services 1 and 2 were combined as Service 1 and therefore there are no comparatives for the 2013-14 year. </w:t>
      </w:r>
    </w:p>
    <w:p w:rsidR="001B7742" w:rsidRDefault="004E5215" w:rsidP="00D47D47">
      <w:pPr>
        <w:spacing w:before="120"/>
        <w:ind w:left="360"/>
      </w:pPr>
      <w:r w:rsidRPr="00D47D47">
        <w:rPr>
          <w:rFonts w:cs="Arial"/>
          <w:sz w:val="20"/>
          <w:szCs w:val="20"/>
        </w:rPr>
        <w:t>Adjustments comprise movements in cash balances and other accrual items such as receivables, payables and superannuation.</w:t>
      </w:r>
      <w:r w:rsidR="00D47D47">
        <w:rPr>
          <w:rFonts w:cs="Arial"/>
          <w:sz w:val="20"/>
          <w:szCs w:val="20"/>
        </w:rPr>
        <w:t xml:space="preserve"> </w:t>
      </w:r>
      <w:r w:rsidRPr="004E5215">
        <w:rPr>
          <w:rFonts w:ascii="Arial" w:eastAsia="Times New Roman" w:hAnsi="Arial" w:cs="Arial"/>
          <w:sz w:val="20"/>
          <w:szCs w:val="20"/>
          <w:lang w:eastAsia="en-AU"/>
        </w:rPr>
        <w:t>Note 28 ’Explanatory statement’ provides details of any significant variations between estimates and actual results for 2015 and between the actual results for 2015 and 2014.</w:t>
      </w:r>
      <w:r w:rsidR="001B7742">
        <w:br w:type="page"/>
      </w:r>
    </w:p>
    <w:p w:rsidR="00E2543D" w:rsidRPr="005D6BC7" w:rsidRDefault="00E2543D" w:rsidP="00CD5EBF">
      <w:pPr>
        <w:pStyle w:val="Financialsheading1"/>
      </w:pPr>
      <w:bookmarkStart w:id="106" w:name="_Toc264895101"/>
      <w:bookmarkStart w:id="107" w:name="_Toc265493221"/>
      <w:bookmarkStart w:id="108" w:name="_Toc317590610"/>
      <w:bookmarkStart w:id="109" w:name="_Toc342048913"/>
      <w:bookmarkStart w:id="110" w:name="_Toc428279210"/>
      <w:r w:rsidRPr="005D6BC7">
        <w:lastRenderedPageBreak/>
        <w:t>Notes to the Financial Statements</w:t>
      </w:r>
      <w:bookmarkEnd w:id="106"/>
      <w:bookmarkEnd w:id="107"/>
      <w:bookmarkEnd w:id="108"/>
      <w:bookmarkEnd w:id="109"/>
      <w:bookmarkEnd w:id="110"/>
    </w:p>
    <w:p w:rsidR="00E2543D" w:rsidRPr="005D6BC7" w:rsidRDefault="00E2543D" w:rsidP="00CD5EBF">
      <w:pPr>
        <w:pStyle w:val="Financialsheading2"/>
      </w:pPr>
      <w:bookmarkStart w:id="111" w:name="_Toc425254048"/>
      <w:r w:rsidRPr="005D6BC7">
        <w:t>For the year ended 30 June 201</w:t>
      </w:r>
      <w:r>
        <w:t>5</w:t>
      </w:r>
      <w:bookmarkEnd w:id="111"/>
    </w:p>
    <w:p w:rsidR="00E2543D" w:rsidRPr="00984998" w:rsidRDefault="00E2543D" w:rsidP="00B35945">
      <w:pPr>
        <w:pStyle w:val="Financialsheading3"/>
      </w:pPr>
      <w:bookmarkStart w:id="112" w:name="_Toc317079349"/>
      <w:bookmarkStart w:id="113" w:name="_Toc317590611"/>
      <w:bookmarkStart w:id="114" w:name="_Toc427745917"/>
      <w:proofErr w:type="gramStart"/>
      <w:r w:rsidRPr="00984998">
        <w:t>Note 1.</w:t>
      </w:r>
      <w:proofErr w:type="gramEnd"/>
      <w:r w:rsidRPr="00984998">
        <w:t xml:space="preserve"> Australian Accounting Standards</w:t>
      </w:r>
      <w:bookmarkEnd w:id="112"/>
      <w:bookmarkEnd w:id="113"/>
      <w:bookmarkEnd w:id="114"/>
    </w:p>
    <w:p w:rsidR="00E2543D" w:rsidRPr="00CD5EBF" w:rsidRDefault="00E2543D" w:rsidP="008E0F75">
      <w:pPr>
        <w:pStyle w:val="Financialsheading4"/>
      </w:pPr>
      <w:bookmarkStart w:id="115" w:name="_Toc264275211"/>
      <w:bookmarkStart w:id="116" w:name="_Toc264895103"/>
      <w:bookmarkStart w:id="117" w:name="_Toc265493223"/>
      <w:bookmarkStart w:id="118" w:name="_Toc268084734"/>
      <w:bookmarkStart w:id="119" w:name="_Toc278880890"/>
      <w:bookmarkStart w:id="120" w:name="_Toc317079350"/>
      <w:bookmarkStart w:id="121" w:name="_Toc317590612"/>
      <w:r w:rsidRPr="00CD5EBF">
        <w:t>General</w:t>
      </w:r>
      <w:bookmarkEnd w:id="115"/>
      <w:bookmarkEnd w:id="116"/>
      <w:bookmarkEnd w:id="117"/>
      <w:bookmarkEnd w:id="118"/>
      <w:bookmarkEnd w:id="119"/>
      <w:bookmarkEnd w:id="120"/>
      <w:bookmarkEnd w:id="121"/>
    </w:p>
    <w:p w:rsidR="00E2543D" w:rsidRPr="00AF0A61" w:rsidRDefault="00E2543D" w:rsidP="00AF0A61">
      <w:pPr>
        <w:pStyle w:val="Financialnotes"/>
      </w:pPr>
      <w:r w:rsidRPr="00AF0A61">
        <w:t xml:space="preserve">The Department’s financial statements for the year ended 30 June 2015 have been prepared in accordance with Australian Accounting Standards. </w:t>
      </w:r>
      <w:proofErr w:type="gramStart"/>
      <w:r w:rsidRPr="00AF0A61">
        <w:t>The term ‘Australian Accounting Standards’ includes Standards and Interpretations issued by the Australian Accounting Standards Board (AASB).</w:t>
      </w:r>
      <w:proofErr w:type="gramEnd"/>
    </w:p>
    <w:p w:rsidR="00E2543D" w:rsidRPr="00AF0A61" w:rsidRDefault="00E2543D" w:rsidP="00AF0A61">
      <w:pPr>
        <w:pStyle w:val="Financialnotes"/>
      </w:pPr>
      <w:r w:rsidRPr="00AF0A61">
        <w:t>The Department has adopted any applicable new and revised Australian Accounting Standards from their operative dates.</w:t>
      </w:r>
    </w:p>
    <w:p w:rsidR="00E2543D" w:rsidRPr="009B3D89" w:rsidRDefault="00E2543D" w:rsidP="008E0F75">
      <w:pPr>
        <w:pStyle w:val="Financialsheading4"/>
      </w:pPr>
      <w:bookmarkStart w:id="122" w:name="_Toc264275212"/>
      <w:bookmarkStart w:id="123" w:name="_Toc264895104"/>
      <w:bookmarkStart w:id="124" w:name="_Toc265493224"/>
      <w:bookmarkStart w:id="125" w:name="_Toc268084735"/>
      <w:bookmarkStart w:id="126" w:name="_Toc278880891"/>
      <w:bookmarkStart w:id="127" w:name="_Toc317079351"/>
      <w:bookmarkStart w:id="128" w:name="_Toc317590613"/>
      <w:r w:rsidRPr="009B3D89">
        <w:t>Early adoption of standards</w:t>
      </w:r>
      <w:bookmarkEnd w:id="122"/>
      <w:bookmarkEnd w:id="123"/>
      <w:bookmarkEnd w:id="124"/>
      <w:bookmarkEnd w:id="125"/>
      <w:bookmarkEnd w:id="126"/>
      <w:bookmarkEnd w:id="127"/>
      <w:bookmarkEnd w:id="128"/>
    </w:p>
    <w:p w:rsidR="00E2543D" w:rsidRPr="008E0F75" w:rsidRDefault="00E2543D" w:rsidP="00AF0A61">
      <w:pPr>
        <w:pStyle w:val="Financialnotes"/>
      </w:pPr>
      <w:r w:rsidRPr="008E0F75">
        <w:t xml:space="preserve">The Department cannot early adopt an Australian Accounting Standard unless specifically permitted by TI 1101 </w:t>
      </w:r>
      <w:r w:rsidRPr="008E0F75">
        <w:rPr>
          <w:i/>
        </w:rPr>
        <w:t>Application of Australian Accounting Standards and Other Pronouncements</w:t>
      </w:r>
      <w:r w:rsidR="00AF0A61">
        <w:t>.</w:t>
      </w:r>
      <w:r w:rsidRPr="008E0F75">
        <w:t xml:space="preserve"> There has been no early adoption of Australian Accounting Standards</w:t>
      </w:r>
      <w:r w:rsidRPr="008E0F75" w:rsidDel="00674418">
        <w:t xml:space="preserve"> </w:t>
      </w:r>
      <w:r w:rsidRPr="008E0F75">
        <w:t>that have been issued or amended (but not operative) by the Department for the annual reporting period ended 30 June 2015.</w:t>
      </w:r>
    </w:p>
    <w:p w:rsidR="00E2543D" w:rsidRPr="00984998" w:rsidRDefault="00E2543D" w:rsidP="00B35945">
      <w:pPr>
        <w:pStyle w:val="Financialsheading3"/>
      </w:pPr>
      <w:bookmarkStart w:id="129" w:name="_Toc317079352"/>
      <w:bookmarkStart w:id="130" w:name="_Toc317590614"/>
      <w:bookmarkStart w:id="131" w:name="_Toc427745918"/>
      <w:proofErr w:type="gramStart"/>
      <w:r w:rsidRPr="00984998">
        <w:t>Note 2.</w:t>
      </w:r>
      <w:proofErr w:type="gramEnd"/>
      <w:r w:rsidRPr="00984998">
        <w:t xml:space="preserve"> Summary of significant accounting policies</w:t>
      </w:r>
      <w:bookmarkEnd w:id="129"/>
      <w:bookmarkEnd w:id="130"/>
      <w:bookmarkEnd w:id="131"/>
    </w:p>
    <w:p w:rsidR="00E2543D" w:rsidRPr="00984998" w:rsidRDefault="00E2543D" w:rsidP="008E0F75">
      <w:pPr>
        <w:pStyle w:val="Financialsheading4"/>
      </w:pPr>
      <w:bookmarkStart w:id="132" w:name="_Toc264275214"/>
      <w:bookmarkStart w:id="133" w:name="_Toc264895106"/>
      <w:bookmarkStart w:id="134" w:name="_Toc265493226"/>
      <w:bookmarkStart w:id="135" w:name="_Toc268084737"/>
      <w:bookmarkStart w:id="136" w:name="_Toc278880893"/>
      <w:bookmarkStart w:id="137" w:name="_Toc317079353"/>
      <w:bookmarkStart w:id="138" w:name="_Toc317590615"/>
      <w:r w:rsidRPr="00984998">
        <w:t>(a) General statement</w:t>
      </w:r>
      <w:bookmarkEnd w:id="132"/>
      <w:bookmarkEnd w:id="133"/>
      <w:bookmarkEnd w:id="134"/>
      <w:bookmarkEnd w:id="135"/>
      <w:bookmarkEnd w:id="136"/>
      <w:bookmarkEnd w:id="137"/>
      <w:bookmarkEnd w:id="138"/>
    </w:p>
    <w:p w:rsidR="00E2543D" w:rsidRPr="005D6BC7" w:rsidRDefault="00E2543D" w:rsidP="00AF0A61">
      <w:pPr>
        <w:pStyle w:val="Financialnotes"/>
      </w:pPr>
      <w:r w:rsidRPr="005D6BC7">
        <w:t>The Department is a not-for-profit reporting entity that prepares general purpose financial statements in accordance with Australian Accounting Standards, the Framework, Statements of Accounting Concepts and other authoritative pronouncements of the AASB as applied by the Treasurer's instructions. Several of these are modified by the Treasurer's instructions to vary application, disclosure, format and wording.</w:t>
      </w:r>
    </w:p>
    <w:p w:rsidR="00E2543D" w:rsidRPr="005D6BC7" w:rsidRDefault="00E2543D" w:rsidP="00AF0A61">
      <w:pPr>
        <w:pStyle w:val="Financialnotes"/>
      </w:pPr>
      <w:r w:rsidRPr="005D6BC7">
        <w:t xml:space="preserve">The </w:t>
      </w:r>
      <w:r w:rsidRPr="005D6BC7">
        <w:rPr>
          <w:i/>
        </w:rPr>
        <w:t>Financial Management Act</w:t>
      </w:r>
      <w:r w:rsidRPr="005D6BC7">
        <w:t xml:space="preserve"> and the Treasurer's instructions impose legislative provisions that govern the preparation of financial statements and take precedence over Australian Accounting Standards, the Framework, Statements of Accounting Concepts and other authoritative pronouncements of the AASB.</w:t>
      </w:r>
    </w:p>
    <w:p w:rsidR="00E2543D" w:rsidRPr="005D6BC7" w:rsidRDefault="00E2543D" w:rsidP="00AF0A61">
      <w:pPr>
        <w:pStyle w:val="Financialnotes"/>
      </w:pPr>
      <w:r w:rsidRPr="005D6BC7">
        <w:t>Where modification is required and has had a material or significant financial effect upon the reported results, details of that modification and the resulting financial effect are disclosed in the notes to the financial statements.</w:t>
      </w:r>
    </w:p>
    <w:p w:rsidR="00E2543D" w:rsidRPr="00984998" w:rsidRDefault="00E2543D" w:rsidP="008E0F75">
      <w:pPr>
        <w:pStyle w:val="Financialsheading4"/>
      </w:pPr>
      <w:bookmarkStart w:id="139" w:name="_Toc264275215"/>
      <w:bookmarkStart w:id="140" w:name="_Toc264895107"/>
      <w:bookmarkStart w:id="141" w:name="_Toc265493227"/>
      <w:bookmarkStart w:id="142" w:name="_Toc268084738"/>
      <w:bookmarkStart w:id="143" w:name="_Toc278880894"/>
      <w:bookmarkStart w:id="144" w:name="_Toc317079354"/>
      <w:bookmarkStart w:id="145" w:name="_Toc317590616"/>
      <w:r w:rsidRPr="00984998">
        <w:t>(b) Basis of preparation</w:t>
      </w:r>
      <w:bookmarkEnd w:id="139"/>
      <w:bookmarkEnd w:id="140"/>
      <w:bookmarkEnd w:id="141"/>
      <w:bookmarkEnd w:id="142"/>
      <w:bookmarkEnd w:id="143"/>
      <w:bookmarkEnd w:id="144"/>
      <w:bookmarkEnd w:id="145"/>
    </w:p>
    <w:p w:rsidR="00E2543D" w:rsidRPr="005D6BC7" w:rsidRDefault="00E2543D" w:rsidP="00AF0A61">
      <w:pPr>
        <w:pStyle w:val="Financialnotes"/>
      </w:pPr>
      <w:r w:rsidRPr="005D6BC7">
        <w:t>The financial statements have been prepared on the accrual basis of accounting using the historical cost convention.</w:t>
      </w:r>
    </w:p>
    <w:p w:rsidR="00E2543D" w:rsidRPr="005D6BC7" w:rsidRDefault="00E2543D" w:rsidP="00AF0A61">
      <w:pPr>
        <w:pStyle w:val="Financialnotes"/>
      </w:pPr>
      <w:r w:rsidRPr="005D6BC7">
        <w:t>The accounting policies adopted in the preparation of the financial statements have been consistently applied throughout all periods presented unless otherwise stated.</w:t>
      </w:r>
    </w:p>
    <w:p w:rsidR="00E2543D" w:rsidRPr="005D6BC7" w:rsidRDefault="00E2543D" w:rsidP="00AF0A61">
      <w:pPr>
        <w:pStyle w:val="Financialnotes"/>
      </w:pPr>
      <w:r w:rsidRPr="005D6BC7">
        <w:t>The financial statements are presented in Australian dollars and all values are rounded to the nearest dollar ($)</w:t>
      </w:r>
      <w:r w:rsidR="0012678E">
        <w:t xml:space="preserve"> and $</w:t>
      </w:r>
      <w:proofErr w:type="gramStart"/>
      <w:r w:rsidR="0012678E">
        <w:t>,000</w:t>
      </w:r>
      <w:proofErr w:type="gramEnd"/>
      <w:r w:rsidR="0012678E">
        <w:t xml:space="preserve"> for Note 28 and 29</w:t>
      </w:r>
      <w:r w:rsidRPr="005D6BC7">
        <w:t>.</w:t>
      </w:r>
    </w:p>
    <w:p w:rsidR="00E2543D" w:rsidRPr="005D6BC7" w:rsidRDefault="00E2543D" w:rsidP="00AF0A61">
      <w:pPr>
        <w:pStyle w:val="Financialnotes"/>
      </w:pPr>
      <w:r w:rsidRPr="005D6BC7">
        <w:lastRenderedPageBreak/>
        <w:t>There are no judgements made in the process of applying the Department’s accounting policies that have a significant effect on the amounts recognised in the financial statements.</w:t>
      </w:r>
    </w:p>
    <w:p w:rsidR="00E2543D" w:rsidRDefault="0012678E" w:rsidP="00AF0A61">
      <w:pPr>
        <w:pStyle w:val="Financialnotes"/>
      </w:pPr>
      <w:r>
        <w:t xml:space="preserve">Note </w:t>
      </w:r>
      <w:r w:rsidR="00E2543D" w:rsidRPr="005D6BC7">
        <w:t>3 ‘Key sources of estimation uncertainty’ discloses key assumptions made concerning the future, and other key sources of estimation uncertainty at the end of the reporting period, that have a significant risk of causing a material adjustment to the carrying amounts of assets and liabilities within the next financial year.</w:t>
      </w:r>
    </w:p>
    <w:p w:rsidR="00E2543D" w:rsidRPr="00984998" w:rsidRDefault="00E2543D" w:rsidP="00AF0A61">
      <w:pPr>
        <w:pStyle w:val="Financialsheading4"/>
      </w:pPr>
      <w:bookmarkStart w:id="146" w:name="_Toc264275216"/>
      <w:bookmarkStart w:id="147" w:name="_Toc264895108"/>
      <w:bookmarkStart w:id="148" w:name="_Toc265493228"/>
      <w:bookmarkStart w:id="149" w:name="_Toc268084739"/>
      <w:bookmarkStart w:id="150" w:name="_Toc278880895"/>
      <w:bookmarkStart w:id="151" w:name="_Toc317079355"/>
      <w:bookmarkStart w:id="152" w:name="_Toc317590617"/>
      <w:r w:rsidRPr="00984998">
        <w:t>(c) Reporting entity</w:t>
      </w:r>
      <w:bookmarkEnd w:id="146"/>
      <w:bookmarkEnd w:id="147"/>
      <w:bookmarkEnd w:id="148"/>
      <w:bookmarkEnd w:id="149"/>
      <w:bookmarkEnd w:id="150"/>
      <w:bookmarkEnd w:id="151"/>
      <w:bookmarkEnd w:id="152"/>
    </w:p>
    <w:p w:rsidR="00E2543D" w:rsidRPr="00AF0A61" w:rsidRDefault="00E2543D" w:rsidP="00504CC3">
      <w:pPr>
        <w:pStyle w:val="Financialsheading5"/>
      </w:pPr>
      <w:r w:rsidRPr="00AF0A61">
        <w:t>Mission</w:t>
      </w:r>
    </w:p>
    <w:p w:rsidR="00E2543D" w:rsidRPr="005D6BC7" w:rsidRDefault="00E2543D" w:rsidP="00AF0A61">
      <w:pPr>
        <w:pStyle w:val="Financialnotes"/>
      </w:pPr>
      <w:r w:rsidRPr="005D6BC7">
        <w:t>The Department's mission is to support the work of the EPA by providing rigorous environmental impact assessment advice and policies, and to undertake effective compliance audits.</w:t>
      </w:r>
    </w:p>
    <w:p w:rsidR="00E2543D" w:rsidRPr="005D6BC7" w:rsidRDefault="00E2543D" w:rsidP="00AF0A61">
      <w:pPr>
        <w:pStyle w:val="Financialnotes"/>
      </w:pPr>
      <w:r w:rsidRPr="005D6BC7">
        <w:t>The Department is predominantly funded by Parliamentary appropriations. It does not provide services on a fee-for-service basis. The financial statements encompass all funds through which the Department controls resources to carry on its functions.</w:t>
      </w:r>
    </w:p>
    <w:p w:rsidR="00E2543D" w:rsidRPr="00AF0A61" w:rsidRDefault="00E2543D" w:rsidP="00504CC3">
      <w:pPr>
        <w:pStyle w:val="Financialsheading5"/>
      </w:pPr>
      <w:r w:rsidRPr="00AF0A61">
        <w:t>Services</w:t>
      </w:r>
    </w:p>
    <w:p w:rsidR="0012678E" w:rsidRPr="007A4DA9" w:rsidRDefault="0012678E" w:rsidP="0012678E">
      <w:pPr>
        <w:pStyle w:val="Financialnotes"/>
      </w:pPr>
      <w:r>
        <w:t xml:space="preserve">The OEPA’s management framework is consistent with the Government goal for social and environmental responsibility, </w:t>
      </w:r>
      <w:r w:rsidRPr="007A4DA9">
        <w:t xml:space="preserve">which is to ensure that economic activity is managed in a socially and environmentally responsible manner for the long-term benefit of the State. </w:t>
      </w:r>
    </w:p>
    <w:p w:rsidR="0012678E" w:rsidRDefault="0012678E" w:rsidP="0012678E">
      <w:pPr>
        <w:pStyle w:val="Financialnotes"/>
      </w:pPr>
      <w:r w:rsidRPr="007A4DA9">
        <w:t>The desired outcome is provision of quality advice to the EPA and the Minister for Environment on significant proposals, compliance and environmental issues.</w:t>
      </w:r>
    </w:p>
    <w:p w:rsidR="0012678E" w:rsidRDefault="0012678E" w:rsidP="0012678E">
      <w:pPr>
        <w:pStyle w:val="Financialnotes"/>
      </w:pPr>
      <w:r w:rsidRPr="00D02ED8">
        <w:t>New K</w:t>
      </w:r>
      <w:r>
        <w:t xml:space="preserve">ey </w:t>
      </w:r>
      <w:r w:rsidRPr="00D02ED8">
        <w:t>P</w:t>
      </w:r>
      <w:r>
        <w:t xml:space="preserve">erformance </w:t>
      </w:r>
      <w:r w:rsidRPr="00D02ED8">
        <w:t>I</w:t>
      </w:r>
      <w:r>
        <w:t>ndicators approved by the Under Treasurer on 22 January 2014 and applied for</w:t>
      </w:r>
      <w:r w:rsidRPr="00D02ED8">
        <w:t xml:space="preserve"> 2014–15.</w:t>
      </w:r>
      <w:r>
        <w:t xml:space="preserve"> </w:t>
      </w:r>
    </w:p>
    <w:p w:rsidR="00E2543D" w:rsidRPr="005D6BC7" w:rsidRDefault="00E2543D" w:rsidP="0012678E">
      <w:pPr>
        <w:pStyle w:val="Financialnotes"/>
      </w:pPr>
      <w:r w:rsidRPr="005D6BC7">
        <w:t>The Department provides the following services:</w:t>
      </w:r>
    </w:p>
    <w:p w:rsidR="00E2543D" w:rsidRPr="00AF0A61" w:rsidRDefault="00E2543D" w:rsidP="008D4CEC">
      <w:pPr>
        <w:pStyle w:val="Financialnotes"/>
        <w:numPr>
          <w:ilvl w:val="0"/>
          <w:numId w:val="6"/>
        </w:numPr>
        <w:rPr>
          <w:i/>
          <w:iCs/>
        </w:rPr>
      </w:pPr>
      <w:bookmarkStart w:id="153" w:name="_Toc317079356"/>
      <w:bookmarkStart w:id="154" w:name="_Toc317590618"/>
      <w:r w:rsidRPr="00AF0A61">
        <w:rPr>
          <w:i/>
          <w:iCs/>
        </w:rPr>
        <w:t>Environmental Impact Assessment Services to the EPA</w:t>
      </w:r>
    </w:p>
    <w:p w:rsidR="00E2543D" w:rsidRPr="00AF0A61" w:rsidRDefault="00E2543D" w:rsidP="008D4CEC">
      <w:pPr>
        <w:pStyle w:val="Financialnotes"/>
        <w:numPr>
          <w:ilvl w:val="0"/>
          <w:numId w:val="6"/>
        </w:numPr>
        <w:rPr>
          <w:i/>
          <w:iCs/>
        </w:rPr>
      </w:pPr>
      <w:r w:rsidRPr="00AF0A61">
        <w:rPr>
          <w:i/>
          <w:iCs/>
        </w:rPr>
        <w:t>Environmental Management Services to the EPA</w:t>
      </w:r>
    </w:p>
    <w:p w:rsidR="00E2543D" w:rsidRPr="00AF0A61" w:rsidRDefault="00E2543D" w:rsidP="008D4CEC">
      <w:pPr>
        <w:pStyle w:val="Financialnotes"/>
        <w:numPr>
          <w:ilvl w:val="0"/>
          <w:numId w:val="6"/>
        </w:numPr>
        <w:spacing w:after="240"/>
        <w:ind w:left="2137" w:hanging="357"/>
        <w:rPr>
          <w:i/>
          <w:iCs/>
          <w:lang w:eastAsia="en-AU"/>
        </w:rPr>
      </w:pPr>
      <w:r w:rsidRPr="00AF0A61">
        <w:rPr>
          <w:i/>
          <w:iCs/>
        </w:rPr>
        <w:t>Compliance Monitoring Services to the Minister</w:t>
      </w:r>
    </w:p>
    <w:p w:rsidR="00E2543D" w:rsidRPr="00984998" w:rsidRDefault="00E2543D" w:rsidP="00504CC3">
      <w:pPr>
        <w:pStyle w:val="Financialsheading4"/>
      </w:pPr>
      <w:r w:rsidRPr="00984998">
        <w:t>(d) Contributed equity</w:t>
      </w:r>
      <w:bookmarkEnd w:id="153"/>
      <w:bookmarkEnd w:id="154"/>
    </w:p>
    <w:p w:rsidR="00E2543D" w:rsidRPr="005D6BC7" w:rsidRDefault="00E2543D" w:rsidP="00AF0A61">
      <w:pPr>
        <w:pStyle w:val="Financialnotes"/>
      </w:pPr>
      <w:r w:rsidRPr="005D6BC7">
        <w:t xml:space="preserve">AASB Interpretation 1038 </w:t>
      </w:r>
      <w:r w:rsidRPr="005D6BC7">
        <w:rPr>
          <w:i/>
        </w:rPr>
        <w:t>Contributions by Owners Made to Wholly-Owned Public Sector Entities</w:t>
      </w:r>
      <w:r w:rsidRPr="005D6BC7">
        <w:t xml:space="preserve"> requires transfers in the nature of equity contributions, other than as a result of a restructure of administrative arrangements, to be designated by the Government (the owner) as contributions by owners (at the time of, or prior to transfer) before such transfers can be recognised as equity contributions. Capital appropriations have been designated as contributions by owners by TI 955 </w:t>
      </w:r>
      <w:r w:rsidRPr="005D6BC7">
        <w:rPr>
          <w:i/>
        </w:rPr>
        <w:t>Contributions by Owners made to Wholly Owned Public Sector Entities</w:t>
      </w:r>
      <w:r w:rsidRPr="005D6BC7">
        <w:t xml:space="preserve"> and have been credited directly to Contributed equity.</w:t>
      </w:r>
    </w:p>
    <w:p w:rsidR="00E2543D" w:rsidRPr="005D6BC7" w:rsidRDefault="00E2543D" w:rsidP="00504CC3">
      <w:pPr>
        <w:pStyle w:val="Financialnotes"/>
      </w:pPr>
      <w:r w:rsidRPr="005D6BC7">
        <w:t>The transfers of net assets to/from other agencies, other than as a result of a restructure of administrative arrangements, are designated as contributions by owners where the transfers are non-discretionary and non-reciprocal.</w:t>
      </w:r>
    </w:p>
    <w:p w:rsidR="0029744D" w:rsidRDefault="0029744D" w:rsidP="00504CC3">
      <w:pPr>
        <w:pStyle w:val="Financialsheading4"/>
      </w:pPr>
      <w:r>
        <w:br w:type="page"/>
      </w:r>
    </w:p>
    <w:p w:rsidR="00E2543D" w:rsidRPr="00984998" w:rsidRDefault="00E2543D" w:rsidP="00504CC3">
      <w:pPr>
        <w:pStyle w:val="Financialsheading4"/>
      </w:pPr>
      <w:r w:rsidRPr="00984998">
        <w:lastRenderedPageBreak/>
        <w:t>(e) Income</w:t>
      </w:r>
    </w:p>
    <w:p w:rsidR="00E2543D" w:rsidRPr="00504CC3" w:rsidRDefault="00E2543D" w:rsidP="00504CC3">
      <w:pPr>
        <w:pStyle w:val="Financialsheading5"/>
      </w:pPr>
      <w:r w:rsidRPr="00504CC3">
        <w:t>Revenue recognition</w:t>
      </w:r>
    </w:p>
    <w:p w:rsidR="00E2543D" w:rsidRPr="005D6BC7" w:rsidRDefault="00E2543D" w:rsidP="00AF0A61">
      <w:pPr>
        <w:pStyle w:val="Financialnotes"/>
      </w:pPr>
      <w:r w:rsidRPr="005D6BC7">
        <w:t>Revenue is recognised and measured at the fair value of consideration received or receivable. Revenue is recognised for the major business activities as follows:</w:t>
      </w:r>
    </w:p>
    <w:p w:rsidR="00E2543D" w:rsidRPr="00504CC3" w:rsidRDefault="00E2543D" w:rsidP="00B35945">
      <w:pPr>
        <w:pStyle w:val="Financialsheading6"/>
      </w:pPr>
      <w:r w:rsidRPr="00504CC3">
        <w:t>Service appropriations</w:t>
      </w:r>
    </w:p>
    <w:p w:rsidR="00E2543D" w:rsidRPr="005D6BC7" w:rsidRDefault="00E2543D" w:rsidP="00AF0A61">
      <w:pPr>
        <w:pStyle w:val="Financialnotes"/>
      </w:pPr>
      <w:r w:rsidRPr="005D6BC7">
        <w:t>Service Appropriations are recognised as revenues at fair value in the period in which the Department gains control of the appropriated funds. The Department gains control of appropriated funds at the time those funds are deposited to the bank account or credited to the ‘Amounts receivable for services’ (holding account) held at Treasury.</w:t>
      </w:r>
    </w:p>
    <w:p w:rsidR="00E2543D" w:rsidRPr="00504CC3" w:rsidRDefault="00E2543D" w:rsidP="00B35945">
      <w:pPr>
        <w:pStyle w:val="Financialsheading6"/>
      </w:pPr>
      <w:r w:rsidRPr="00504CC3">
        <w:t>Grants, donations, gifts and other non-reciprocal contributions</w:t>
      </w:r>
    </w:p>
    <w:p w:rsidR="00E2543D" w:rsidRPr="005D6BC7" w:rsidRDefault="00E2543D" w:rsidP="00AF0A61">
      <w:pPr>
        <w:pStyle w:val="Financialnotes"/>
      </w:pPr>
      <w:r w:rsidRPr="005D6BC7">
        <w:t>Revenue is recognised at fair value when the Department obtains control over the assets comprising the contributions, usually when cash is received.</w:t>
      </w:r>
    </w:p>
    <w:p w:rsidR="00E2543D" w:rsidRPr="005D6BC7" w:rsidRDefault="00E2543D" w:rsidP="00AF0A61">
      <w:pPr>
        <w:pStyle w:val="Financialnotes"/>
      </w:pPr>
      <w:r w:rsidRPr="005D6BC7">
        <w:t>Other non-reciprocal contributions that are not contributions by owners are recognised at their fair value. Contributions of services are only recognised when a fair value can be reliably determined and the services would be purchased if not donated.</w:t>
      </w:r>
    </w:p>
    <w:p w:rsidR="00E2543D" w:rsidRPr="005D6BC7" w:rsidRDefault="00E2543D" w:rsidP="00AF0A61">
      <w:pPr>
        <w:pStyle w:val="Financialnotes"/>
      </w:pPr>
      <w:r w:rsidRPr="005D6BC7">
        <w:t>Royalties for Regions funds are recognised as revenue at fair value in the period in which the Department obtains control over the funds. The Department obtains control of the funds at the time the funds are deposited into the Department’s bank account.</w:t>
      </w:r>
    </w:p>
    <w:p w:rsidR="00E2543D" w:rsidRPr="00504CC3" w:rsidRDefault="00E2543D" w:rsidP="00504CC3">
      <w:pPr>
        <w:pStyle w:val="Financialsheading5"/>
      </w:pPr>
      <w:r w:rsidRPr="00504CC3">
        <w:t>Gains</w:t>
      </w:r>
    </w:p>
    <w:p w:rsidR="00E2543D" w:rsidRPr="005D6BC7" w:rsidRDefault="00E2543D" w:rsidP="00AF0A61">
      <w:pPr>
        <w:pStyle w:val="Financialnotes"/>
      </w:pPr>
      <w:r w:rsidRPr="005D6BC7">
        <w:t>Realised and unrealised gains are usually recognised on a net basis. These include gains arising on the disposal of non-current assets.</w:t>
      </w:r>
    </w:p>
    <w:p w:rsidR="00E2543D" w:rsidRPr="00984998" w:rsidRDefault="00E2543D" w:rsidP="00504CC3">
      <w:pPr>
        <w:pStyle w:val="Financialsheading4"/>
      </w:pPr>
      <w:bookmarkStart w:id="155" w:name="_Toc317079359"/>
      <w:bookmarkStart w:id="156" w:name="_Toc317590621"/>
      <w:r w:rsidRPr="00984998">
        <w:t>(f) Plant and equipment</w:t>
      </w:r>
      <w:bookmarkEnd w:id="155"/>
      <w:bookmarkEnd w:id="156"/>
    </w:p>
    <w:p w:rsidR="00E2543D" w:rsidRPr="00504CC3" w:rsidRDefault="00E2543D" w:rsidP="00504CC3">
      <w:pPr>
        <w:pStyle w:val="Financialsheading5"/>
      </w:pPr>
      <w:r w:rsidRPr="00504CC3">
        <w:t>Capitalisation/expensing of assets</w:t>
      </w:r>
    </w:p>
    <w:p w:rsidR="00E2543D" w:rsidRPr="005D6BC7" w:rsidRDefault="00E2543D" w:rsidP="00AF0A61">
      <w:pPr>
        <w:pStyle w:val="Financialnotes"/>
      </w:pPr>
      <w:r w:rsidRPr="005D6BC7">
        <w:t>Items of plant and equipment costing $5,000 or more are recognised as assets and the cost of utilising assets is expensed (depreciated) over their useful lives. Items of plant and equipment costing less than $5,000 are immediately expensed direct to the Statement of Comprehensive Income (other than where they form part of a group of similar items which are significant in total).</w:t>
      </w:r>
    </w:p>
    <w:p w:rsidR="00E2543D" w:rsidRPr="00244E05" w:rsidRDefault="00E2543D" w:rsidP="00E966EA">
      <w:pPr>
        <w:pStyle w:val="Financialsheading5"/>
      </w:pPr>
      <w:r w:rsidRPr="00244E05">
        <w:t>Initial recognition and measurement</w:t>
      </w:r>
    </w:p>
    <w:p w:rsidR="00E2543D" w:rsidRPr="005D6BC7" w:rsidRDefault="00E2543D" w:rsidP="00AF0A61">
      <w:pPr>
        <w:pStyle w:val="Financialnotes"/>
      </w:pPr>
      <w:r w:rsidRPr="005D6BC7">
        <w:t>Plant and equipment are initially recognised at cost.</w:t>
      </w:r>
    </w:p>
    <w:p w:rsidR="00E2543D" w:rsidRPr="005D6BC7" w:rsidRDefault="00E2543D" w:rsidP="00AF0A61">
      <w:pPr>
        <w:pStyle w:val="Financialnotes"/>
      </w:pPr>
      <w:r w:rsidRPr="005D6BC7">
        <w:t>For items of plant and equipment acquired at no cost or for nominal cost, the cost is the fair value at the date of acquisition.</w:t>
      </w:r>
    </w:p>
    <w:p w:rsidR="00E2543D" w:rsidRPr="00244E05" w:rsidRDefault="00E2543D" w:rsidP="00E966EA">
      <w:pPr>
        <w:pStyle w:val="Financialsheading5"/>
      </w:pPr>
      <w:r w:rsidRPr="00244E05">
        <w:t>Subsequent measurement</w:t>
      </w:r>
    </w:p>
    <w:p w:rsidR="00E2543D" w:rsidRPr="005D6BC7" w:rsidRDefault="00E2543D" w:rsidP="00AF0A61">
      <w:pPr>
        <w:pStyle w:val="Financialnotes"/>
      </w:pPr>
      <w:r w:rsidRPr="005D6BC7">
        <w:t>Subsequent to initial recognition of an asset, historical cost is used for all plant and equipment. All items of plant and equipment are stated at historical cost less accumulated depreciation and accumulated impairment losses.</w:t>
      </w:r>
    </w:p>
    <w:p w:rsidR="00AE7C44" w:rsidRDefault="00AE7C44" w:rsidP="00E966EA">
      <w:pPr>
        <w:pStyle w:val="Financialsheading5"/>
      </w:pPr>
      <w:r>
        <w:br w:type="page"/>
      </w:r>
    </w:p>
    <w:p w:rsidR="00E2543D" w:rsidRPr="00244E05" w:rsidRDefault="00E2543D" w:rsidP="00E966EA">
      <w:pPr>
        <w:pStyle w:val="Financialsheading5"/>
      </w:pPr>
      <w:proofErr w:type="spellStart"/>
      <w:r w:rsidRPr="00244E05">
        <w:lastRenderedPageBreak/>
        <w:t>Derecognition</w:t>
      </w:r>
      <w:proofErr w:type="spellEnd"/>
    </w:p>
    <w:p w:rsidR="00E2543D" w:rsidRPr="005D6BC7" w:rsidRDefault="00E2543D" w:rsidP="00AF0A61">
      <w:pPr>
        <w:pStyle w:val="Financialnotes"/>
      </w:pPr>
      <w:r w:rsidRPr="005D6BC7">
        <w:t xml:space="preserve">Upon disposal or </w:t>
      </w:r>
      <w:proofErr w:type="spellStart"/>
      <w:r w:rsidRPr="005D6BC7">
        <w:t>derecognition</w:t>
      </w:r>
      <w:proofErr w:type="spellEnd"/>
      <w:r w:rsidRPr="005D6BC7">
        <w:t xml:space="preserve"> of an item of plant and equipment, any gain or loss is shown in the statement of Comprehensive Income.</w:t>
      </w:r>
    </w:p>
    <w:p w:rsidR="00E2543D" w:rsidRPr="00244E05" w:rsidRDefault="00E2543D" w:rsidP="00E966EA">
      <w:pPr>
        <w:pStyle w:val="Financialsheading5"/>
      </w:pPr>
      <w:r w:rsidRPr="00244E05">
        <w:t>Depreciation</w:t>
      </w:r>
    </w:p>
    <w:p w:rsidR="00E2543D" w:rsidRPr="005D6BC7" w:rsidRDefault="00E2543D" w:rsidP="00AF0A61">
      <w:pPr>
        <w:pStyle w:val="Financialnotes"/>
      </w:pPr>
      <w:r w:rsidRPr="005D6BC7">
        <w:t>All non-current assets having a limited useful life are systematically depreciated over their estimated useful lives in a manner that reflects the consumption of their future economic benefits.</w:t>
      </w:r>
    </w:p>
    <w:p w:rsidR="00E2543D" w:rsidRPr="005D6BC7" w:rsidRDefault="00E2543D" w:rsidP="00AF0A61">
      <w:pPr>
        <w:pStyle w:val="Financialnotes"/>
      </w:pPr>
      <w:r w:rsidRPr="005D6BC7">
        <w:t>Depreciation is calculated using the straight line method, using rates which are reviewed annually. Estimated useful lives for each class of depreciable asset are:</w:t>
      </w:r>
    </w:p>
    <w:p w:rsidR="00E2543D" w:rsidRPr="005D6BC7" w:rsidRDefault="00E2543D" w:rsidP="00AF0A61">
      <w:pPr>
        <w:pStyle w:val="Financialnotes"/>
      </w:pPr>
      <w:r w:rsidRPr="005D6BC7">
        <w:t xml:space="preserve">Other plant and equipment </w:t>
      </w:r>
      <w:r w:rsidRPr="005D6BC7">
        <w:tab/>
        <w:t>5 to 20 years</w:t>
      </w:r>
    </w:p>
    <w:p w:rsidR="00E2543D" w:rsidRPr="005D6BC7" w:rsidRDefault="00E2543D" w:rsidP="00AF0A61">
      <w:pPr>
        <w:pStyle w:val="Financialnotes"/>
      </w:pPr>
      <w:r w:rsidRPr="005D6BC7">
        <w:t>Information Technology</w:t>
      </w:r>
      <w:r w:rsidR="00AE7C44">
        <w:tab/>
      </w:r>
      <w:r w:rsidRPr="005D6BC7">
        <w:t>3 to 4 years</w:t>
      </w:r>
    </w:p>
    <w:p w:rsidR="00E2543D" w:rsidRPr="005D6BC7" w:rsidRDefault="00E2543D" w:rsidP="00AF0A61">
      <w:pPr>
        <w:pStyle w:val="Financialnotes"/>
      </w:pPr>
      <w:r w:rsidRPr="005D6BC7">
        <w:t>Marine equipment</w:t>
      </w:r>
      <w:r w:rsidRPr="005D6BC7">
        <w:tab/>
      </w:r>
      <w:r w:rsidRPr="005D6BC7">
        <w:tab/>
        <w:t>3 to 10 years</w:t>
      </w:r>
    </w:p>
    <w:p w:rsidR="00E2543D" w:rsidRPr="008A0D26" w:rsidRDefault="00E2543D" w:rsidP="00E966EA">
      <w:pPr>
        <w:pStyle w:val="Financialsheading4"/>
      </w:pPr>
      <w:bookmarkStart w:id="157" w:name="_Toc317079360"/>
      <w:bookmarkStart w:id="158" w:name="_Toc317590622"/>
      <w:r w:rsidRPr="008A0D26">
        <w:t>(g) Intangible assets</w:t>
      </w:r>
      <w:bookmarkEnd w:id="157"/>
      <w:bookmarkEnd w:id="158"/>
    </w:p>
    <w:p w:rsidR="00E2543D" w:rsidRPr="00244E05" w:rsidRDefault="00E2543D" w:rsidP="00E966EA">
      <w:pPr>
        <w:pStyle w:val="Financialsheading5"/>
      </w:pPr>
      <w:r w:rsidRPr="00244E05">
        <w:t>Capitalisation/expensing of assets</w:t>
      </w:r>
    </w:p>
    <w:p w:rsidR="00E2543D" w:rsidRPr="005D6BC7" w:rsidRDefault="00E2543D" w:rsidP="00AF0A61">
      <w:pPr>
        <w:pStyle w:val="Financialnotes"/>
      </w:pPr>
      <w:r w:rsidRPr="005D6BC7">
        <w:t>Acquisitions of intangible assets costing $5,000 or more and internally generated intangible assets costing $50,000 or more are capitalised. The cost of utilising the assets is expensed (amortised) over their useful lives. Costs incurred below these thresholds are immediately expensed directly to the Statement of Comprehensive Income.</w:t>
      </w:r>
    </w:p>
    <w:p w:rsidR="00E2543D" w:rsidRPr="005D6BC7" w:rsidRDefault="00E2543D" w:rsidP="00AF0A61">
      <w:pPr>
        <w:pStyle w:val="Financialnotes"/>
      </w:pPr>
      <w:r w:rsidRPr="005D6BC7">
        <w:t>Intangible assets are initially recognised at cost. For assets acquired at no cost or for nominal cost, the cost is their fair value at the date of acquisition.</w:t>
      </w:r>
    </w:p>
    <w:p w:rsidR="00E2543D" w:rsidRPr="005D6BC7" w:rsidRDefault="00E2543D" w:rsidP="00AF0A61">
      <w:pPr>
        <w:pStyle w:val="Financialnotes"/>
      </w:pPr>
      <w:r w:rsidRPr="005D6BC7">
        <w:t>The cost model is applied for subsequent measurement requiring the asset to be carried at cost less any accumulated amortisation and accumulated impairment losses.</w:t>
      </w:r>
    </w:p>
    <w:p w:rsidR="00E2543D" w:rsidRPr="005D6BC7" w:rsidRDefault="00E2543D" w:rsidP="00AF0A61">
      <w:pPr>
        <w:pStyle w:val="Financialnotes"/>
      </w:pPr>
      <w:r w:rsidRPr="005D6BC7">
        <w:t>Amortisation for intangible assets with finite useful lives is calculated for the period of the expected benefit (estimated useful life which is reviewed annually) on the straight line basis. All intangible assets controlled by the Department have a finite useful life and zero residual value.</w:t>
      </w:r>
    </w:p>
    <w:p w:rsidR="00E2543D" w:rsidRPr="005D6BC7" w:rsidRDefault="00E2543D" w:rsidP="00AF0A61">
      <w:pPr>
        <w:pStyle w:val="Financialnotes"/>
      </w:pPr>
      <w:r w:rsidRPr="005D6BC7">
        <w:t>The expected useful lives for each class of intangible asset are:</w:t>
      </w:r>
    </w:p>
    <w:p w:rsidR="00E2543D" w:rsidRPr="005D6BC7" w:rsidRDefault="00E2543D" w:rsidP="00AF0A61">
      <w:pPr>
        <w:pStyle w:val="Financialnotes"/>
      </w:pPr>
      <w:proofErr w:type="gramStart"/>
      <w:r w:rsidRPr="005D6BC7">
        <w:t>Software</w:t>
      </w:r>
      <w:r w:rsidRPr="005D6BC7">
        <w:rPr>
          <w:vertAlign w:val="superscript"/>
        </w:rPr>
        <w:t>(</w:t>
      </w:r>
      <w:proofErr w:type="gramEnd"/>
      <w:r w:rsidRPr="005D6BC7">
        <w:rPr>
          <w:vertAlign w:val="superscript"/>
        </w:rPr>
        <w:t>a)</w:t>
      </w:r>
      <w:r>
        <w:rPr>
          <w:vertAlign w:val="superscript"/>
        </w:rPr>
        <w:tab/>
      </w:r>
      <w:r>
        <w:rPr>
          <w:vertAlign w:val="superscript"/>
        </w:rPr>
        <w:tab/>
      </w:r>
      <w:r w:rsidRPr="005D6BC7">
        <w:t>3 to 5 years</w:t>
      </w:r>
    </w:p>
    <w:p w:rsidR="00E2543D" w:rsidRPr="00E966EA" w:rsidRDefault="00E2543D" w:rsidP="00AF0A61">
      <w:pPr>
        <w:pStyle w:val="Financialnotes"/>
        <w:rPr>
          <w:sz w:val="20"/>
          <w:szCs w:val="20"/>
        </w:rPr>
      </w:pPr>
      <w:r w:rsidRPr="00E966EA">
        <w:rPr>
          <w:sz w:val="20"/>
          <w:szCs w:val="20"/>
        </w:rPr>
        <w:t>(a)  Software that is not integral to the operation of any related hardware.</w:t>
      </w:r>
    </w:p>
    <w:p w:rsidR="00E2543D" w:rsidRPr="00244E05" w:rsidRDefault="00E2543D" w:rsidP="00E966EA">
      <w:pPr>
        <w:pStyle w:val="Financialsheading5"/>
      </w:pPr>
      <w:r w:rsidRPr="00244E05">
        <w:t>Computer software</w:t>
      </w:r>
    </w:p>
    <w:p w:rsidR="00E2543D" w:rsidRPr="005D6BC7" w:rsidRDefault="00E2543D" w:rsidP="00AF0A61">
      <w:pPr>
        <w:pStyle w:val="Financialnotes"/>
      </w:pPr>
      <w:r w:rsidRPr="005D6BC7">
        <w:t>Software that is an integral part of the related hardware is recognised as plant and equipment. Software that is not an integral part of the related hardware is recognised as an intangible asset. Software costing less than $5,000 is expensed in the year of acquisition.</w:t>
      </w:r>
    </w:p>
    <w:p w:rsidR="00E2543D" w:rsidRPr="008A0D26" w:rsidRDefault="00E2543D" w:rsidP="00E966EA">
      <w:pPr>
        <w:pStyle w:val="Financialsheading4"/>
      </w:pPr>
      <w:bookmarkStart w:id="159" w:name="_Toc317079361"/>
      <w:bookmarkStart w:id="160" w:name="_Toc317590623"/>
      <w:r w:rsidRPr="008A0D26">
        <w:t>(h) Impairment of assets</w:t>
      </w:r>
      <w:bookmarkEnd w:id="159"/>
      <w:bookmarkEnd w:id="160"/>
    </w:p>
    <w:p w:rsidR="009A4776" w:rsidRPr="005D6BC7" w:rsidRDefault="009A4776" w:rsidP="009A4776">
      <w:pPr>
        <w:pStyle w:val="Financialnotes"/>
      </w:pPr>
      <w:r w:rsidRPr="005D6BC7">
        <w:t xml:space="preserve">Plant and equipment and intangible assets are tested for any indication of impairment at the end of each reporting period. Where there is an indication of impairment, the recoverable amount is estimated. Where the recoverable amount is less than the carrying amount, the asset is considered impaired and is written down to the recoverable amount and an impairment loss is recognised. Where an asset measured at </w:t>
      </w:r>
      <w:r w:rsidRPr="005D6BC7">
        <w:lastRenderedPageBreak/>
        <w:t>cost is written down to recoverable amount, an impairment loss is recognised in profit or loss. As the Department is a not-for-profit entity, unless an asset has been identified as a surplus asset, the recoverable amount is the higher of an asset’s fair value less costs to sell and depreciated replacement cost.</w:t>
      </w:r>
    </w:p>
    <w:p w:rsidR="00E2543D" w:rsidRPr="005D6BC7" w:rsidRDefault="009A4776" w:rsidP="009A4776">
      <w:pPr>
        <w:pStyle w:val="Financialnotes"/>
      </w:pPr>
      <w:r w:rsidRPr="005D6BC7">
        <w:t>The risk of impairment is generally limited to circumstances where an asset’s depreciation is materially understated, where the replacement cost is falling or where there is a significant change in useful life. Each relevant class of assets is reviewed annually to verify that the accumulated depreciation/amortisation reflects the level of consumption or expiration of the asset’s future economic benefits and to evaluate any impairment risk from falling replacement costs.</w:t>
      </w:r>
    </w:p>
    <w:p w:rsidR="00E2543D" w:rsidRPr="008A0D26" w:rsidRDefault="00E2543D" w:rsidP="00E966EA">
      <w:pPr>
        <w:pStyle w:val="Financialsheading4"/>
      </w:pPr>
      <w:r w:rsidRPr="008A0D26">
        <w:t>(</w:t>
      </w:r>
      <w:proofErr w:type="spellStart"/>
      <w:r w:rsidRPr="008A0D26">
        <w:t>i</w:t>
      </w:r>
      <w:proofErr w:type="spellEnd"/>
      <w:r w:rsidRPr="008A0D26">
        <w:t>) Non-current assets (or disposal groups) classified as held for sale</w:t>
      </w:r>
    </w:p>
    <w:p w:rsidR="00E2543D" w:rsidRPr="005D6BC7" w:rsidRDefault="00E2543D" w:rsidP="00AF0A61">
      <w:pPr>
        <w:pStyle w:val="Financialnotes"/>
      </w:pPr>
      <w:r w:rsidRPr="005D6BC7">
        <w:t>Non-current assets (or disposal groups) held for sale are recognised at the lower of carrying amount and fair value less costs to sell, and are disclosed separately from other assets in the Statement of Financial Position. Assets classified as held for sale are not depreciated or amortised.</w:t>
      </w:r>
    </w:p>
    <w:p w:rsidR="00E2543D" w:rsidRPr="005D6BC7" w:rsidRDefault="00E2543D" w:rsidP="00AF0A61">
      <w:pPr>
        <w:pStyle w:val="Financialnotes"/>
      </w:pPr>
      <w:r w:rsidRPr="005D6BC7">
        <w:t>The Department has no assets classified as held for sale.</w:t>
      </w:r>
    </w:p>
    <w:p w:rsidR="00E2543D" w:rsidRPr="008A0D26" w:rsidRDefault="00E2543D" w:rsidP="00E966EA">
      <w:pPr>
        <w:pStyle w:val="Financialsheading4"/>
      </w:pPr>
      <w:bookmarkStart w:id="161" w:name="_Toc317079363"/>
      <w:bookmarkStart w:id="162" w:name="_Toc317590625"/>
      <w:r w:rsidRPr="008A0D26">
        <w:t>(j) Leases</w:t>
      </w:r>
      <w:bookmarkEnd w:id="161"/>
      <w:bookmarkEnd w:id="162"/>
    </w:p>
    <w:p w:rsidR="00E2543D" w:rsidRPr="005D6BC7" w:rsidRDefault="00E2543D" w:rsidP="00AF0A61">
      <w:pPr>
        <w:pStyle w:val="Financialnotes"/>
      </w:pPr>
      <w:r w:rsidRPr="005D6BC7">
        <w:t>The Department holds an operating lease for vehicles. Operating leases are expensed on a straight line basis over the lease term as this represents the pattern of benefits derived from the leased properties.</w:t>
      </w:r>
    </w:p>
    <w:p w:rsidR="00E2543D" w:rsidRPr="008A0D26" w:rsidRDefault="00E2543D" w:rsidP="00E966EA">
      <w:pPr>
        <w:pStyle w:val="Financialsheading4"/>
      </w:pPr>
      <w:r w:rsidRPr="008A0D26">
        <w:t>(k) Financial instruments</w:t>
      </w:r>
    </w:p>
    <w:p w:rsidR="00E2543D" w:rsidRPr="005D6BC7" w:rsidRDefault="00E2543D" w:rsidP="00AF0A61">
      <w:pPr>
        <w:pStyle w:val="Financialnotes"/>
      </w:pPr>
      <w:r w:rsidRPr="005D6BC7">
        <w:t>In addition to cash, the Department has two categories of financial instrument:</w:t>
      </w:r>
    </w:p>
    <w:p w:rsidR="00E2543D" w:rsidRPr="005D6BC7" w:rsidRDefault="00E2543D" w:rsidP="008D4CEC">
      <w:pPr>
        <w:pStyle w:val="Financialnotes"/>
        <w:numPr>
          <w:ilvl w:val="0"/>
          <w:numId w:val="5"/>
        </w:numPr>
      </w:pPr>
      <w:r w:rsidRPr="005D6BC7">
        <w:t>Receivables; and</w:t>
      </w:r>
    </w:p>
    <w:p w:rsidR="00E2543D" w:rsidRPr="005D6BC7" w:rsidRDefault="00E2543D" w:rsidP="008D4CEC">
      <w:pPr>
        <w:pStyle w:val="Financialnotes"/>
        <w:numPr>
          <w:ilvl w:val="0"/>
          <w:numId w:val="5"/>
        </w:numPr>
      </w:pPr>
      <w:r w:rsidRPr="005D6BC7">
        <w:t>Financial liabilities measured at amortised cost.</w:t>
      </w:r>
    </w:p>
    <w:p w:rsidR="00E2543D" w:rsidRDefault="00E2543D" w:rsidP="00AF0A61">
      <w:pPr>
        <w:pStyle w:val="Financialnotes"/>
      </w:pPr>
      <w:r w:rsidRPr="005D6BC7">
        <w:t>Financial instruments have been disaggregated into the following classes:</w:t>
      </w:r>
    </w:p>
    <w:tbl>
      <w:tblPr>
        <w:tblStyle w:val="TableGrid"/>
        <w:tblW w:w="0" w:type="auto"/>
        <w:tblInd w:w="141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0"/>
        <w:gridCol w:w="3686"/>
      </w:tblGrid>
      <w:tr w:rsidR="00761BDD" w:rsidTr="008B08B9">
        <w:tc>
          <w:tcPr>
            <w:tcW w:w="4360" w:type="dxa"/>
          </w:tcPr>
          <w:p w:rsidR="00761BDD" w:rsidRPr="00427F2B" w:rsidRDefault="00761BDD" w:rsidP="008D4CEC">
            <w:pPr>
              <w:pStyle w:val="Financialnotes"/>
              <w:numPr>
                <w:ilvl w:val="0"/>
                <w:numId w:val="5"/>
              </w:numPr>
              <w:spacing w:after="0" w:line="276" w:lineRule="auto"/>
              <w:ind w:left="425" w:hanging="425"/>
            </w:pPr>
            <w:r w:rsidRPr="00427F2B">
              <w:t>Financial Assets</w:t>
            </w:r>
          </w:p>
          <w:p w:rsidR="00761BDD" w:rsidRPr="00427F2B" w:rsidRDefault="00761BDD" w:rsidP="008D4CEC">
            <w:pPr>
              <w:pStyle w:val="Financialnotes"/>
              <w:numPr>
                <w:ilvl w:val="1"/>
                <w:numId w:val="7"/>
              </w:numPr>
              <w:spacing w:after="0"/>
              <w:ind w:left="709" w:hanging="284"/>
            </w:pPr>
            <w:r w:rsidRPr="00427F2B">
              <w:t>Cash and cash equivalents</w:t>
            </w:r>
          </w:p>
          <w:p w:rsidR="00761BDD" w:rsidRPr="00427F2B" w:rsidRDefault="00761BDD" w:rsidP="008D4CEC">
            <w:pPr>
              <w:pStyle w:val="Financialnotes"/>
              <w:numPr>
                <w:ilvl w:val="1"/>
                <w:numId w:val="7"/>
              </w:numPr>
              <w:spacing w:after="0"/>
              <w:ind w:left="709" w:hanging="284"/>
            </w:pPr>
            <w:r w:rsidRPr="00427F2B">
              <w:t>Restricted cash and cash equivalents</w:t>
            </w:r>
          </w:p>
          <w:p w:rsidR="00761BDD" w:rsidRPr="00427F2B" w:rsidRDefault="00761BDD" w:rsidP="008D4CEC">
            <w:pPr>
              <w:pStyle w:val="Financialnotes"/>
              <w:numPr>
                <w:ilvl w:val="1"/>
                <w:numId w:val="7"/>
              </w:numPr>
              <w:spacing w:after="0"/>
              <w:ind w:left="709" w:hanging="284"/>
            </w:pPr>
            <w:r w:rsidRPr="00427F2B">
              <w:t>Receivables</w:t>
            </w:r>
          </w:p>
          <w:p w:rsidR="00761BDD" w:rsidRDefault="00761BDD" w:rsidP="008D4CEC">
            <w:pPr>
              <w:pStyle w:val="Financialnotes"/>
              <w:numPr>
                <w:ilvl w:val="1"/>
                <w:numId w:val="7"/>
              </w:numPr>
              <w:spacing w:line="276" w:lineRule="auto"/>
              <w:ind w:left="709" w:hanging="284"/>
            </w:pPr>
            <w:r w:rsidRPr="00427F2B">
              <w:t>Amounts receivable for services</w:t>
            </w:r>
          </w:p>
        </w:tc>
        <w:tc>
          <w:tcPr>
            <w:tcW w:w="3686" w:type="dxa"/>
          </w:tcPr>
          <w:p w:rsidR="00761BDD" w:rsidRDefault="00761BDD" w:rsidP="008D4CEC">
            <w:pPr>
              <w:pStyle w:val="Financialnotes"/>
              <w:numPr>
                <w:ilvl w:val="0"/>
                <w:numId w:val="5"/>
              </w:numPr>
              <w:spacing w:after="0" w:line="276" w:lineRule="auto"/>
              <w:ind w:left="425" w:hanging="425"/>
            </w:pPr>
            <w:r w:rsidRPr="005D6BC7">
              <w:t>Financial Liabilities</w:t>
            </w:r>
          </w:p>
          <w:p w:rsidR="00761BDD" w:rsidRDefault="00761BDD" w:rsidP="008D4CEC">
            <w:pPr>
              <w:pStyle w:val="Financialnotes"/>
              <w:numPr>
                <w:ilvl w:val="1"/>
                <w:numId w:val="7"/>
              </w:numPr>
              <w:spacing w:after="0"/>
              <w:ind w:left="709" w:hanging="284"/>
            </w:pPr>
            <w:r w:rsidRPr="00A02A2B">
              <w:t>Payables</w:t>
            </w:r>
          </w:p>
        </w:tc>
      </w:tr>
    </w:tbl>
    <w:p w:rsidR="00E2543D" w:rsidRPr="005D6BC7" w:rsidRDefault="00E2543D" w:rsidP="00AF0A61">
      <w:pPr>
        <w:pStyle w:val="Financialnotes"/>
      </w:pPr>
      <w:r w:rsidRPr="005D6BC7">
        <w:t>Initial recognition and measurement of financial instruments is at fair value which normally equates to the transaction cost or the face value. Subsequent measurement is at amortised cost using the effective interest method.</w:t>
      </w:r>
    </w:p>
    <w:p w:rsidR="00E2543D" w:rsidRPr="005D6BC7" w:rsidRDefault="00E2543D" w:rsidP="00AF0A61">
      <w:pPr>
        <w:pStyle w:val="Financialnotes"/>
      </w:pPr>
      <w:r w:rsidRPr="005D6BC7">
        <w:t>The fair value of short-term receivables and payables is the transaction cost or the face value because there is no interest rate applicable and subsequent measurement is not required as the effect of discounting is not material.</w:t>
      </w:r>
    </w:p>
    <w:p w:rsidR="00E2543D" w:rsidRPr="00DF240A" w:rsidRDefault="00E2543D" w:rsidP="008B08B9">
      <w:pPr>
        <w:pStyle w:val="Financialsheading4"/>
      </w:pPr>
      <w:r w:rsidRPr="00DF240A">
        <w:t>(l) Cash and cash equivalents</w:t>
      </w:r>
    </w:p>
    <w:p w:rsidR="00E2543D" w:rsidRPr="005D6BC7" w:rsidRDefault="00E2543D" w:rsidP="00AF0A61">
      <w:pPr>
        <w:pStyle w:val="Financialnotes"/>
      </w:pPr>
      <w:r w:rsidRPr="005D6BC7">
        <w:t>For the purpose of the Statement of Cash Flows, cash and cash equivalent (and restricted cash and cash equivalent) assets comprise cash on hand and short-term deposits with original maturities of three months or less that are readily convertible to a known amount of cash and which are subject to insignificant risk of changes in value.</w:t>
      </w:r>
    </w:p>
    <w:p w:rsidR="00E2543D" w:rsidRPr="00B623D4" w:rsidRDefault="00E2543D" w:rsidP="008B08B9">
      <w:pPr>
        <w:pStyle w:val="Financialsheading4"/>
      </w:pPr>
      <w:bookmarkStart w:id="163" w:name="_Toc317079366"/>
      <w:bookmarkStart w:id="164" w:name="_Toc317590628"/>
      <w:r w:rsidRPr="00B623D4">
        <w:lastRenderedPageBreak/>
        <w:t>(m) Accrued salaries</w:t>
      </w:r>
      <w:bookmarkEnd w:id="163"/>
      <w:bookmarkEnd w:id="164"/>
    </w:p>
    <w:p w:rsidR="00E2543D" w:rsidRPr="005D6BC7" w:rsidRDefault="00E2543D" w:rsidP="00AF0A61">
      <w:pPr>
        <w:pStyle w:val="Financialnotes"/>
      </w:pPr>
      <w:r w:rsidRPr="005D6BC7">
        <w:t>Accrued salaries (see note 2</w:t>
      </w:r>
      <w:r w:rsidR="001F5998">
        <w:t>1</w:t>
      </w:r>
      <w:r w:rsidRPr="005D6BC7">
        <w:t xml:space="preserve"> ‘Payables’) represent the amount due to staff but unpaid at the end of the financial year. Accrued salaries are settled within a fortnight of the financial year end. The Department considers the carrying amount of accrued salaries to be equivalent to its fair value.</w:t>
      </w:r>
    </w:p>
    <w:p w:rsidR="00E2543D" w:rsidRPr="005D6BC7" w:rsidRDefault="00E2543D" w:rsidP="00AF0A61">
      <w:pPr>
        <w:pStyle w:val="Financialnotes"/>
      </w:pPr>
      <w:r w:rsidRPr="005D6BC7">
        <w:t>The accrued salaries suspense account (See note 1</w:t>
      </w:r>
      <w:r w:rsidR="001F5998">
        <w:t>4</w:t>
      </w:r>
      <w:r w:rsidRPr="005D6BC7">
        <w:t xml:space="preserve"> ‘Restricted cash and cash equivalents’) consists of amounts paid annually into a suspense account over a period of 10 financial years to largely meet the additional cash outflow in each eleventh year when 27 pay days occur instead of the normal 26. No interest is received on this account.</w:t>
      </w:r>
    </w:p>
    <w:p w:rsidR="00E2543D" w:rsidRPr="0016576B" w:rsidRDefault="00E2543D" w:rsidP="008B08B9">
      <w:pPr>
        <w:pStyle w:val="Financialsheading4"/>
      </w:pPr>
      <w:r w:rsidRPr="0016576B">
        <w:t>(n) Amounts receivable for services (holding account)</w:t>
      </w:r>
    </w:p>
    <w:p w:rsidR="00E2543D" w:rsidRPr="005D6BC7" w:rsidRDefault="00E2543D" w:rsidP="00AF0A61">
      <w:pPr>
        <w:pStyle w:val="Financialnotes"/>
      </w:pPr>
      <w:r w:rsidRPr="005D6BC7">
        <w:t>The Department receives funding on an accrual basis. The appropriations are paid partly in cash and partly as an asset (holding account receivable). The accrued amount receivable is accessible on the emergence of the cash funding requirement to cover leave entitlements and asset replacement.</w:t>
      </w:r>
    </w:p>
    <w:p w:rsidR="00E2543D" w:rsidRPr="0016576B" w:rsidRDefault="00E2543D" w:rsidP="008B08B9">
      <w:pPr>
        <w:pStyle w:val="Financialsheading4"/>
      </w:pPr>
      <w:r w:rsidRPr="0016576B">
        <w:t>(o) Receivables</w:t>
      </w:r>
    </w:p>
    <w:p w:rsidR="00E2543D" w:rsidRPr="005D6BC7" w:rsidRDefault="00E2543D" w:rsidP="00AF0A61">
      <w:pPr>
        <w:pStyle w:val="Financialnotes"/>
      </w:pPr>
      <w:r w:rsidRPr="005D6BC7">
        <w:t>Receivables are recognised at original invoice amount less an allowance for any uncollectible amounts (i.e. impairment). The collectability of receivables is reviewed on an ongoing basis and any receivables identified as uncollectible are written-off against the allowance account. The allowance for uncollectible amounts (doubtful debts) is raised when there is objective evidence that the Department will not be able to collect the debts. The carrying amount is equivalent to fair value as it is due for settlement within 30 days.</w:t>
      </w:r>
    </w:p>
    <w:p w:rsidR="00E2543D" w:rsidRPr="0016576B" w:rsidRDefault="00E2543D" w:rsidP="008B08B9">
      <w:pPr>
        <w:pStyle w:val="Financialsheading4"/>
      </w:pPr>
      <w:bookmarkStart w:id="165" w:name="_Toc264275231"/>
      <w:bookmarkStart w:id="166" w:name="_Toc264895123"/>
      <w:bookmarkStart w:id="167" w:name="_Toc265493243"/>
      <w:bookmarkStart w:id="168" w:name="_Toc268084754"/>
      <w:bookmarkStart w:id="169" w:name="_Toc278880910"/>
      <w:bookmarkStart w:id="170" w:name="_Toc317079370"/>
      <w:bookmarkStart w:id="171" w:name="_Toc317590632"/>
      <w:r w:rsidRPr="0016576B">
        <w:t>(p) Payables</w:t>
      </w:r>
      <w:bookmarkEnd w:id="165"/>
      <w:bookmarkEnd w:id="166"/>
      <w:bookmarkEnd w:id="167"/>
      <w:bookmarkEnd w:id="168"/>
      <w:bookmarkEnd w:id="169"/>
      <w:bookmarkEnd w:id="170"/>
      <w:bookmarkEnd w:id="171"/>
    </w:p>
    <w:p w:rsidR="00E2543D" w:rsidRPr="005D6BC7" w:rsidRDefault="00E2543D" w:rsidP="008B08B9">
      <w:pPr>
        <w:pStyle w:val="Financialnotes"/>
      </w:pPr>
      <w:r w:rsidRPr="005D6BC7">
        <w:t>Payables are recognised at the amounts payable when the Department becomes obliged to make future payments as a result of a purchase of assets or services. The carrying amount is equivalent to fair value, as settlement is generally within 30 days.</w:t>
      </w:r>
    </w:p>
    <w:p w:rsidR="00E2543D" w:rsidRPr="0016576B" w:rsidRDefault="00E2543D" w:rsidP="008B08B9">
      <w:pPr>
        <w:pStyle w:val="Financialsheading4"/>
      </w:pPr>
      <w:r w:rsidRPr="0016576B">
        <w:t>(q) Provisions</w:t>
      </w:r>
    </w:p>
    <w:p w:rsidR="00E2543D" w:rsidRPr="005D6BC7" w:rsidRDefault="00E2543D" w:rsidP="00AF0A61">
      <w:pPr>
        <w:pStyle w:val="Financialnotes"/>
      </w:pPr>
      <w:r w:rsidRPr="005D6BC7">
        <w:t>Provisions are liabilities of uncertain timing or amount and are recognised where there is a present legal or constructive obligation as a result of a past event and when the outflow of resources embodying economic benefits is probable and a reliable estimate can be made of the amount of the obligation. Provisions are reviewed at the end of each reporting period.</w:t>
      </w:r>
    </w:p>
    <w:p w:rsidR="00E2543D" w:rsidRPr="00A02A2B" w:rsidRDefault="00E2543D" w:rsidP="003D0178">
      <w:pPr>
        <w:pStyle w:val="Financialsheading5"/>
      </w:pPr>
      <w:r w:rsidRPr="00A02A2B">
        <w:t xml:space="preserve">Provisions </w:t>
      </w:r>
      <w:r w:rsidR="00667E09">
        <w:t>–</w:t>
      </w:r>
      <w:r w:rsidRPr="00A02A2B">
        <w:t xml:space="preserve"> employee benefits</w:t>
      </w:r>
    </w:p>
    <w:p w:rsidR="00E2543D" w:rsidRPr="005D6BC7" w:rsidRDefault="00E2543D" w:rsidP="00AF0A61">
      <w:pPr>
        <w:pStyle w:val="Financialnotes"/>
      </w:pPr>
      <w:r w:rsidRPr="005D6BC7">
        <w:t>All annual leave and long service leave provisions are in respect of employees’ services up to the end of the reporting period.</w:t>
      </w:r>
    </w:p>
    <w:p w:rsidR="00E2543D" w:rsidRPr="003D0178" w:rsidRDefault="00E2543D" w:rsidP="00B10EBE">
      <w:pPr>
        <w:pStyle w:val="Financialsheading6"/>
      </w:pPr>
      <w:r w:rsidRPr="003D0178">
        <w:t>Annual leave</w:t>
      </w:r>
    </w:p>
    <w:p w:rsidR="00E2543D" w:rsidRPr="005D6BC7" w:rsidRDefault="00E2543D" w:rsidP="00AF0A61">
      <w:pPr>
        <w:pStyle w:val="Financialnotes"/>
      </w:pPr>
      <w:r w:rsidRPr="005D6BC7">
        <w:t>The liability for annual leave that is expected to be settled within 12 months after the end of the reporting period is recognised and measured at the undiscounted amounts expected to be paid when the liability is settled.</w:t>
      </w:r>
    </w:p>
    <w:p w:rsidR="00E2543D" w:rsidRPr="005D6BC7" w:rsidRDefault="00E2543D" w:rsidP="00AF0A61">
      <w:pPr>
        <w:pStyle w:val="Financialnotes"/>
      </w:pPr>
      <w:r w:rsidRPr="005D6BC7">
        <w:t>Annual leave that is not expected to be settled within 12 months after the end of the reporting period is recognised and measured at the present value of amounts expected to be paid when the liabilities are settled using the remuneration rate expected to apply at the time of settlement.</w:t>
      </w:r>
    </w:p>
    <w:p w:rsidR="00E2543D" w:rsidRPr="005D6BC7" w:rsidRDefault="00E2543D" w:rsidP="00AF0A61">
      <w:pPr>
        <w:pStyle w:val="Financialnotes"/>
      </w:pPr>
      <w:r w:rsidRPr="005D6BC7">
        <w:lastRenderedPageBreak/>
        <w:t>When assessing expected future payments consideration is given to expected future wage and salary levels including non-salary components such as employer superannuation contributions, as well as the experience of employee departures and periods of service. The expected future payments are discounted using market yields at the end of the reporting period on national government bonds with terms to maturity that match, as closely as possible, the estimated future cash outflows.</w:t>
      </w:r>
    </w:p>
    <w:p w:rsidR="00E2543D" w:rsidRPr="005D6BC7" w:rsidRDefault="00E2543D" w:rsidP="00AF0A61">
      <w:pPr>
        <w:pStyle w:val="Financialnotes"/>
      </w:pPr>
      <w:r w:rsidRPr="005D6BC7">
        <w:t>The provision for annual leave is classified as a current liability as the Authority does not have an unconditional right to defer settlement of the liability for at least 12 months after the end of the reporting period.</w:t>
      </w:r>
    </w:p>
    <w:p w:rsidR="00E2543D" w:rsidRPr="003D0178" w:rsidRDefault="00E2543D" w:rsidP="00B10EBE">
      <w:pPr>
        <w:pStyle w:val="Financialsheading6"/>
      </w:pPr>
      <w:r w:rsidRPr="003D0178">
        <w:t>Long service leave</w:t>
      </w:r>
    </w:p>
    <w:p w:rsidR="00E2543D" w:rsidRPr="005D6BC7" w:rsidRDefault="00E2543D" w:rsidP="00AF0A61">
      <w:pPr>
        <w:pStyle w:val="Financialnotes"/>
      </w:pPr>
      <w:r w:rsidRPr="005D6BC7">
        <w:t>The liability for long service leave that is expected to be settled within 12 months after the end of the reporting period is recognised and measured at the undiscounted amounts expected to be paid when the liability is settled.</w:t>
      </w:r>
    </w:p>
    <w:p w:rsidR="00667E09" w:rsidRPr="005D6BC7" w:rsidRDefault="00667E09" w:rsidP="00667E09">
      <w:pPr>
        <w:pStyle w:val="Financialnotes"/>
      </w:pPr>
      <w:r w:rsidRPr="005D6BC7">
        <w:t>Long service leave that is not expected to be settled within 12 months after the end of the reporting period is recognised and measured at the present value of amounts expected to be paid when the liabilities are settled using the remuneration rate expected to apply at the time of settlement.</w:t>
      </w:r>
    </w:p>
    <w:p w:rsidR="00667E09" w:rsidRPr="005D6BC7" w:rsidRDefault="00667E09" w:rsidP="00667E09">
      <w:pPr>
        <w:pStyle w:val="Financialnotes"/>
      </w:pPr>
      <w:r w:rsidRPr="005D6BC7">
        <w:t>When assessing expected future payments consideration is given to expected future wage and salary levels including non-salary components such as employer superannuation contributions, as well as the experience of employee departures and periods of service. The expected future payments are discounted using market yields at the end of the reporting period on national government bonds with terms to maturity that match, as closely as possible, the estimated future cash outflows.</w:t>
      </w:r>
    </w:p>
    <w:p w:rsidR="00E2543D" w:rsidRPr="005D6BC7" w:rsidRDefault="00667E09" w:rsidP="00667E09">
      <w:pPr>
        <w:pStyle w:val="Financialnotes"/>
      </w:pPr>
      <w:r w:rsidRPr="005D6BC7">
        <w:t>Unconditional long service leave provisions are classified as current liabilities as the Department does not have an unconditional right to defer settlement of the liability for at least 12 months after the end of the reporting period. Pre-conditional and conditional long service leave provisions are classified as non-current liabilities because the Department has an unconditional right to defer the settlement of the liability until the employee has completed the requisite years of service.</w:t>
      </w:r>
    </w:p>
    <w:p w:rsidR="00E2543D" w:rsidRPr="007E7AAF" w:rsidRDefault="00E2543D" w:rsidP="00B35945">
      <w:pPr>
        <w:pStyle w:val="Financialsheading6"/>
      </w:pPr>
      <w:r w:rsidRPr="007E7AAF">
        <w:t>Purchased leave</w:t>
      </w:r>
    </w:p>
    <w:p w:rsidR="00E2543D" w:rsidRPr="005D6BC7" w:rsidRDefault="00E2543D" w:rsidP="00AF0A61">
      <w:pPr>
        <w:pStyle w:val="Financialnotes"/>
      </w:pPr>
      <w:r w:rsidRPr="005D6BC7">
        <w:t>The provision for purchased leave relates to Public Service employees who have entered into an agreement to self-fund up to an additional 10 weeks leave per calendar year. The provision recognises the value of salary set aside for employees and is measured at the undiscounted amounts expected to be paid when the liabilities are settled.</w:t>
      </w:r>
    </w:p>
    <w:p w:rsidR="00E2543D" w:rsidRPr="00B10EBE" w:rsidRDefault="00E2543D" w:rsidP="00B10EBE">
      <w:pPr>
        <w:pStyle w:val="Financialsheading6"/>
      </w:pPr>
      <w:r w:rsidRPr="00B10EBE">
        <w:t>Superannuation</w:t>
      </w:r>
    </w:p>
    <w:p w:rsidR="000C189A" w:rsidRPr="005D6BC7" w:rsidRDefault="000C189A" w:rsidP="000C189A">
      <w:pPr>
        <w:pStyle w:val="Financialnotes"/>
      </w:pPr>
      <w:r w:rsidRPr="005D6BC7">
        <w:t>The Government Employees Superannuation Board</w:t>
      </w:r>
      <w:r w:rsidR="00E2658F">
        <w:t xml:space="preserve"> </w:t>
      </w:r>
      <w:r w:rsidRPr="005D6BC7">
        <w:t>(GESB) and other fund providers administer public sector superannuation arrangements in Western Australia in accordance with legislative requirements. Eligibility criteria for membership in particular schemes for public sector employees vary according to commencement and implementation dates.</w:t>
      </w:r>
    </w:p>
    <w:p w:rsidR="000C189A" w:rsidRPr="005D6BC7" w:rsidDel="004F7B20" w:rsidRDefault="000C189A" w:rsidP="000C189A">
      <w:pPr>
        <w:pStyle w:val="Financialnotes"/>
      </w:pPr>
      <w:r w:rsidRPr="005D6BC7">
        <w:t>Eligible employees contribute to the Pension Scheme, a defined benefit pension scheme closed to new members since 1987, or the Gold State Superannuation Scheme</w:t>
      </w:r>
      <w:r w:rsidR="00E2658F">
        <w:t xml:space="preserve"> </w:t>
      </w:r>
      <w:r w:rsidRPr="005D6BC7">
        <w:t>(GSS), a defined benefit lump sum scheme closed to new members since 1995.</w:t>
      </w:r>
    </w:p>
    <w:p w:rsidR="000C189A" w:rsidRPr="005D6BC7" w:rsidRDefault="000C189A" w:rsidP="000C189A">
      <w:pPr>
        <w:pStyle w:val="Financialnotes"/>
      </w:pPr>
      <w:r w:rsidRPr="005D6BC7">
        <w:lastRenderedPageBreak/>
        <w:t>Employees commencing employment prior to 16 April 2007 who were not members of either the Pension Scheme or the GSS became non</w:t>
      </w:r>
      <w:r w:rsidRPr="005D6BC7">
        <w:noBreakHyphen/>
        <w:t xml:space="preserve">contributory members of the West State Superannuation Scheme (WSS). Employees commencing employment on or after 16 April 2007 became members of the GESB Super Scheme (GESBS). From 30 March 2012, existing members of the WSS or GESBS and new employees have been able to choose their preferred superannuation fund provider. The Department makes contributions to GESB or other fund provider on behalf of employees in compliance with the Commonwealth Government’s </w:t>
      </w:r>
      <w:r w:rsidRPr="000C189A">
        <w:rPr>
          <w:i/>
        </w:rPr>
        <w:t>Superannuation Guarantee (Administration) Act 1992</w:t>
      </w:r>
      <w:r w:rsidRPr="005D6BC7">
        <w:t>. Contributions to these accumulation schemes extinguish the Department’s liability for superannuation charges in respect of employees who are not members of the Pension Scheme or GSS.</w:t>
      </w:r>
    </w:p>
    <w:p w:rsidR="000C189A" w:rsidRPr="005D6BC7" w:rsidRDefault="000C189A" w:rsidP="000C189A">
      <w:pPr>
        <w:pStyle w:val="Financialnotes"/>
      </w:pPr>
      <w:r w:rsidRPr="005D6BC7">
        <w:t>The GSS is a defined benefit scheme for the purposes of employees and whole-of-government reporting. However, it is a defined contribution plan for agency purposes because the concurrent contributions (defined contributions) made by the Department to GESB extinguishes the agency’s obligations to the related superannuation liability.</w:t>
      </w:r>
    </w:p>
    <w:p w:rsidR="000C189A" w:rsidRPr="005D6BC7" w:rsidRDefault="000C189A" w:rsidP="000C189A">
      <w:pPr>
        <w:pStyle w:val="Financialnotes"/>
      </w:pPr>
      <w:r w:rsidRPr="005D6BC7">
        <w:t>The Department has no liabilities under the Pension Scheme or the GSS. The liabilities for the unfunded Pension Scheme and the unfunded GSS transfer benefits attributable to members who transferred from the Pension Scheme, are assumed by the Treasurer. All other GSS obligations are funded by concurrent contributions made by the Department to the GESB.</w:t>
      </w:r>
    </w:p>
    <w:p w:rsidR="00E2543D" w:rsidRPr="005D6BC7" w:rsidRDefault="000C189A" w:rsidP="000C189A">
      <w:pPr>
        <w:pStyle w:val="Financialnotes"/>
      </w:pPr>
      <w:r w:rsidRPr="005D6BC7">
        <w:t>The GESB makes all benefit payments in respect of the Pension Scheme and GSS, and is recouped from the Treasurer for the employer’s share</w:t>
      </w:r>
      <w:r>
        <w:t>.</w:t>
      </w:r>
    </w:p>
    <w:p w:rsidR="00E2543D" w:rsidRPr="00A02A2B" w:rsidRDefault="00E2543D" w:rsidP="00B35945">
      <w:pPr>
        <w:pStyle w:val="Financialsheading5"/>
      </w:pPr>
      <w:r w:rsidRPr="00A02A2B">
        <w:t>Provisions – other</w:t>
      </w:r>
    </w:p>
    <w:p w:rsidR="00E2543D" w:rsidRPr="005D6BC7" w:rsidRDefault="00E2543D" w:rsidP="00B35945">
      <w:pPr>
        <w:pStyle w:val="Financialsheading6"/>
      </w:pPr>
      <w:r w:rsidRPr="005D6BC7">
        <w:t>Employment on-costs</w:t>
      </w:r>
    </w:p>
    <w:p w:rsidR="00E2543D" w:rsidRPr="005D6BC7" w:rsidRDefault="00E2543D" w:rsidP="00AF0A61">
      <w:pPr>
        <w:pStyle w:val="Financialnotes"/>
      </w:pPr>
      <w:r w:rsidRPr="005D6BC7">
        <w:t>Employment on-costs, including workers’ compensation insurance, are not employee benefits and are recognised separately as liabilities and expenses when the employment to which they relate has occurred. Employment on-costs are included as part of ‘Other expenses’ and are not included as part of the Department’s ‘Employee benefits expense’. The related liability is included in ‘Employment on-costs provision’.</w:t>
      </w:r>
    </w:p>
    <w:p w:rsidR="00E2543D" w:rsidRPr="0016576B" w:rsidRDefault="00E2543D" w:rsidP="00B35945">
      <w:pPr>
        <w:pStyle w:val="Financialsheading4"/>
      </w:pPr>
      <w:bookmarkStart w:id="172" w:name="_Toc264275235"/>
      <w:bookmarkStart w:id="173" w:name="_Toc264895127"/>
      <w:bookmarkStart w:id="174" w:name="_Toc265493247"/>
      <w:bookmarkStart w:id="175" w:name="_Toc268084758"/>
      <w:bookmarkStart w:id="176" w:name="_Toc278880914"/>
      <w:bookmarkStart w:id="177" w:name="_Toc317079374"/>
      <w:bookmarkStart w:id="178" w:name="_Toc317590636"/>
      <w:r w:rsidRPr="0016576B">
        <w:t>(</w:t>
      </w:r>
      <w:r>
        <w:t>r</w:t>
      </w:r>
      <w:r w:rsidRPr="0016576B">
        <w:t>) Superannuation expense</w:t>
      </w:r>
      <w:bookmarkEnd w:id="172"/>
      <w:bookmarkEnd w:id="173"/>
      <w:bookmarkEnd w:id="174"/>
      <w:bookmarkEnd w:id="175"/>
      <w:bookmarkEnd w:id="176"/>
      <w:bookmarkEnd w:id="177"/>
      <w:bookmarkEnd w:id="178"/>
    </w:p>
    <w:p w:rsidR="00E2543D" w:rsidRPr="005D6BC7" w:rsidRDefault="00E2543D" w:rsidP="00AF0A61">
      <w:pPr>
        <w:pStyle w:val="Financialnotes"/>
      </w:pPr>
      <w:r w:rsidRPr="00942325">
        <w:t xml:space="preserve">Superannuation expense is recognised in the profit or loss of </w:t>
      </w:r>
      <w:proofErr w:type="spellStart"/>
      <w:r w:rsidRPr="00942325">
        <w:t>theStatement</w:t>
      </w:r>
      <w:proofErr w:type="spellEnd"/>
      <w:r w:rsidRPr="00942325">
        <w:t xml:space="preserve"> of Comprehensive Income and comprises employer contributions paid to the GSS (concurrent contributions), the WSS, the GESBS, or other superannuation funds. The employer contribution paid to the GESB in respect of the GSS is paid back into the Consolidated Account by the GESB</w:t>
      </w:r>
      <w:r w:rsidRPr="005D6BC7">
        <w:t>.</w:t>
      </w:r>
    </w:p>
    <w:p w:rsidR="00E2543D" w:rsidRPr="0016576B" w:rsidRDefault="00E2543D" w:rsidP="00B35945">
      <w:pPr>
        <w:pStyle w:val="Financialsheading4"/>
      </w:pPr>
      <w:bookmarkStart w:id="179" w:name="_Toc317079375"/>
      <w:bookmarkStart w:id="180" w:name="_Toc317590637"/>
      <w:r w:rsidRPr="0016576B">
        <w:t>(</w:t>
      </w:r>
      <w:r>
        <w:t>s</w:t>
      </w:r>
      <w:r w:rsidRPr="0016576B">
        <w:t>) Assets and services received free of charge or for nominal cost</w:t>
      </w:r>
      <w:bookmarkEnd w:id="179"/>
      <w:bookmarkEnd w:id="180"/>
    </w:p>
    <w:p w:rsidR="00E2543D" w:rsidRPr="00942325" w:rsidRDefault="00E2543D" w:rsidP="00E2543D">
      <w:pPr>
        <w:pStyle w:val="Body"/>
        <w:rPr>
          <w:sz w:val="22"/>
        </w:rPr>
      </w:pPr>
      <w:r w:rsidRPr="00942325">
        <w:rPr>
          <w:sz w:val="22"/>
        </w:rPr>
        <w:t>Assets or services received free of charge or for nominal cost that the Department would otherwise purchase if not donated, are recognised as income at the fair value of the assets or services where they can be reliably measured. A corresponding expense is recognised for services received. Receipts of assets are recognised in the Statement of Financial Position.</w:t>
      </w:r>
    </w:p>
    <w:p w:rsidR="00E2543D" w:rsidRDefault="00E2543D" w:rsidP="00E2543D">
      <w:pPr>
        <w:pStyle w:val="Body"/>
        <w:rPr>
          <w:b/>
          <w:sz w:val="22"/>
          <w:lang w:eastAsia="en-AU"/>
        </w:rPr>
      </w:pPr>
      <w:r w:rsidRPr="00942325">
        <w:rPr>
          <w:sz w:val="22"/>
        </w:rPr>
        <w:t>Assets or services received from other State Government agencies are separately disclosed under Income from State Government in the Statement of Comprehensive Income</w:t>
      </w:r>
      <w:r w:rsidR="00E2658F">
        <w:rPr>
          <w:sz w:val="22"/>
        </w:rPr>
        <w:t>.</w:t>
      </w:r>
    </w:p>
    <w:p w:rsidR="00E2543D" w:rsidRPr="0016576B" w:rsidRDefault="00E2543D" w:rsidP="00B35945">
      <w:pPr>
        <w:pStyle w:val="Financialsheading4"/>
      </w:pPr>
      <w:r w:rsidRPr="0016576B">
        <w:lastRenderedPageBreak/>
        <w:t>(</w:t>
      </w:r>
      <w:r>
        <w:t>t</w:t>
      </w:r>
      <w:r w:rsidRPr="0016576B">
        <w:t>) Comparative figures</w:t>
      </w:r>
    </w:p>
    <w:p w:rsidR="00E2543D" w:rsidRPr="005D6BC7" w:rsidDel="004F5636" w:rsidRDefault="00E2543D" w:rsidP="00B35945">
      <w:pPr>
        <w:pStyle w:val="Financialnotes"/>
      </w:pPr>
      <w:r w:rsidRPr="005D6BC7">
        <w:t>Comparative figures are, where appropriate, reclassified to be comparable with the figures presented in the current financial year.</w:t>
      </w:r>
    </w:p>
    <w:p w:rsidR="00E2543D" w:rsidRPr="00B35945" w:rsidRDefault="00E2543D" w:rsidP="00B35945">
      <w:pPr>
        <w:pStyle w:val="Financialsheading3"/>
      </w:pPr>
      <w:bookmarkStart w:id="181" w:name="_Toc427745919"/>
      <w:proofErr w:type="gramStart"/>
      <w:r w:rsidRPr="00B35945">
        <w:t>Note 3.</w:t>
      </w:r>
      <w:proofErr w:type="gramEnd"/>
      <w:r w:rsidRPr="00B35945">
        <w:t xml:space="preserve"> Key sources of estimation uncertainty</w:t>
      </w:r>
      <w:bookmarkEnd w:id="181"/>
    </w:p>
    <w:p w:rsidR="00E2543D" w:rsidRPr="005D6BC7" w:rsidRDefault="00E2543D" w:rsidP="00AF0A61">
      <w:pPr>
        <w:pStyle w:val="Financialnotes"/>
      </w:pPr>
      <w:r w:rsidRPr="005D6BC7">
        <w:t>Key estimates and assumptions concerning the future are based on historical experience and various other factors that have a significant risk of causing a material adjustment to the carrying amount of assets and liabilities within the next financial year.</w:t>
      </w:r>
    </w:p>
    <w:p w:rsidR="00E2543D" w:rsidRPr="0016576B" w:rsidRDefault="00E2543D" w:rsidP="00B35945">
      <w:pPr>
        <w:pStyle w:val="Financialsheading4"/>
      </w:pPr>
      <w:r w:rsidRPr="0016576B">
        <w:t>Long Service Leave</w:t>
      </w:r>
    </w:p>
    <w:p w:rsidR="00E2543D" w:rsidRPr="005D6BC7" w:rsidRDefault="00E2543D" w:rsidP="00AF0A61">
      <w:pPr>
        <w:pStyle w:val="Financialnotes"/>
      </w:pPr>
      <w:r w:rsidRPr="005D6BC7">
        <w:t>Several estimations and assumptions used in calculating the Department’s long service leave provision include expected future salary rates, discount rates, employee retention rates and expected future payments. Changes in these estimations and assumptions may impact on the carrying amount of the long service leave provision.</w:t>
      </w:r>
    </w:p>
    <w:p w:rsidR="00E2543D" w:rsidRPr="005D6BC7" w:rsidRDefault="00E2543D" w:rsidP="00B35945">
      <w:pPr>
        <w:pStyle w:val="Financialsheading3"/>
      </w:pPr>
      <w:bookmarkStart w:id="182" w:name="_Toc317079383"/>
      <w:bookmarkStart w:id="183" w:name="_Toc317590645"/>
      <w:bookmarkStart w:id="184" w:name="_Toc427745920"/>
      <w:proofErr w:type="gramStart"/>
      <w:r w:rsidRPr="005D6BC7">
        <w:t>Note 4.</w:t>
      </w:r>
      <w:proofErr w:type="gramEnd"/>
      <w:r w:rsidRPr="005D6BC7">
        <w:t xml:space="preserve">  Disclosure of changes in accounting policy and estimates</w:t>
      </w:r>
      <w:bookmarkEnd w:id="182"/>
      <w:bookmarkEnd w:id="183"/>
      <w:bookmarkEnd w:id="184"/>
    </w:p>
    <w:p w:rsidR="00E2543D" w:rsidRPr="005D6BC7" w:rsidRDefault="00E2543D" w:rsidP="00B35945">
      <w:pPr>
        <w:pStyle w:val="Financialsheading4"/>
      </w:pPr>
      <w:bookmarkStart w:id="185" w:name="_Toc317079384"/>
      <w:bookmarkStart w:id="186" w:name="_Toc317590646"/>
      <w:r w:rsidRPr="005D6BC7">
        <w:t>Initial application of an Australian Accounting Standard</w:t>
      </w:r>
      <w:bookmarkEnd w:id="185"/>
      <w:bookmarkEnd w:id="186"/>
    </w:p>
    <w:p w:rsidR="00E2543D" w:rsidRDefault="00E2543D" w:rsidP="00AF0A61">
      <w:pPr>
        <w:pStyle w:val="Financialnotes"/>
      </w:pPr>
      <w:r w:rsidRPr="005D6BC7">
        <w:t>The Department has applied the following Australian Accounting Standards effective for annual reporting periods beginning on or after 1 July 201</w:t>
      </w:r>
      <w:r>
        <w:t>4</w:t>
      </w:r>
      <w:r w:rsidRPr="005D6BC7">
        <w:t xml:space="preserve"> that impacted the Authority.</w:t>
      </w:r>
    </w:p>
    <w:p w:rsidR="00E2543D" w:rsidRPr="00E35CE4" w:rsidRDefault="008C4BCA" w:rsidP="008C4BCA">
      <w:pPr>
        <w:pStyle w:val="Financialsheading6"/>
        <w:tabs>
          <w:tab w:val="left" w:pos="2835"/>
        </w:tabs>
        <w:rPr>
          <w:lang w:val="en-US"/>
        </w:rPr>
      </w:pPr>
      <w:proofErr w:type="spellStart"/>
      <w:r>
        <w:rPr>
          <w:lang w:val="en-US"/>
        </w:rPr>
        <w:t>Int</w:t>
      </w:r>
      <w:proofErr w:type="spellEnd"/>
      <w:r>
        <w:rPr>
          <w:lang w:val="en-US"/>
        </w:rPr>
        <w:t xml:space="preserve"> 21</w:t>
      </w:r>
      <w:r>
        <w:rPr>
          <w:lang w:val="en-US"/>
        </w:rPr>
        <w:tab/>
      </w:r>
      <w:r w:rsidR="00E2543D" w:rsidRPr="00E35CE4">
        <w:rPr>
          <w:lang w:val="en-US"/>
        </w:rPr>
        <w:t>Levies</w:t>
      </w:r>
    </w:p>
    <w:p w:rsidR="00E2543D" w:rsidRPr="00E35CE4" w:rsidRDefault="00E2543D" w:rsidP="00AF0A61">
      <w:pPr>
        <w:pStyle w:val="Financialnotes"/>
      </w:pPr>
      <w:r w:rsidRPr="00E35CE4">
        <w:t>This Interpretation clarifies the circumstances under which a liability to pay a government levy imposed should be recognised. There is no financial impact for the Department at reporting date.</w:t>
      </w:r>
    </w:p>
    <w:p w:rsidR="00E2543D" w:rsidRPr="00E35CE4" w:rsidRDefault="00E2543D" w:rsidP="008C4BCA">
      <w:pPr>
        <w:pStyle w:val="Financialsheading6"/>
        <w:tabs>
          <w:tab w:val="left" w:pos="2835"/>
        </w:tabs>
        <w:rPr>
          <w:lang w:val="en-US"/>
        </w:rPr>
      </w:pPr>
      <w:r w:rsidRPr="00E35CE4">
        <w:rPr>
          <w:lang w:val="en-US"/>
        </w:rPr>
        <w:t>AASB 10</w:t>
      </w:r>
      <w:r w:rsidRPr="00E35CE4">
        <w:rPr>
          <w:lang w:val="en-US"/>
        </w:rPr>
        <w:tab/>
        <w:t>Consolidated Financial Statements</w:t>
      </w:r>
    </w:p>
    <w:p w:rsidR="00E2543D" w:rsidRPr="008C4BCA" w:rsidRDefault="00E2543D" w:rsidP="008C4BCA">
      <w:pPr>
        <w:pStyle w:val="Financialnotes"/>
      </w:pPr>
      <w:r w:rsidRPr="008C4BCA">
        <w:t xml:space="preserve">This Standard, issued in August 2011, supersedes AASB 127 </w:t>
      </w:r>
      <w:r w:rsidRPr="0099134A">
        <w:rPr>
          <w:i/>
        </w:rPr>
        <w:t>Consolidated and Separate Financial Statements</w:t>
      </w:r>
      <w:r w:rsidRPr="008C4BCA">
        <w:t xml:space="preserve"> and </w:t>
      </w:r>
      <w:proofErr w:type="spellStart"/>
      <w:r w:rsidRPr="008C4BCA">
        <w:t>Int</w:t>
      </w:r>
      <w:proofErr w:type="spellEnd"/>
      <w:r w:rsidRPr="008C4BCA">
        <w:t xml:space="preserve"> 112 </w:t>
      </w:r>
      <w:r w:rsidRPr="0099134A">
        <w:rPr>
          <w:i/>
        </w:rPr>
        <w:t>Consolidation – Special Purpose Entities</w:t>
      </w:r>
      <w:r w:rsidRPr="008C4BCA">
        <w:t>, introducing a number of changes to accounting treatments.</w:t>
      </w:r>
    </w:p>
    <w:p w:rsidR="00E2543D" w:rsidRPr="008C4BCA" w:rsidRDefault="00E2543D" w:rsidP="008C4BCA">
      <w:pPr>
        <w:pStyle w:val="Financialnotes"/>
      </w:pPr>
      <w:r w:rsidRPr="008C4BCA">
        <w:t>The adoption of the new Standard has no financial impact for the Department as it does not impact accounting for related bodies and the Department has no interests in other entities.</w:t>
      </w:r>
    </w:p>
    <w:p w:rsidR="00E2543D" w:rsidRPr="00E35CE4" w:rsidRDefault="00E2543D" w:rsidP="008C4BCA">
      <w:pPr>
        <w:pStyle w:val="Financialsheading6"/>
        <w:tabs>
          <w:tab w:val="left" w:pos="2835"/>
        </w:tabs>
        <w:rPr>
          <w:lang w:val="en-US"/>
        </w:rPr>
      </w:pPr>
      <w:r w:rsidRPr="00E35CE4">
        <w:rPr>
          <w:lang w:val="en-US"/>
        </w:rPr>
        <w:t>AASB</w:t>
      </w:r>
      <w:r w:rsidRPr="00E35CE4">
        <w:rPr>
          <w:spacing w:val="-1"/>
          <w:lang w:val="en-US"/>
        </w:rPr>
        <w:t xml:space="preserve"> </w:t>
      </w:r>
      <w:r w:rsidRPr="00E35CE4">
        <w:rPr>
          <w:lang w:val="en-US"/>
        </w:rPr>
        <w:t>11</w:t>
      </w:r>
      <w:r w:rsidRPr="00E35CE4">
        <w:rPr>
          <w:lang w:val="en-US"/>
        </w:rPr>
        <w:tab/>
        <w:t>Joint Arran</w:t>
      </w:r>
      <w:r w:rsidRPr="00E35CE4">
        <w:rPr>
          <w:spacing w:val="-1"/>
          <w:lang w:val="en-US"/>
        </w:rPr>
        <w:t>gem</w:t>
      </w:r>
      <w:r w:rsidRPr="00E35CE4">
        <w:rPr>
          <w:lang w:val="en-US"/>
        </w:rPr>
        <w:t>ents</w:t>
      </w:r>
    </w:p>
    <w:p w:rsidR="00E2543D" w:rsidRPr="00E35CE4" w:rsidRDefault="00E2543D" w:rsidP="00AF0A61">
      <w:pPr>
        <w:pStyle w:val="Financialnotes"/>
      </w:pPr>
      <w:r w:rsidRPr="00E35CE4">
        <w:t xml:space="preserve">This </w:t>
      </w:r>
      <w:r>
        <w:t>Standard,</w:t>
      </w:r>
      <w:r w:rsidRPr="00E35CE4">
        <w:t xml:space="preserve"> issued in August 2011, supersedes AASB 131</w:t>
      </w:r>
      <w:r>
        <w:t xml:space="preserve"> </w:t>
      </w:r>
      <w:r w:rsidRPr="002451C2">
        <w:rPr>
          <w:i/>
        </w:rPr>
        <w:t>Interests in Joint Ventures</w:t>
      </w:r>
      <w:r w:rsidRPr="00E35CE4">
        <w:t>, introduces new principles for determining the type of joint arrangement that exists, which are more aligned to the actual rights and obligations of the parties to the arrangement.</w:t>
      </w:r>
    </w:p>
    <w:p w:rsidR="00E2543D" w:rsidRPr="008C4BCA" w:rsidRDefault="00E2543D" w:rsidP="008C4BCA">
      <w:pPr>
        <w:pStyle w:val="Financialnotes"/>
      </w:pPr>
      <w:r w:rsidRPr="00E83A8D">
        <w:t xml:space="preserve">There is no financial impact for the Department as the new standard continues to require the recognition of the Department’s share of assets and share of liabilities for the </w:t>
      </w:r>
      <w:r w:rsidR="008C4BCA" w:rsidRPr="00E83A8D">
        <w:t>unincorporated joint operation.</w:t>
      </w:r>
    </w:p>
    <w:p w:rsidR="00C34186" w:rsidRDefault="00C34186" w:rsidP="008C4BCA">
      <w:pPr>
        <w:pStyle w:val="Financialsheading6"/>
        <w:tabs>
          <w:tab w:val="left" w:pos="2835"/>
        </w:tabs>
        <w:rPr>
          <w:lang w:val="en-US"/>
        </w:rPr>
      </w:pPr>
      <w:r>
        <w:rPr>
          <w:lang w:val="en-US"/>
        </w:rPr>
        <w:br w:type="page"/>
      </w:r>
    </w:p>
    <w:p w:rsidR="00E2543D" w:rsidRPr="00E35CE4" w:rsidRDefault="00E2543D" w:rsidP="008C4BCA">
      <w:pPr>
        <w:pStyle w:val="Financialsheading6"/>
        <w:tabs>
          <w:tab w:val="left" w:pos="2835"/>
        </w:tabs>
        <w:rPr>
          <w:lang w:val="en-US"/>
        </w:rPr>
      </w:pPr>
      <w:r w:rsidRPr="00E35CE4">
        <w:rPr>
          <w:lang w:val="en-US"/>
        </w:rPr>
        <w:lastRenderedPageBreak/>
        <w:t>AASB</w:t>
      </w:r>
      <w:r w:rsidRPr="00E35CE4">
        <w:rPr>
          <w:spacing w:val="-1"/>
          <w:lang w:val="en-US"/>
        </w:rPr>
        <w:t xml:space="preserve"> </w:t>
      </w:r>
      <w:r w:rsidRPr="00E35CE4">
        <w:rPr>
          <w:lang w:val="en-US"/>
        </w:rPr>
        <w:t>12</w:t>
      </w:r>
      <w:r w:rsidRPr="00E35CE4">
        <w:rPr>
          <w:lang w:val="en-US"/>
        </w:rPr>
        <w:tab/>
      </w:r>
      <w:proofErr w:type="gramStart"/>
      <w:r w:rsidRPr="00E35CE4">
        <w:rPr>
          <w:lang w:val="en-US"/>
        </w:rPr>
        <w:t>Dis</w:t>
      </w:r>
      <w:r w:rsidRPr="00E35CE4">
        <w:rPr>
          <w:spacing w:val="1"/>
          <w:lang w:val="en-US"/>
        </w:rPr>
        <w:t>c</w:t>
      </w:r>
      <w:r w:rsidRPr="00E35CE4">
        <w:rPr>
          <w:lang w:val="en-US"/>
        </w:rPr>
        <w:t>lo</w:t>
      </w:r>
      <w:r w:rsidRPr="00E35CE4">
        <w:rPr>
          <w:spacing w:val="1"/>
          <w:lang w:val="en-US"/>
        </w:rPr>
        <w:t>s</w:t>
      </w:r>
      <w:r w:rsidRPr="00E35CE4">
        <w:rPr>
          <w:spacing w:val="-1"/>
          <w:lang w:val="en-US"/>
        </w:rPr>
        <w:t>u</w:t>
      </w:r>
      <w:r w:rsidRPr="00E35CE4">
        <w:rPr>
          <w:lang w:val="en-US"/>
        </w:rPr>
        <w:t>re</w:t>
      </w:r>
      <w:proofErr w:type="gramEnd"/>
      <w:r w:rsidRPr="00E35CE4">
        <w:rPr>
          <w:lang w:val="en-US"/>
        </w:rPr>
        <w:t xml:space="preserve"> of Intere</w:t>
      </w:r>
      <w:r w:rsidRPr="00E35CE4">
        <w:rPr>
          <w:spacing w:val="1"/>
          <w:lang w:val="en-US"/>
        </w:rPr>
        <w:t>s</w:t>
      </w:r>
      <w:r w:rsidRPr="00E35CE4">
        <w:rPr>
          <w:spacing w:val="-2"/>
          <w:lang w:val="en-US"/>
        </w:rPr>
        <w:t>t</w:t>
      </w:r>
      <w:r w:rsidRPr="00E35CE4">
        <w:rPr>
          <w:lang w:val="en-US"/>
        </w:rPr>
        <w:t>s in Other Entities</w:t>
      </w:r>
    </w:p>
    <w:p w:rsidR="00E2543D" w:rsidRPr="008C4BCA" w:rsidRDefault="00E2543D" w:rsidP="008C4BCA">
      <w:pPr>
        <w:pStyle w:val="Financialnotes"/>
      </w:pPr>
      <w:r w:rsidRPr="00E35CE4">
        <w:t xml:space="preserve">This Standard, issued in August 2011, supersedes disclosure requirements in AASB 127 </w:t>
      </w:r>
      <w:r w:rsidRPr="002451C2">
        <w:rPr>
          <w:i/>
        </w:rPr>
        <w:t>Consolidated and Separate Financial Statements</w:t>
      </w:r>
      <w:r w:rsidRPr="00E35CE4">
        <w:t xml:space="preserve">, AASB 128 </w:t>
      </w:r>
      <w:r w:rsidRPr="002451C2">
        <w:rPr>
          <w:i/>
        </w:rPr>
        <w:t>Investments in Associates</w:t>
      </w:r>
      <w:r w:rsidRPr="00E35CE4">
        <w:t xml:space="preserve"> and AASB 131</w:t>
      </w:r>
      <w:r>
        <w:t xml:space="preserve"> </w:t>
      </w:r>
      <w:r w:rsidRPr="002451C2">
        <w:rPr>
          <w:i/>
        </w:rPr>
        <w:t>Interests in Joint Ventures</w:t>
      </w:r>
      <w:r w:rsidR="008C4BCA">
        <w:t>. There is no financial impact.</w:t>
      </w:r>
    </w:p>
    <w:p w:rsidR="00E2543D" w:rsidRPr="00E35CE4" w:rsidRDefault="00E2543D" w:rsidP="008C4BCA">
      <w:pPr>
        <w:pStyle w:val="Financialsheading6"/>
        <w:tabs>
          <w:tab w:val="left" w:pos="2835"/>
        </w:tabs>
        <w:rPr>
          <w:lang w:val="en-US"/>
        </w:rPr>
      </w:pPr>
      <w:r w:rsidRPr="00E35CE4">
        <w:rPr>
          <w:lang w:val="en-US"/>
        </w:rPr>
        <w:t>AASB</w:t>
      </w:r>
      <w:r w:rsidRPr="00E35CE4">
        <w:rPr>
          <w:spacing w:val="-1"/>
          <w:lang w:val="en-US"/>
        </w:rPr>
        <w:t xml:space="preserve"> </w:t>
      </w:r>
      <w:r w:rsidRPr="00E35CE4">
        <w:rPr>
          <w:lang w:val="en-US"/>
        </w:rPr>
        <w:t>127</w:t>
      </w:r>
      <w:r w:rsidRPr="00E35CE4">
        <w:rPr>
          <w:lang w:val="en-US"/>
        </w:rPr>
        <w:tab/>
        <w:t>Separate Fi</w:t>
      </w:r>
      <w:r w:rsidRPr="00E35CE4">
        <w:rPr>
          <w:spacing w:val="-1"/>
          <w:lang w:val="en-US"/>
        </w:rPr>
        <w:t>n</w:t>
      </w:r>
      <w:r w:rsidRPr="00E35CE4">
        <w:rPr>
          <w:lang w:val="en-US"/>
        </w:rPr>
        <w:t>anc</w:t>
      </w:r>
      <w:r w:rsidRPr="00E35CE4">
        <w:rPr>
          <w:spacing w:val="-1"/>
          <w:lang w:val="en-US"/>
        </w:rPr>
        <w:t>i</w:t>
      </w:r>
      <w:r w:rsidRPr="00E35CE4">
        <w:rPr>
          <w:lang w:val="en-US"/>
        </w:rPr>
        <w:t>al Statements</w:t>
      </w:r>
    </w:p>
    <w:p w:rsidR="00E2543D" w:rsidRPr="008C4BCA" w:rsidRDefault="00E2543D" w:rsidP="008C4BCA">
      <w:pPr>
        <w:pStyle w:val="Financialnotes"/>
      </w:pPr>
      <w:r w:rsidRPr="00E35CE4">
        <w:t>This Standard, issued in August 2011, supersedes AASB 127</w:t>
      </w:r>
      <w:r>
        <w:t xml:space="preserve"> </w:t>
      </w:r>
      <w:r w:rsidRPr="008F6ED6">
        <w:rPr>
          <w:i/>
        </w:rPr>
        <w:t>Consolidated and Separate Financial Statements</w:t>
      </w:r>
      <w:r w:rsidRPr="00E35CE4">
        <w:t xml:space="preserve"> removing the consolidation requirements of the earlier standard whilst retaining accounting and disclosure requirements for the preparation of separate financial statements. There is no financ</w:t>
      </w:r>
      <w:r w:rsidR="008C4BCA">
        <w:t>ial impact.</w:t>
      </w:r>
    </w:p>
    <w:p w:rsidR="00E2543D" w:rsidRPr="00E35CE4" w:rsidRDefault="00E2543D" w:rsidP="008C4BCA">
      <w:pPr>
        <w:pStyle w:val="Financialsheading6"/>
        <w:tabs>
          <w:tab w:val="left" w:pos="2835"/>
        </w:tabs>
        <w:rPr>
          <w:lang w:val="en-US"/>
        </w:rPr>
      </w:pPr>
      <w:r w:rsidRPr="00E35CE4">
        <w:rPr>
          <w:lang w:val="en-US"/>
        </w:rPr>
        <w:t>AASB</w:t>
      </w:r>
      <w:r w:rsidRPr="00E35CE4">
        <w:rPr>
          <w:spacing w:val="-1"/>
          <w:lang w:val="en-US"/>
        </w:rPr>
        <w:t xml:space="preserve"> </w:t>
      </w:r>
      <w:r w:rsidRPr="00E35CE4">
        <w:rPr>
          <w:lang w:val="en-US"/>
        </w:rPr>
        <w:t>128</w:t>
      </w:r>
      <w:r w:rsidRPr="00E35CE4">
        <w:rPr>
          <w:lang w:val="en-US"/>
        </w:rPr>
        <w:tab/>
        <w:t>Inv</w:t>
      </w:r>
      <w:r w:rsidRPr="00E35CE4">
        <w:rPr>
          <w:spacing w:val="-1"/>
          <w:lang w:val="en-US"/>
        </w:rPr>
        <w:t>e</w:t>
      </w:r>
      <w:r w:rsidRPr="00E35CE4">
        <w:rPr>
          <w:lang w:val="en-US"/>
        </w:rPr>
        <w:t>st</w:t>
      </w:r>
      <w:r w:rsidRPr="00E35CE4">
        <w:rPr>
          <w:spacing w:val="-1"/>
          <w:lang w:val="en-US"/>
        </w:rPr>
        <w:t>m</w:t>
      </w:r>
      <w:r w:rsidRPr="00E35CE4">
        <w:rPr>
          <w:lang w:val="en-US"/>
        </w:rPr>
        <w:t>ents in Ass</w:t>
      </w:r>
      <w:r w:rsidRPr="00E35CE4">
        <w:rPr>
          <w:spacing w:val="-1"/>
          <w:lang w:val="en-US"/>
        </w:rPr>
        <w:t>o</w:t>
      </w:r>
      <w:r w:rsidRPr="00E35CE4">
        <w:rPr>
          <w:lang w:val="en-US"/>
        </w:rPr>
        <w:t>ciat</w:t>
      </w:r>
      <w:r w:rsidRPr="00E35CE4">
        <w:rPr>
          <w:spacing w:val="-1"/>
          <w:lang w:val="en-US"/>
        </w:rPr>
        <w:t>e</w:t>
      </w:r>
      <w:r w:rsidRPr="00E35CE4">
        <w:rPr>
          <w:lang w:val="en-US"/>
        </w:rPr>
        <w:t>s</w:t>
      </w:r>
      <w:r w:rsidRPr="00E35CE4">
        <w:rPr>
          <w:spacing w:val="-1"/>
          <w:lang w:val="en-US"/>
        </w:rPr>
        <w:t xml:space="preserve"> </w:t>
      </w:r>
      <w:r w:rsidRPr="00E35CE4">
        <w:rPr>
          <w:lang w:val="en-US"/>
        </w:rPr>
        <w:t>and Joint Ve</w:t>
      </w:r>
      <w:r w:rsidRPr="00E35CE4">
        <w:rPr>
          <w:spacing w:val="-1"/>
          <w:lang w:val="en-US"/>
        </w:rPr>
        <w:t>n</w:t>
      </w:r>
      <w:r w:rsidRPr="00E35CE4">
        <w:rPr>
          <w:lang w:val="en-US"/>
        </w:rPr>
        <w:t>tures</w:t>
      </w:r>
    </w:p>
    <w:p w:rsidR="00E2543D" w:rsidRPr="00E35CE4" w:rsidRDefault="00E2543D" w:rsidP="00AF0A61">
      <w:pPr>
        <w:pStyle w:val="Financialnotes"/>
      </w:pPr>
      <w:r w:rsidRPr="00E35CE4">
        <w:t xml:space="preserve">This Standard supersedes AASB 128 </w:t>
      </w:r>
      <w:r w:rsidRPr="008F6ED6">
        <w:rPr>
          <w:i/>
        </w:rPr>
        <w:t>Investments in Associates</w:t>
      </w:r>
      <w:r w:rsidRPr="00E35CE4">
        <w:t>, introducing a number of clarifications for the accounting treatments of changed ownership interest.</w:t>
      </w:r>
    </w:p>
    <w:p w:rsidR="00E2543D" w:rsidRPr="008C4BCA" w:rsidRDefault="00E2543D" w:rsidP="008C4BCA">
      <w:pPr>
        <w:pStyle w:val="Financialnotes"/>
      </w:pPr>
      <w:r w:rsidRPr="00E35CE4">
        <w:t>The adoption of the new Standard has no financial impact for the Department as it does not hold investments in</w:t>
      </w:r>
      <w:r w:rsidR="008C4BCA">
        <w:t xml:space="preserve"> associates and joint ventures.</w:t>
      </w:r>
    </w:p>
    <w:p w:rsidR="00E2543D" w:rsidRPr="00E35CE4" w:rsidRDefault="00E2543D" w:rsidP="00942ECE">
      <w:pPr>
        <w:pStyle w:val="Financialsheading6"/>
        <w:tabs>
          <w:tab w:val="left" w:pos="2835"/>
        </w:tabs>
        <w:rPr>
          <w:lang w:val="en-US"/>
        </w:rPr>
      </w:pPr>
      <w:r w:rsidRPr="00E35CE4">
        <w:rPr>
          <w:lang w:val="en-US"/>
        </w:rPr>
        <w:t>AASB 1031</w:t>
      </w:r>
      <w:r w:rsidRPr="00E35CE4">
        <w:rPr>
          <w:lang w:val="en-US"/>
        </w:rPr>
        <w:tab/>
        <w:t>Materiali</w:t>
      </w:r>
      <w:r w:rsidRPr="00E35CE4">
        <w:rPr>
          <w:spacing w:val="-2"/>
          <w:lang w:val="en-US"/>
        </w:rPr>
        <w:t>t</w:t>
      </w:r>
      <w:r w:rsidRPr="00E35CE4">
        <w:rPr>
          <w:lang w:val="en-US"/>
        </w:rPr>
        <w:t>y</w:t>
      </w:r>
    </w:p>
    <w:p w:rsidR="00E2543D" w:rsidRPr="00942ECE" w:rsidRDefault="00E2543D" w:rsidP="00942ECE">
      <w:pPr>
        <w:pStyle w:val="Financialnotes"/>
      </w:pPr>
      <w:r w:rsidRPr="00E35CE4">
        <w:t>This Standard supersedes AASB 1031 (February 2010), removing Australian guidance on materiality not available in IFRSs and refers to guidance on materiality in other Australian pronouncements</w:t>
      </w:r>
      <w:r w:rsidR="00942ECE">
        <w:t>. There is no financial impact.</w:t>
      </w:r>
    </w:p>
    <w:p w:rsidR="00E2543D" w:rsidRPr="00E35CE4" w:rsidRDefault="00E2543D" w:rsidP="00942ECE">
      <w:pPr>
        <w:pStyle w:val="Financialsheading6"/>
        <w:tabs>
          <w:tab w:val="left" w:pos="2835"/>
        </w:tabs>
        <w:rPr>
          <w:lang w:val="en-US"/>
        </w:rPr>
      </w:pPr>
      <w:r w:rsidRPr="00E35CE4">
        <w:rPr>
          <w:lang w:val="en-US"/>
        </w:rPr>
        <w:t>AASB 1055</w:t>
      </w:r>
      <w:r w:rsidRPr="00E35CE4">
        <w:rPr>
          <w:lang w:val="en-US"/>
        </w:rPr>
        <w:tab/>
        <w:t>Budget</w:t>
      </w:r>
      <w:r w:rsidRPr="00E35CE4">
        <w:rPr>
          <w:spacing w:val="-1"/>
          <w:lang w:val="en-US"/>
        </w:rPr>
        <w:t>a</w:t>
      </w:r>
      <w:r w:rsidRPr="00E35CE4">
        <w:rPr>
          <w:lang w:val="en-US"/>
        </w:rPr>
        <w:t>ry</w:t>
      </w:r>
      <w:r w:rsidRPr="00E35CE4">
        <w:rPr>
          <w:spacing w:val="-1"/>
          <w:lang w:val="en-US"/>
        </w:rPr>
        <w:t xml:space="preserve"> </w:t>
      </w:r>
      <w:r w:rsidRPr="00E35CE4">
        <w:rPr>
          <w:lang w:val="en-US"/>
        </w:rPr>
        <w:t>R</w:t>
      </w:r>
      <w:r w:rsidRPr="00E35CE4">
        <w:rPr>
          <w:spacing w:val="-1"/>
          <w:lang w:val="en-US"/>
        </w:rPr>
        <w:t>e</w:t>
      </w:r>
      <w:r w:rsidRPr="00E35CE4">
        <w:rPr>
          <w:lang w:val="en-US"/>
        </w:rPr>
        <w:t>porting</w:t>
      </w:r>
    </w:p>
    <w:p w:rsidR="00E2543D" w:rsidRPr="00942ECE" w:rsidRDefault="00E2543D" w:rsidP="00942ECE">
      <w:pPr>
        <w:pStyle w:val="Financialnotes"/>
      </w:pPr>
      <w:r w:rsidRPr="00E35CE4">
        <w:t>This Standard requires specific budgetary disclosures in the general purpose financial statements of not-for-profit entities within the General Government Sector. The Department will be required to disclose additional budgetary information and explanations of major variances between actual and budgeted amounts, thoug</w:t>
      </w:r>
      <w:r w:rsidR="00942ECE">
        <w:t>h there is no financial impact.</w:t>
      </w:r>
    </w:p>
    <w:p w:rsidR="00E2543D" w:rsidRPr="00E35CE4" w:rsidRDefault="00E2543D" w:rsidP="00942ECE">
      <w:pPr>
        <w:pStyle w:val="Financialsheading6"/>
        <w:tabs>
          <w:tab w:val="left" w:pos="3402"/>
        </w:tabs>
        <w:rPr>
          <w:lang w:val="en-US"/>
        </w:rPr>
      </w:pPr>
      <w:r w:rsidRPr="00E35CE4">
        <w:rPr>
          <w:lang w:val="en-US"/>
        </w:rPr>
        <w:t>AASB</w:t>
      </w:r>
      <w:r w:rsidRPr="00E35CE4">
        <w:rPr>
          <w:spacing w:val="-1"/>
          <w:lang w:val="en-US"/>
        </w:rPr>
        <w:t xml:space="preserve"> </w:t>
      </w:r>
      <w:r w:rsidRPr="00E35CE4">
        <w:rPr>
          <w:lang w:val="en-US"/>
        </w:rPr>
        <w:t>2011-7</w:t>
      </w:r>
      <w:r w:rsidRPr="00E35CE4">
        <w:rPr>
          <w:lang w:val="en-US"/>
        </w:rPr>
        <w:tab/>
        <w:t>A</w:t>
      </w:r>
      <w:r w:rsidRPr="00E35CE4">
        <w:rPr>
          <w:spacing w:val="-1"/>
          <w:lang w:val="en-US"/>
        </w:rPr>
        <w:t>m</w:t>
      </w:r>
      <w:r w:rsidRPr="00E35CE4">
        <w:rPr>
          <w:lang w:val="en-US"/>
        </w:rPr>
        <w:t>end</w:t>
      </w:r>
      <w:r w:rsidRPr="00E35CE4">
        <w:rPr>
          <w:spacing w:val="-1"/>
          <w:lang w:val="en-US"/>
        </w:rPr>
        <w:t>m</w:t>
      </w:r>
      <w:r w:rsidRPr="00E35CE4">
        <w:rPr>
          <w:lang w:val="en-US"/>
        </w:rPr>
        <w:t>ents to A</w:t>
      </w:r>
      <w:r w:rsidRPr="00E35CE4">
        <w:rPr>
          <w:spacing w:val="-1"/>
          <w:lang w:val="en-US"/>
        </w:rPr>
        <w:t>u</w:t>
      </w:r>
      <w:r w:rsidRPr="00E35CE4">
        <w:rPr>
          <w:lang w:val="en-US"/>
        </w:rPr>
        <w:t>strali</w:t>
      </w:r>
      <w:r w:rsidRPr="00E35CE4">
        <w:rPr>
          <w:spacing w:val="-1"/>
          <w:lang w:val="en-US"/>
        </w:rPr>
        <w:t>a</w:t>
      </w:r>
      <w:r w:rsidRPr="00E35CE4">
        <w:rPr>
          <w:lang w:val="en-US"/>
        </w:rPr>
        <w:t>n Acco</w:t>
      </w:r>
      <w:r w:rsidRPr="00E35CE4">
        <w:rPr>
          <w:spacing w:val="-1"/>
          <w:lang w:val="en-US"/>
        </w:rPr>
        <w:t>u</w:t>
      </w:r>
      <w:r w:rsidRPr="00E35CE4">
        <w:rPr>
          <w:lang w:val="en-US"/>
        </w:rPr>
        <w:t>nting Stand</w:t>
      </w:r>
      <w:r w:rsidRPr="00E35CE4">
        <w:rPr>
          <w:spacing w:val="-1"/>
          <w:lang w:val="en-US"/>
        </w:rPr>
        <w:t>a</w:t>
      </w:r>
      <w:r w:rsidRPr="00E35CE4">
        <w:rPr>
          <w:lang w:val="en-US"/>
        </w:rPr>
        <w:t>r</w:t>
      </w:r>
      <w:r w:rsidRPr="00E35CE4">
        <w:rPr>
          <w:spacing w:val="-1"/>
          <w:lang w:val="en-US"/>
        </w:rPr>
        <w:t>d</w:t>
      </w:r>
      <w:r w:rsidRPr="00E35CE4">
        <w:rPr>
          <w:lang w:val="en-US"/>
        </w:rPr>
        <w:t>s aris</w:t>
      </w:r>
      <w:r w:rsidRPr="00E35CE4">
        <w:rPr>
          <w:spacing w:val="-1"/>
          <w:lang w:val="en-US"/>
        </w:rPr>
        <w:t>i</w:t>
      </w:r>
      <w:r w:rsidRPr="00E35CE4">
        <w:rPr>
          <w:lang w:val="en-US"/>
        </w:rPr>
        <w:t xml:space="preserve">ng </w:t>
      </w:r>
      <w:r w:rsidRPr="00E35CE4">
        <w:rPr>
          <w:spacing w:val="-2"/>
          <w:lang w:val="en-US"/>
        </w:rPr>
        <w:t>f</w:t>
      </w:r>
      <w:r w:rsidRPr="00E35CE4">
        <w:rPr>
          <w:lang w:val="en-US"/>
        </w:rPr>
        <w:t>rom</w:t>
      </w:r>
      <w:r w:rsidRPr="00E35CE4">
        <w:rPr>
          <w:spacing w:val="11"/>
          <w:lang w:val="en-US"/>
        </w:rPr>
        <w:t xml:space="preserve"> </w:t>
      </w:r>
      <w:r w:rsidRPr="00E35CE4">
        <w:rPr>
          <w:lang w:val="en-US"/>
        </w:rPr>
        <w:t>the</w:t>
      </w:r>
      <w:r w:rsidR="00942ECE">
        <w:rPr>
          <w:lang w:val="en-US"/>
        </w:rPr>
        <w:t xml:space="preserve"> </w:t>
      </w:r>
      <w:r w:rsidRPr="00E35CE4">
        <w:rPr>
          <w:lang w:val="en-US"/>
        </w:rPr>
        <w:t>Consol</w:t>
      </w:r>
      <w:r w:rsidRPr="00E35CE4">
        <w:rPr>
          <w:spacing w:val="-1"/>
          <w:lang w:val="en-US"/>
        </w:rPr>
        <w:t>i</w:t>
      </w:r>
      <w:r w:rsidRPr="00E35CE4">
        <w:rPr>
          <w:lang w:val="en-US"/>
        </w:rPr>
        <w:t>dation</w:t>
      </w:r>
      <w:r w:rsidRPr="00E35CE4">
        <w:rPr>
          <w:spacing w:val="16"/>
          <w:lang w:val="en-US"/>
        </w:rPr>
        <w:t xml:space="preserve"> </w:t>
      </w:r>
      <w:r w:rsidRPr="00E35CE4">
        <w:rPr>
          <w:lang w:val="en-US"/>
        </w:rPr>
        <w:t>and</w:t>
      </w:r>
      <w:r w:rsidRPr="00E35CE4">
        <w:rPr>
          <w:spacing w:val="16"/>
          <w:lang w:val="en-US"/>
        </w:rPr>
        <w:t xml:space="preserve"> </w:t>
      </w:r>
      <w:r w:rsidRPr="00E35CE4">
        <w:rPr>
          <w:lang w:val="en-US"/>
        </w:rPr>
        <w:t>Jo</w:t>
      </w:r>
      <w:r w:rsidRPr="00E35CE4">
        <w:rPr>
          <w:spacing w:val="-1"/>
          <w:lang w:val="en-US"/>
        </w:rPr>
        <w:t>i</w:t>
      </w:r>
      <w:r w:rsidRPr="00E35CE4">
        <w:rPr>
          <w:lang w:val="en-US"/>
        </w:rPr>
        <w:t>nt</w:t>
      </w:r>
      <w:r w:rsidRPr="00E35CE4">
        <w:rPr>
          <w:spacing w:val="16"/>
          <w:lang w:val="en-US"/>
        </w:rPr>
        <w:t xml:space="preserve"> </w:t>
      </w:r>
      <w:r w:rsidRPr="00E35CE4">
        <w:rPr>
          <w:lang w:val="en-US"/>
        </w:rPr>
        <w:t>Arrange</w:t>
      </w:r>
      <w:r w:rsidRPr="00E35CE4">
        <w:rPr>
          <w:spacing w:val="-1"/>
          <w:lang w:val="en-US"/>
        </w:rPr>
        <w:t>m</w:t>
      </w:r>
      <w:r w:rsidRPr="00E35CE4">
        <w:rPr>
          <w:lang w:val="en-US"/>
        </w:rPr>
        <w:t>ents</w:t>
      </w:r>
      <w:r w:rsidRPr="00E35CE4">
        <w:rPr>
          <w:spacing w:val="16"/>
          <w:lang w:val="en-US"/>
        </w:rPr>
        <w:t xml:space="preserve"> </w:t>
      </w:r>
      <w:r w:rsidRPr="00E35CE4">
        <w:rPr>
          <w:lang w:val="en-US"/>
        </w:rPr>
        <w:t>Standards</w:t>
      </w:r>
      <w:r w:rsidRPr="00E35CE4">
        <w:rPr>
          <w:spacing w:val="16"/>
          <w:lang w:val="en-US"/>
        </w:rPr>
        <w:t xml:space="preserve"> </w:t>
      </w:r>
      <w:r w:rsidRPr="00E35CE4">
        <w:rPr>
          <w:lang w:val="en-US"/>
        </w:rPr>
        <w:t>[</w:t>
      </w:r>
      <w:r w:rsidRPr="00E35CE4">
        <w:rPr>
          <w:spacing w:val="-2"/>
          <w:lang w:val="en-US"/>
        </w:rPr>
        <w:t>A</w:t>
      </w:r>
      <w:r w:rsidRPr="00E35CE4">
        <w:rPr>
          <w:lang w:val="en-US"/>
        </w:rPr>
        <w:t>ASB</w:t>
      </w:r>
      <w:r w:rsidRPr="00E35CE4">
        <w:rPr>
          <w:spacing w:val="-1"/>
          <w:lang w:val="en-US"/>
        </w:rPr>
        <w:t xml:space="preserve"> </w:t>
      </w:r>
      <w:r w:rsidRPr="00E35CE4">
        <w:rPr>
          <w:lang w:val="en-US"/>
        </w:rPr>
        <w:t>1,</w:t>
      </w:r>
      <w:r w:rsidRPr="00E35CE4">
        <w:rPr>
          <w:spacing w:val="16"/>
          <w:lang w:val="en-US"/>
        </w:rPr>
        <w:t xml:space="preserve"> </w:t>
      </w:r>
      <w:r w:rsidRPr="00E35CE4">
        <w:rPr>
          <w:lang w:val="en-US"/>
        </w:rPr>
        <w:t>2,</w:t>
      </w:r>
      <w:r w:rsidRPr="00E35CE4">
        <w:rPr>
          <w:spacing w:val="16"/>
          <w:lang w:val="en-US"/>
        </w:rPr>
        <w:t xml:space="preserve"> </w:t>
      </w:r>
      <w:r w:rsidRPr="00E35CE4">
        <w:rPr>
          <w:lang w:val="en-US"/>
        </w:rPr>
        <w:t>3,</w:t>
      </w:r>
      <w:r w:rsidRPr="00E35CE4">
        <w:rPr>
          <w:spacing w:val="17"/>
          <w:lang w:val="en-US"/>
        </w:rPr>
        <w:t xml:space="preserve"> </w:t>
      </w:r>
      <w:r w:rsidRPr="00E35CE4">
        <w:rPr>
          <w:lang w:val="en-US"/>
        </w:rPr>
        <w:t>5,</w:t>
      </w:r>
      <w:r w:rsidRPr="00E35CE4">
        <w:rPr>
          <w:spacing w:val="16"/>
          <w:lang w:val="en-US"/>
        </w:rPr>
        <w:t xml:space="preserve"> </w:t>
      </w:r>
      <w:r w:rsidRPr="00E35CE4">
        <w:rPr>
          <w:spacing w:val="1"/>
          <w:lang w:val="en-US"/>
        </w:rPr>
        <w:t>7</w:t>
      </w:r>
      <w:r w:rsidRPr="00E35CE4">
        <w:rPr>
          <w:lang w:val="en-US"/>
        </w:rPr>
        <w:t>,101,</w:t>
      </w:r>
      <w:r w:rsidRPr="00E35CE4">
        <w:rPr>
          <w:spacing w:val="2"/>
          <w:lang w:val="en-US"/>
        </w:rPr>
        <w:t xml:space="preserve"> </w:t>
      </w:r>
      <w:r w:rsidRPr="00E35CE4">
        <w:rPr>
          <w:spacing w:val="-1"/>
          <w:lang w:val="en-US"/>
        </w:rPr>
        <w:t>1</w:t>
      </w:r>
      <w:r w:rsidRPr="00E35CE4">
        <w:rPr>
          <w:lang w:val="en-US"/>
        </w:rPr>
        <w:t>07,</w:t>
      </w:r>
      <w:r w:rsidRPr="00E35CE4">
        <w:rPr>
          <w:spacing w:val="1"/>
          <w:lang w:val="en-US"/>
        </w:rPr>
        <w:t xml:space="preserve"> </w:t>
      </w:r>
      <w:r w:rsidRPr="00E35CE4">
        <w:rPr>
          <w:lang w:val="en-US"/>
        </w:rPr>
        <w:t>1</w:t>
      </w:r>
      <w:r w:rsidRPr="00E35CE4">
        <w:rPr>
          <w:spacing w:val="-1"/>
          <w:lang w:val="en-US"/>
        </w:rPr>
        <w:t>1</w:t>
      </w:r>
      <w:r w:rsidRPr="00E35CE4">
        <w:rPr>
          <w:lang w:val="en-US"/>
        </w:rPr>
        <w:t>2,</w:t>
      </w:r>
      <w:r w:rsidRPr="00E35CE4">
        <w:rPr>
          <w:spacing w:val="2"/>
          <w:lang w:val="en-US"/>
        </w:rPr>
        <w:t xml:space="preserve"> </w:t>
      </w:r>
      <w:r w:rsidRPr="00E35CE4">
        <w:rPr>
          <w:lang w:val="en-US"/>
        </w:rPr>
        <w:t>118, 1</w:t>
      </w:r>
      <w:r w:rsidRPr="00E35CE4">
        <w:rPr>
          <w:spacing w:val="-1"/>
          <w:lang w:val="en-US"/>
        </w:rPr>
        <w:t>2</w:t>
      </w:r>
      <w:r w:rsidRPr="00E35CE4">
        <w:rPr>
          <w:lang w:val="en-US"/>
        </w:rPr>
        <w:t>1,</w:t>
      </w:r>
      <w:r w:rsidRPr="00E35CE4">
        <w:rPr>
          <w:spacing w:val="1"/>
          <w:lang w:val="en-US"/>
        </w:rPr>
        <w:t xml:space="preserve"> </w:t>
      </w:r>
      <w:r w:rsidRPr="00E35CE4">
        <w:rPr>
          <w:lang w:val="en-US"/>
        </w:rPr>
        <w:t>124,</w:t>
      </w:r>
      <w:r w:rsidRPr="00E35CE4">
        <w:rPr>
          <w:spacing w:val="2"/>
          <w:lang w:val="en-US"/>
        </w:rPr>
        <w:t xml:space="preserve"> </w:t>
      </w:r>
      <w:r w:rsidRPr="00E35CE4">
        <w:rPr>
          <w:spacing w:val="-1"/>
          <w:lang w:val="en-US"/>
        </w:rPr>
        <w:t>1</w:t>
      </w:r>
      <w:r w:rsidRPr="00E35CE4">
        <w:rPr>
          <w:lang w:val="en-US"/>
        </w:rPr>
        <w:t>32, 1</w:t>
      </w:r>
      <w:r w:rsidRPr="00E35CE4">
        <w:rPr>
          <w:spacing w:val="-1"/>
          <w:lang w:val="en-US"/>
        </w:rPr>
        <w:t>3</w:t>
      </w:r>
      <w:r w:rsidRPr="00E35CE4">
        <w:rPr>
          <w:lang w:val="en-US"/>
        </w:rPr>
        <w:t>3,</w:t>
      </w:r>
      <w:r w:rsidRPr="00E35CE4">
        <w:rPr>
          <w:spacing w:val="2"/>
          <w:lang w:val="en-US"/>
        </w:rPr>
        <w:t xml:space="preserve"> </w:t>
      </w:r>
      <w:r w:rsidRPr="00E35CE4">
        <w:rPr>
          <w:lang w:val="en-US"/>
        </w:rPr>
        <w:t>136, 1</w:t>
      </w:r>
      <w:r w:rsidRPr="00E35CE4">
        <w:rPr>
          <w:spacing w:val="-1"/>
          <w:lang w:val="en-US"/>
        </w:rPr>
        <w:t>3</w:t>
      </w:r>
      <w:r w:rsidRPr="00E35CE4">
        <w:rPr>
          <w:lang w:val="en-US"/>
        </w:rPr>
        <w:t>8,</w:t>
      </w:r>
      <w:r w:rsidRPr="00E35CE4">
        <w:rPr>
          <w:spacing w:val="1"/>
          <w:lang w:val="en-US"/>
        </w:rPr>
        <w:t xml:space="preserve"> </w:t>
      </w:r>
      <w:r w:rsidRPr="00E35CE4">
        <w:rPr>
          <w:lang w:val="en-US"/>
        </w:rPr>
        <w:t>139,</w:t>
      </w:r>
      <w:r w:rsidRPr="00E35CE4">
        <w:rPr>
          <w:spacing w:val="2"/>
          <w:lang w:val="en-US"/>
        </w:rPr>
        <w:t xml:space="preserve"> </w:t>
      </w:r>
      <w:r w:rsidRPr="00E35CE4">
        <w:rPr>
          <w:spacing w:val="-1"/>
          <w:lang w:val="en-US"/>
        </w:rPr>
        <w:t>1</w:t>
      </w:r>
      <w:r w:rsidRPr="00E35CE4">
        <w:rPr>
          <w:lang w:val="en-US"/>
        </w:rPr>
        <w:t>023</w:t>
      </w:r>
      <w:r w:rsidRPr="00E35CE4">
        <w:rPr>
          <w:spacing w:val="1"/>
          <w:lang w:val="en-US"/>
        </w:rPr>
        <w:t xml:space="preserve"> </w:t>
      </w:r>
      <w:r w:rsidRPr="00E35CE4">
        <w:rPr>
          <w:lang w:val="en-US"/>
        </w:rPr>
        <w:t>&amp;</w:t>
      </w:r>
      <w:r w:rsidRPr="00E35CE4">
        <w:rPr>
          <w:spacing w:val="1"/>
          <w:lang w:val="en-US"/>
        </w:rPr>
        <w:t xml:space="preserve"> </w:t>
      </w:r>
      <w:r w:rsidRPr="00E35CE4">
        <w:rPr>
          <w:lang w:val="en-US"/>
        </w:rPr>
        <w:t xml:space="preserve">1038 and </w:t>
      </w:r>
      <w:proofErr w:type="spellStart"/>
      <w:r w:rsidRPr="00E35CE4">
        <w:rPr>
          <w:lang w:val="en-US"/>
        </w:rPr>
        <w:t>Int</w:t>
      </w:r>
      <w:proofErr w:type="spellEnd"/>
      <w:r w:rsidRPr="00E35CE4">
        <w:rPr>
          <w:lang w:val="en-US"/>
        </w:rPr>
        <w:t xml:space="preserve"> 5, 9, 16 &amp; 17]</w:t>
      </w:r>
    </w:p>
    <w:p w:rsidR="00E2543D" w:rsidRPr="00942ECE" w:rsidRDefault="00E2543D" w:rsidP="00942ECE">
      <w:pPr>
        <w:pStyle w:val="Financialnotes"/>
      </w:pPr>
      <w:r w:rsidRPr="00E35CE4">
        <w:t xml:space="preserve">This Standard gives effect to consequential changes arising from the issuance of AASB 10, AASB 11, AASB 127 </w:t>
      </w:r>
      <w:r w:rsidRPr="002451C2">
        <w:rPr>
          <w:i/>
        </w:rPr>
        <w:t>Separate Financial Statements</w:t>
      </w:r>
      <w:r w:rsidRPr="00E35CE4">
        <w:t xml:space="preserve"> and AASB 128 </w:t>
      </w:r>
      <w:r w:rsidRPr="002451C2">
        <w:rPr>
          <w:i/>
        </w:rPr>
        <w:t>Investments in Associates and Joint Ventures</w:t>
      </w:r>
      <w:r w:rsidRPr="00E35CE4">
        <w:t>. There is no finan</w:t>
      </w:r>
      <w:r w:rsidR="00942ECE">
        <w:t>cial impact for the Department.</w:t>
      </w:r>
    </w:p>
    <w:p w:rsidR="00E2543D" w:rsidRPr="00E35CE4" w:rsidRDefault="00E2543D" w:rsidP="00942ECE">
      <w:pPr>
        <w:pStyle w:val="Financialsheading6"/>
        <w:tabs>
          <w:tab w:val="left" w:pos="3402"/>
        </w:tabs>
        <w:rPr>
          <w:lang w:val="en-US"/>
        </w:rPr>
      </w:pPr>
      <w:r w:rsidRPr="00E35CE4">
        <w:rPr>
          <w:lang w:val="en-US"/>
        </w:rPr>
        <w:t>AASB</w:t>
      </w:r>
      <w:r w:rsidRPr="00E35CE4">
        <w:rPr>
          <w:spacing w:val="-1"/>
          <w:lang w:val="en-US"/>
        </w:rPr>
        <w:t xml:space="preserve"> </w:t>
      </w:r>
      <w:r w:rsidRPr="00E35CE4">
        <w:rPr>
          <w:lang w:val="en-US"/>
        </w:rPr>
        <w:t>2012-3</w:t>
      </w:r>
      <w:r w:rsidRPr="00E35CE4">
        <w:rPr>
          <w:lang w:val="en-US"/>
        </w:rPr>
        <w:tab/>
        <w:t>A</w:t>
      </w:r>
      <w:r w:rsidRPr="00E35CE4">
        <w:rPr>
          <w:spacing w:val="-1"/>
          <w:lang w:val="en-US"/>
        </w:rPr>
        <w:t>m</w:t>
      </w:r>
      <w:r w:rsidRPr="00E35CE4">
        <w:rPr>
          <w:lang w:val="en-US"/>
        </w:rPr>
        <w:t>end</w:t>
      </w:r>
      <w:r w:rsidRPr="00E35CE4">
        <w:rPr>
          <w:spacing w:val="-1"/>
          <w:lang w:val="en-US"/>
        </w:rPr>
        <w:t>m</w:t>
      </w:r>
      <w:r w:rsidRPr="00E35CE4">
        <w:rPr>
          <w:lang w:val="en-US"/>
        </w:rPr>
        <w:t>ents to Australian Account</w:t>
      </w:r>
      <w:r w:rsidRPr="00E35CE4">
        <w:rPr>
          <w:spacing w:val="-1"/>
          <w:lang w:val="en-US"/>
        </w:rPr>
        <w:t>i</w:t>
      </w:r>
      <w:r w:rsidRPr="00E35CE4">
        <w:rPr>
          <w:lang w:val="en-US"/>
        </w:rPr>
        <w:t>ng Stand</w:t>
      </w:r>
      <w:r w:rsidRPr="00E35CE4">
        <w:rPr>
          <w:spacing w:val="-1"/>
          <w:lang w:val="en-US"/>
        </w:rPr>
        <w:t>a</w:t>
      </w:r>
      <w:r w:rsidRPr="00E35CE4">
        <w:rPr>
          <w:lang w:val="en-US"/>
        </w:rPr>
        <w:t>r</w:t>
      </w:r>
      <w:r w:rsidRPr="00E35CE4">
        <w:rPr>
          <w:spacing w:val="-1"/>
          <w:lang w:val="en-US"/>
        </w:rPr>
        <w:t>d</w:t>
      </w:r>
      <w:r w:rsidRPr="00E35CE4">
        <w:rPr>
          <w:lang w:val="en-US"/>
        </w:rPr>
        <w:t>s – Offsetting</w:t>
      </w:r>
      <w:r w:rsidR="00942ECE">
        <w:rPr>
          <w:lang w:val="en-US"/>
        </w:rPr>
        <w:t xml:space="preserve"> </w:t>
      </w:r>
      <w:r w:rsidRPr="00E35CE4">
        <w:rPr>
          <w:lang w:val="en-US"/>
        </w:rPr>
        <w:t>Financial</w:t>
      </w:r>
      <w:r w:rsidRPr="00E35CE4">
        <w:rPr>
          <w:spacing w:val="-1"/>
          <w:lang w:val="en-US"/>
        </w:rPr>
        <w:t xml:space="preserve"> </w:t>
      </w:r>
      <w:r w:rsidRPr="00E35CE4">
        <w:rPr>
          <w:lang w:val="en-US"/>
        </w:rPr>
        <w:t>Assets</w:t>
      </w:r>
      <w:r w:rsidRPr="00E35CE4">
        <w:rPr>
          <w:spacing w:val="-1"/>
          <w:lang w:val="en-US"/>
        </w:rPr>
        <w:t xml:space="preserve"> </w:t>
      </w:r>
      <w:r w:rsidRPr="00E35CE4">
        <w:rPr>
          <w:lang w:val="en-US"/>
        </w:rPr>
        <w:t>and</w:t>
      </w:r>
      <w:r w:rsidRPr="00E35CE4">
        <w:rPr>
          <w:spacing w:val="-1"/>
          <w:lang w:val="en-US"/>
        </w:rPr>
        <w:t xml:space="preserve"> </w:t>
      </w:r>
      <w:r w:rsidRPr="00E35CE4">
        <w:rPr>
          <w:lang w:val="en-US"/>
        </w:rPr>
        <w:t>Finan</w:t>
      </w:r>
      <w:r w:rsidRPr="00E35CE4">
        <w:rPr>
          <w:spacing w:val="2"/>
          <w:lang w:val="en-US"/>
        </w:rPr>
        <w:t>c</w:t>
      </w:r>
      <w:r w:rsidRPr="00E35CE4">
        <w:rPr>
          <w:lang w:val="en-US"/>
        </w:rPr>
        <w:t>ial Liabilities [AASB 132]</w:t>
      </w:r>
    </w:p>
    <w:p w:rsidR="00E2543D" w:rsidRPr="00875C4D" w:rsidRDefault="00E2543D" w:rsidP="00875C4D">
      <w:pPr>
        <w:pStyle w:val="Financialnotes"/>
      </w:pPr>
      <w:r w:rsidRPr="00E35CE4">
        <w:t>This Standard adds application guidance to AASB 132 to address inconsistencies identified in applying some of the offsetting criteria, including clarifying the meaning of “currently has a legally enforceable right of set-off” and that some gross settlement systems may be considered equivalent to net settlement</w:t>
      </w:r>
      <w:r w:rsidR="00875C4D">
        <w:t>. There is no financial impact.</w:t>
      </w:r>
    </w:p>
    <w:p w:rsidR="00E2543D" w:rsidRPr="00E35CE4" w:rsidRDefault="00E2543D" w:rsidP="00875C4D">
      <w:pPr>
        <w:pStyle w:val="Financialsheading6"/>
        <w:tabs>
          <w:tab w:val="left" w:pos="3402"/>
        </w:tabs>
        <w:rPr>
          <w:lang w:val="en-US"/>
        </w:rPr>
      </w:pPr>
      <w:r w:rsidRPr="00E35CE4">
        <w:rPr>
          <w:lang w:val="en-US"/>
        </w:rPr>
        <w:t>AASB</w:t>
      </w:r>
      <w:r w:rsidRPr="00E35CE4">
        <w:rPr>
          <w:spacing w:val="-1"/>
          <w:lang w:val="en-US"/>
        </w:rPr>
        <w:t xml:space="preserve"> </w:t>
      </w:r>
      <w:r w:rsidRPr="00E35CE4">
        <w:rPr>
          <w:lang w:val="en-US"/>
        </w:rPr>
        <w:t>2013-3</w:t>
      </w:r>
      <w:r w:rsidRPr="00E35CE4">
        <w:rPr>
          <w:lang w:val="en-US"/>
        </w:rPr>
        <w:tab/>
        <w:t>A</w:t>
      </w:r>
      <w:r w:rsidRPr="00E35CE4">
        <w:rPr>
          <w:spacing w:val="-1"/>
          <w:lang w:val="en-US"/>
        </w:rPr>
        <w:t>m</w:t>
      </w:r>
      <w:r w:rsidRPr="00E35CE4">
        <w:rPr>
          <w:lang w:val="en-US"/>
        </w:rPr>
        <w:t>end</w:t>
      </w:r>
      <w:r w:rsidRPr="00E35CE4">
        <w:rPr>
          <w:spacing w:val="-1"/>
          <w:lang w:val="en-US"/>
        </w:rPr>
        <w:t>m</w:t>
      </w:r>
      <w:r w:rsidRPr="00E35CE4">
        <w:rPr>
          <w:lang w:val="en-US"/>
        </w:rPr>
        <w:t>ents</w:t>
      </w:r>
      <w:r w:rsidRPr="00E35CE4">
        <w:rPr>
          <w:spacing w:val="4"/>
          <w:lang w:val="en-US"/>
        </w:rPr>
        <w:t xml:space="preserve"> </w:t>
      </w:r>
      <w:r w:rsidRPr="00E35CE4">
        <w:rPr>
          <w:lang w:val="en-US"/>
        </w:rPr>
        <w:t>to</w:t>
      </w:r>
      <w:r w:rsidRPr="00E35CE4">
        <w:rPr>
          <w:spacing w:val="4"/>
          <w:lang w:val="en-US"/>
        </w:rPr>
        <w:t xml:space="preserve"> </w:t>
      </w:r>
      <w:r w:rsidRPr="00E35CE4">
        <w:rPr>
          <w:lang w:val="en-US"/>
        </w:rPr>
        <w:t>AASB 136 – Recove</w:t>
      </w:r>
      <w:r w:rsidRPr="00E35CE4">
        <w:rPr>
          <w:spacing w:val="-1"/>
          <w:lang w:val="en-US"/>
        </w:rPr>
        <w:t>r</w:t>
      </w:r>
      <w:r w:rsidRPr="00E35CE4">
        <w:rPr>
          <w:lang w:val="en-US"/>
        </w:rPr>
        <w:t>able A</w:t>
      </w:r>
      <w:r w:rsidRPr="00E35CE4">
        <w:rPr>
          <w:spacing w:val="-1"/>
          <w:lang w:val="en-US"/>
        </w:rPr>
        <w:t>m</w:t>
      </w:r>
      <w:r w:rsidRPr="00E35CE4">
        <w:rPr>
          <w:lang w:val="en-US"/>
        </w:rPr>
        <w:t>ount Disclosures for</w:t>
      </w:r>
      <w:r w:rsidR="00875C4D">
        <w:rPr>
          <w:lang w:val="en-US"/>
        </w:rPr>
        <w:t xml:space="preserve"> </w:t>
      </w:r>
      <w:r w:rsidRPr="00E35CE4">
        <w:rPr>
          <w:lang w:val="en-US"/>
        </w:rPr>
        <w:t>No</w:t>
      </w:r>
      <w:r w:rsidRPr="00E35CE4">
        <w:rPr>
          <w:spacing w:val="-1"/>
          <w:lang w:val="en-US"/>
        </w:rPr>
        <w:t>n</w:t>
      </w:r>
      <w:r w:rsidRPr="00E35CE4">
        <w:rPr>
          <w:lang w:val="en-US"/>
        </w:rPr>
        <w:t>-Fi</w:t>
      </w:r>
      <w:r w:rsidRPr="00E35CE4">
        <w:rPr>
          <w:spacing w:val="-1"/>
          <w:lang w:val="en-US"/>
        </w:rPr>
        <w:t>n</w:t>
      </w:r>
      <w:r w:rsidRPr="00E35CE4">
        <w:rPr>
          <w:lang w:val="en-US"/>
        </w:rPr>
        <w:t>a</w:t>
      </w:r>
      <w:r w:rsidRPr="00E35CE4">
        <w:rPr>
          <w:spacing w:val="-1"/>
          <w:lang w:val="en-US"/>
        </w:rPr>
        <w:t>n</w:t>
      </w:r>
      <w:r w:rsidRPr="00E35CE4">
        <w:rPr>
          <w:spacing w:val="1"/>
          <w:lang w:val="en-US"/>
        </w:rPr>
        <w:t>c</w:t>
      </w:r>
      <w:r w:rsidRPr="00E35CE4">
        <w:rPr>
          <w:spacing w:val="-1"/>
          <w:lang w:val="en-US"/>
        </w:rPr>
        <w:t>ia</w:t>
      </w:r>
      <w:r w:rsidRPr="00E35CE4">
        <w:rPr>
          <w:lang w:val="en-US"/>
        </w:rPr>
        <w:t>l</w:t>
      </w:r>
      <w:r w:rsidRPr="00E35CE4">
        <w:rPr>
          <w:spacing w:val="-1"/>
          <w:lang w:val="en-US"/>
        </w:rPr>
        <w:t xml:space="preserve"> A</w:t>
      </w:r>
      <w:r w:rsidRPr="00E35CE4">
        <w:rPr>
          <w:spacing w:val="1"/>
          <w:lang w:val="en-US"/>
        </w:rPr>
        <w:t>ss</w:t>
      </w:r>
      <w:r w:rsidRPr="00E35CE4">
        <w:rPr>
          <w:lang w:val="en-US"/>
        </w:rPr>
        <w:t>e</w:t>
      </w:r>
      <w:r w:rsidRPr="00E35CE4">
        <w:rPr>
          <w:spacing w:val="-1"/>
          <w:lang w:val="en-US"/>
        </w:rPr>
        <w:t>ts</w:t>
      </w:r>
    </w:p>
    <w:p w:rsidR="00E2543D" w:rsidRPr="00E35CE4" w:rsidRDefault="00E2543D" w:rsidP="00AF0A61">
      <w:pPr>
        <w:pStyle w:val="Financialnotes"/>
      </w:pPr>
      <w:r w:rsidRPr="00E35CE4">
        <w:t>This Standard introduces editorial and disclosure changes. There is no financial impact.</w:t>
      </w:r>
    </w:p>
    <w:p w:rsidR="00C34186" w:rsidRDefault="00C34186" w:rsidP="00875C4D">
      <w:pPr>
        <w:pStyle w:val="Financialsheading6"/>
        <w:tabs>
          <w:tab w:val="left" w:pos="3402"/>
        </w:tabs>
        <w:rPr>
          <w:lang w:val="en-US"/>
        </w:rPr>
      </w:pPr>
      <w:r>
        <w:rPr>
          <w:lang w:val="en-US"/>
        </w:rPr>
        <w:br w:type="page"/>
      </w:r>
    </w:p>
    <w:p w:rsidR="00E2543D" w:rsidRPr="00E35CE4" w:rsidRDefault="00E2543D" w:rsidP="00875C4D">
      <w:pPr>
        <w:pStyle w:val="Financialsheading6"/>
        <w:tabs>
          <w:tab w:val="left" w:pos="3402"/>
        </w:tabs>
        <w:rPr>
          <w:lang w:val="en-US"/>
        </w:rPr>
      </w:pPr>
      <w:r w:rsidRPr="00E35CE4">
        <w:rPr>
          <w:lang w:val="en-US"/>
        </w:rPr>
        <w:lastRenderedPageBreak/>
        <w:t>AASB</w:t>
      </w:r>
      <w:r w:rsidRPr="00E35CE4">
        <w:rPr>
          <w:spacing w:val="-1"/>
          <w:lang w:val="en-US"/>
        </w:rPr>
        <w:t xml:space="preserve"> </w:t>
      </w:r>
      <w:r w:rsidRPr="00E35CE4">
        <w:rPr>
          <w:lang w:val="en-US"/>
        </w:rPr>
        <w:t>2013-4</w:t>
      </w:r>
      <w:r w:rsidRPr="00E35CE4">
        <w:rPr>
          <w:lang w:val="en-US"/>
        </w:rPr>
        <w:tab/>
        <w:t>A</w:t>
      </w:r>
      <w:r w:rsidRPr="00E35CE4">
        <w:rPr>
          <w:spacing w:val="-1"/>
          <w:lang w:val="en-US"/>
        </w:rPr>
        <w:t>m</w:t>
      </w:r>
      <w:r w:rsidRPr="00E35CE4">
        <w:rPr>
          <w:lang w:val="en-US"/>
        </w:rPr>
        <w:t>end</w:t>
      </w:r>
      <w:r w:rsidRPr="00E35CE4">
        <w:rPr>
          <w:spacing w:val="-1"/>
          <w:lang w:val="en-US"/>
        </w:rPr>
        <w:t>m</w:t>
      </w:r>
      <w:r w:rsidRPr="00E35CE4">
        <w:rPr>
          <w:lang w:val="en-US"/>
        </w:rPr>
        <w:t>ents to Australian</w:t>
      </w:r>
      <w:r w:rsidRPr="00E35CE4">
        <w:rPr>
          <w:spacing w:val="40"/>
          <w:lang w:val="en-US"/>
        </w:rPr>
        <w:t xml:space="preserve"> </w:t>
      </w:r>
      <w:r w:rsidRPr="00E35CE4">
        <w:rPr>
          <w:lang w:val="en-US"/>
        </w:rPr>
        <w:t>Accoun</w:t>
      </w:r>
      <w:r w:rsidRPr="00E35CE4">
        <w:rPr>
          <w:spacing w:val="-1"/>
          <w:lang w:val="en-US"/>
        </w:rPr>
        <w:t>ti</w:t>
      </w:r>
      <w:r w:rsidRPr="00E35CE4">
        <w:rPr>
          <w:lang w:val="en-US"/>
        </w:rPr>
        <w:t>ng</w:t>
      </w:r>
      <w:r w:rsidRPr="00E35CE4">
        <w:rPr>
          <w:spacing w:val="40"/>
          <w:lang w:val="en-US"/>
        </w:rPr>
        <w:t xml:space="preserve"> </w:t>
      </w:r>
      <w:r w:rsidRPr="00E35CE4">
        <w:rPr>
          <w:lang w:val="en-US"/>
        </w:rPr>
        <w:t>Standar</w:t>
      </w:r>
      <w:r w:rsidRPr="00E35CE4">
        <w:rPr>
          <w:spacing w:val="-1"/>
          <w:lang w:val="en-US"/>
        </w:rPr>
        <w:t>d</w:t>
      </w:r>
      <w:r w:rsidRPr="00E35CE4">
        <w:rPr>
          <w:lang w:val="en-US"/>
        </w:rPr>
        <w:t>s</w:t>
      </w:r>
      <w:r w:rsidRPr="00E35CE4">
        <w:rPr>
          <w:spacing w:val="41"/>
          <w:lang w:val="en-US"/>
        </w:rPr>
        <w:t xml:space="preserve"> </w:t>
      </w:r>
      <w:r w:rsidRPr="00E35CE4">
        <w:rPr>
          <w:lang w:val="en-US"/>
        </w:rPr>
        <w:t>–</w:t>
      </w:r>
      <w:r w:rsidRPr="00E35CE4">
        <w:rPr>
          <w:spacing w:val="40"/>
          <w:lang w:val="en-US"/>
        </w:rPr>
        <w:t xml:space="preserve"> </w:t>
      </w:r>
      <w:r w:rsidRPr="00E35CE4">
        <w:rPr>
          <w:lang w:val="en-US"/>
        </w:rPr>
        <w:t>N</w:t>
      </w:r>
      <w:r w:rsidRPr="00E35CE4">
        <w:rPr>
          <w:spacing w:val="-1"/>
          <w:lang w:val="en-US"/>
        </w:rPr>
        <w:t>o</w:t>
      </w:r>
      <w:r w:rsidRPr="00E35CE4">
        <w:rPr>
          <w:lang w:val="en-US"/>
        </w:rPr>
        <w:t>vati</w:t>
      </w:r>
      <w:r w:rsidRPr="00E35CE4">
        <w:rPr>
          <w:spacing w:val="-1"/>
          <w:lang w:val="en-US"/>
        </w:rPr>
        <w:t>o</w:t>
      </w:r>
      <w:r w:rsidRPr="00E35CE4">
        <w:rPr>
          <w:lang w:val="en-US"/>
        </w:rPr>
        <w:t>n</w:t>
      </w:r>
      <w:r w:rsidRPr="00E35CE4">
        <w:rPr>
          <w:spacing w:val="41"/>
          <w:lang w:val="en-US"/>
        </w:rPr>
        <w:t xml:space="preserve"> </w:t>
      </w:r>
      <w:r w:rsidRPr="00E35CE4">
        <w:rPr>
          <w:lang w:val="en-US"/>
        </w:rPr>
        <w:t>of</w:t>
      </w:r>
      <w:r w:rsidR="00875C4D">
        <w:rPr>
          <w:lang w:val="en-US"/>
        </w:rPr>
        <w:t xml:space="preserve"> </w:t>
      </w:r>
      <w:r w:rsidRPr="00E35CE4">
        <w:rPr>
          <w:lang w:val="en-US"/>
        </w:rPr>
        <w:t>Der</w:t>
      </w:r>
      <w:r w:rsidRPr="00E35CE4">
        <w:rPr>
          <w:spacing w:val="-1"/>
          <w:lang w:val="en-US"/>
        </w:rPr>
        <w:t>i</w:t>
      </w:r>
      <w:r w:rsidRPr="00E35CE4">
        <w:rPr>
          <w:lang w:val="en-US"/>
        </w:rPr>
        <w:t>vat</w:t>
      </w:r>
      <w:r w:rsidRPr="00E35CE4">
        <w:rPr>
          <w:spacing w:val="-1"/>
          <w:lang w:val="en-US"/>
        </w:rPr>
        <w:t>i</w:t>
      </w:r>
      <w:r w:rsidRPr="00E35CE4">
        <w:rPr>
          <w:lang w:val="en-US"/>
        </w:rPr>
        <w:t>ves and Con</w:t>
      </w:r>
      <w:r w:rsidRPr="00E35CE4">
        <w:rPr>
          <w:spacing w:val="-1"/>
          <w:lang w:val="en-US"/>
        </w:rPr>
        <w:t>t</w:t>
      </w:r>
      <w:r w:rsidRPr="00E35CE4">
        <w:rPr>
          <w:lang w:val="en-US"/>
        </w:rPr>
        <w:t>inuat</w:t>
      </w:r>
      <w:r w:rsidRPr="00E35CE4">
        <w:rPr>
          <w:spacing w:val="-1"/>
          <w:lang w:val="en-US"/>
        </w:rPr>
        <w:t>i</w:t>
      </w:r>
      <w:r w:rsidRPr="00E35CE4">
        <w:rPr>
          <w:lang w:val="en-US"/>
        </w:rPr>
        <w:t>on of Hedge</w:t>
      </w:r>
      <w:r w:rsidRPr="00E35CE4">
        <w:rPr>
          <w:spacing w:val="-1"/>
          <w:lang w:val="en-US"/>
        </w:rPr>
        <w:t xml:space="preserve"> </w:t>
      </w:r>
      <w:r w:rsidRPr="00E35CE4">
        <w:rPr>
          <w:lang w:val="en-US"/>
        </w:rPr>
        <w:t xml:space="preserve">Accounting </w:t>
      </w:r>
      <w:r w:rsidRPr="00E35CE4">
        <w:rPr>
          <w:spacing w:val="-2"/>
          <w:lang w:val="en-US"/>
        </w:rPr>
        <w:t>[</w:t>
      </w:r>
      <w:r w:rsidRPr="00E35CE4">
        <w:rPr>
          <w:lang w:val="en-US"/>
        </w:rPr>
        <w:t>AASB 139]</w:t>
      </w:r>
    </w:p>
    <w:p w:rsidR="00E2543D" w:rsidRPr="00875C4D" w:rsidRDefault="00E2543D" w:rsidP="00875C4D">
      <w:pPr>
        <w:pStyle w:val="Financialnotes"/>
      </w:pPr>
      <w:r w:rsidRPr="00E35CE4">
        <w:t xml:space="preserve">This Standard permits the continuation of hedge accounting in circumstances where a derivative, which has been designated as a hedging instrument, is novated </w:t>
      </w:r>
      <w:proofErr w:type="gramStart"/>
      <w:r w:rsidRPr="00E35CE4">
        <w:t>from one counterparty</w:t>
      </w:r>
      <w:proofErr w:type="gramEnd"/>
      <w:r w:rsidRPr="00E35CE4">
        <w:t xml:space="preserve"> to a central counterparty as a consequence of laws or regulations. The Department does not routinely enter into derivatives or </w:t>
      </w:r>
      <w:proofErr w:type="gramStart"/>
      <w:r w:rsidRPr="00E35CE4">
        <w:t>hedges,</w:t>
      </w:r>
      <w:proofErr w:type="gramEnd"/>
      <w:r w:rsidRPr="00E35CE4">
        <w:t xml:space="preserve"> therefor</w:t>
      </w:r>
      <w:r w:rsidR="00875C4D">
        <w:t>e there is no financial impact.</w:t>
      </w:r>
    </w:p>
    <w:p w:rsidR="00E2543D" w:rsidRPr="00E35CE4" w:rsidRDefault="00E2543D" w:rsidP="00875C4D">
      <w:pPr>
        <w:pStyle w:val="Financialsheading6"/>
        <w:rPr>
          <w:lang w:val="en-US"/>
        </w:rPr>
      </w:pPr>
      <w:r w:rsidRPr="00E35CE4">
        <w:rPr>
          <w:lang w:val="en-US"/>
        </w:rPr>
        <w:t>AASB</w:t>
      </w:r>
      <w:r w:rsidRPr="00E35CE4">
        <w:rPr>
          <w:spacing w:val="-1"/>
          <w:lang w:val="en-US"/>
        </w:rPr>
        <w:t xml:space="preserve"> </w:t>
      </w:r>
      <w:r w:rsidRPr="00E35CE4">
        <w:rPr>
          <w:lang w:val="en-US"/>
        </w:rPr>
        <w:t>2013-8</w:t>
      </w:r>
      <w:r w:rsidR="00875C4D">
        <w:rPr>
          <w:lang w:val="en-US"/>
        </w:rPr>
        <w:tab/>
      </w:r>
      <w:r w:rsidRPr="00E35CE4">
        <w:rPr>
          <w:lang w:val="en-US"/>
        </w:rPr>
        <w:t>A</w:t>
      </w:r>
      <w:r w:rsidRPr="00E35CE4">
        <w:rPr>
          <w:spacing w:val="-1"/>
          <w:lang w:val="en-US"/>
        </w:rPr>
        <w:t>m</w:t>
      </w:r>
      <w:r w:rsidRPr="00E35CE4">
        <w:rPr>
          <w:lang w:val="en-US"/>
        </w:rPr>
        <w:t>end</w:t>
      </w:r>
      <w:r w:rsidRPr="00E35CE4">
        <w:rPr>
          <w:spacing w:val="-1"/>
          <w:lang w:val="en-US"/>
        </w:rPr>
        <w:t>m</w:t>
      </w:r>
      <w:r w:rsidRPr="00E35CE4">
        <w:rPr>
          <w:lang w:val="en-US"/>
        </w:rPr>
        <w:t>ents</w:t>
      </w:r>
      <w:r w:rsidRPr="00E35CE4">
        <w:rPr>
          <w:spacing w:val="22"/>
          <w:lang w:val="en-US"/>
        </w:rPr>
        <w:t xml:space="preserve"> </w:t>
      </w:r>
      <w:r w:rsidRPr="00E35CE4">
        <w:rPr>
          <w:lang w:val="en-US"/>
        </w:rPr>
        <w:t>to Aus</w:t>
      </w:r>
      <w:r w:rsidRPr="00E35CE4">
        <w:rPr>
          <w:spacing w:val="-2"/>
          <w:lang w:val="en-US"/>
        </w:rPr>
        <w:t>t</w:t>
      </w:r>
      <w:r w:rsidRPr="00E35CE4">
        <w:rPr>
          <w:lang w:val="en-US"/>
        </w:rPr>
        <w:t>ral</w:t>
      </w:r>
      <w:r w:rsidRPr="00E35CE4">
        <w:rPr>
          <w:spacing w:val="-1"/>
          <w:lang w:val="en-US"/>
        </w:rPr>
        <w:t>i</w:t>
      </w:r>
      <w:r w:rsidRPr="00E35CE4">
        <w:rPr>
          <w:lang w:val="en-US"/>
        </w:rPr>
        <w:t>an Acc</w:t>
      </w:r>
      <w:r w:rsidRPr="00E35CE4">
        <w:rPr>
          <w:spacing w:val="-1"/>
          <w:lang w:val="en-US"/>
        </w:rPr>
        <w:t>o</w:t>
      </w:r>
      <w:r w:rsidRPr="00E35CE4">
        <w:rPr>
          <w:lang w:val="en-US"/>
        </w:rPr>
        <w:t>unt</w:t>
      </w:r>
      <w:r w:rsidRPr="00E35CE4">
        <w:rPr>
          <w:spacing w:val="-1"/>
          <w:lang w:val="en-US"/>
        </w:rPr>
        <w:t>i</w:t>
      </w:r>
      <w:r w:rsidRPr="00E35CE4">
        <w:rPr>
          <w:lang w:val="en-US"/>
        </w:rPr>
        <w:t>ng Stan</w:t>
      </w:r>
      <w:r w:rsidRPr="00E35CE4">
        <w:rPr>
          <w:spacing w:val="-1"/>
          <w:lang w:val="en-US"/>
        </w:rPr>
        <w:t>d</w:t>
      </w:r>
      <w:r w:rsidRPr="00E35CE4">
        <w:rPr>
          <w:lang w:val="en-US"/>
        </w:rPr>
        <w:t>ar</w:t>
      </w:r>
      <w:r w:rsidRPr="00E35CE4">
        <w:rPr>
          <w:spacing w:val="-1"/>
          <w:lang w:val="en-US"/>
        </w:rPr>
        <w:t>d</w:t>
      </w:r>
      <w:r w:rsidRPr="00E35CE4">
        <w:rPr>
          <w:lang w:val="en-US"/>
        </w:rPr>
        <w:t>s</w:t>
      </w:r>
      <w:r w:rsidRPr="00E35CE4">
        <w:rPr>
          <w:spacing w:val="22"/>
          <w:lang w:val="en-US"/>
        </w:rPr>
        <w:t xml:space="preserve"> </w:t>
      </w:r>
      <w:r w:rsidRPr="00E35CE4">
        <w:rPr>
          <w:lang w:val="en-US"/>
        </w:rPr>
        <w:t xml:space="preserve">– </w:t>
      </w:r>
      <w:r w:rsidRPr="00E35CE4">
        <w:rPr>
          <w:spacing w:val="-2"/>
          <w:lang w:val="en-US"/>
        </w:rPr>
        <w:t>A</w:t>
      </w:r>
      <w:r w:rsidRPr="00E35CE4">
        <w:rPr>
          <w:lang w:val="en-US"/>
        </w:rPr>
        <w:t>ustra</w:t>
      </w:r>
      <w:r w:rsidRPr="00E35CE4">
        <w:rPr>
          <w:spacing w:val="-1"/>
          <w:lang w:val="en-US"/>
        </w:rPr>
        <w:t>l</w:t>
      </w:r>
      <w:r w:rsidRPr="00E35CE4">
        <w:rPr>
          <w:lang w:val="en-US"/>
        </w:rPr>
        <w:t>ian I</w:t>
      </w:r>
      <w:r w:rsidRPr="00E35CE4">
        <w:rPr>
          <w:spacing w:val="-1"/>
          <w:lang w:val="en-US"/>
        </w:rPr>
        <w:t>m</w:t>
      </w:r>
      <w:r w:rsidRPr="00E35CE4">
        <w:rPr>
          <w:lang w:val="en-US"/>
        </w:rPr>
        <w:t>ple</w:t>
      </w:r>
      <w:r w:rsidRPr="00E35CE4">
        <w:rPr>
          <w:spacing w:val="-1"/>
          <w:lang w:val="en-US"/>
        </w:rPr>
        <w:t>m</w:t>
      </w:r>
      <w:r w:rsidRPr="00E35CE4">
        <w:rPr>
          <w:lang w:val="en-US"/>
        </w:rPr>
        <w:t>entation</w:t>
      </w:r>
      <w:r w:rsidRPr="00E35CE4">
        <w:rPr>
          <w:spacing w:val="2"/>
          <w:lang w:val="en-US"/>
        </w:rPr>
        <w:t xml:space="preserve"> </w:t>
      </w:r>
      <w:r w:rsidRPr="00E35CE4">
        <w:rPr>
          <w:lang w:val="en-US"/>
        </w:rPr>
        <w:t>Gui</w:t>
      </w:r>
      <w:r w:rsidRPr="00E35CE4">
        <w:rPr>
          <w:spacing w:val="-1"/>
          <w:lang w:val="en-US"/>
        </w:rPr>
        <w:t>d</w:t>
      </w:r>
      <w:r w:rsidRPr="00E35CE4">
        <w:rPr>
          <w:lang w:val="en-US"/>
        </w:rPr>
        <w:t>a</w:t>
      </w:r>
      <w:r w:rsidRPr="00E35CE4">
        <w:rPr>
          <w:spacing w:val="-1"/>
          <w:lang w:val="en-US"/>
        </w:rPr>
        <w:t>n</w:t>
      </w:r>
      <w:r w:rsidRPr="00E35CE4">
        <w:rPr>
          <w:lang w:val="en-US"/>
        </w:rPr>
        <w:t>ce</w:t>
      </w:r>
      <w:r w:rsidRPr="00E35CE4">
        <w:rPr>
          <w:spacing w:val="1"/>
          <w:lang w:val="en-US"/>
        </w:rPr>
        <w:t xml:space="preserve"> </w:t>
      </w:r>
      <w:r w:rsidRPr="00E35CE4">
        <w:rPr>
          <w:lang w:val="en-US"/>
        </w:rPr>
        <w:t>for</w:t>
      </w:r>
      <w:r w:rsidRPr="00E35CE4">
        <w:rPr>
          <w:spacing w:val="2"/>
          <w:lang w:val="en-US"/>
        </w:rPr>
        <w:t xml:space="preserve"> </w:t>
      </w:r>
      <w:r w:rsidRPr="00E35CE4">
        <w:rPr>
          <w:lang w:val="en-US"/>
        </w:rPr>
        <w:t>Not-f</w:t>
      </w:r>
      <w:r w:rsidRPr="00E35CE4">
        <w:rPr>
          <w:spacing w:val="-1"/>
          <w:lang w:val="en-US"/>
        </w:rPr>
        <w:t>o</w:t>
      </w:r>
      <w:r w:rsidRPr="00E35CE4">
        <w:rPr>
          <w:lang w:val="en-US"/>
        </w:rPr>
        <w:t>r-Profit</w:t>
      </w:r>
      <w:r w:rsidRPr="00E35CE4">
        <w:rPr>
          <w:spacing w:val="2"/>
          <w:lang w:val="en-US"/>
        </w:rPr>
        <w:t xml:space="preserve"> </w:t>
      </w:r>
      <w:r w:rsidRPr="00E35CE4">
        <w:rPr>
          <w:lang w:val="en-US"/>
        </w:rPr>
        <w:t>Entities</w:t>
      </w:r>
      <w:r w:rsidRPr="00E35CE4">
        <w:rPr>
          <w:spacing w:val="2"/>
          <w:lang w:val="en-US"/>
        </w:rPr>
        <w:t xml:space="preserve"> </w:t>
      </w:r>
      <w:r w:rsidRPr="00E35CE4">
        <w:rPr>
          <w:lang w:val="en-US"/>
        </w:rPr>
        <w:t>–</w:t>
      </w:r>
      <w:r w:rsidRPr="00E35CE4">
        <w:rPr>
          <w:spacing w:val="2"/>
          <w:lang w:val="en-US"/>
        </w:rPr>
        <w:t xml:space="preserve"> </w:t>
      </w:r>
      <w:r w:rsidRPr="00E35CE4">
        <w:rPr>
          <w:lang w:val="en-US"/>
        </w:rPr>
        <w:t>C</w:t>
      </w:r>
      <w:r w:rsidRPr="00E35CE4">
        <w:rPr>
          <w:spacing w:val="-1"/>
          <w:lang w:val="en-US"/>
        </w:rPr>
        <w:t>o</w:t>
      </w:r>
      <w:r w:rsidRPr="00E35CE4">
        <w:rPr>
          <w:lang w:val="en-US"/>
        </w:rPr>
        <w:t xml:space="preserve">ntrol and Structured Entities [AASB </w:t>
      </w:r>
      <w:r w:rsidRPr="00E35CE4">
        <w:rPr>
          <w:spacing w:val="1"/>
          <w:lang w:val="en-US"/>
        </w:rPr>
        <w:t>1</w:t>
      </w:r>
      <w:r w:rsidRPr="00E35CE4">
        <w:rPr>
          <w:lang w:val="en-US"/>
        </w:rPr>
        <w:t>0, 12 &amp; 1049]</w:t>
      </w:r>
    </w:p>
    <w:p w:rsidR="00E2543D" w:rsidRPr="00E35CE4" w:rsidRDefault="00E2543D" w:rsidP="00AF0A61">
      <w:pPr>
        <w:pStyle w:val="Financialnotes"/>
      </w:pPr>
      <w:r w:rsidRPr="00E35CE4">
        <w:t>The amendments, issued in October 2013, provide significant guidance in determining whether a not-for-profit entity controls another entity when financial returns are not a key attribute of the investor’s relationship. The Standard has no financial impact in its own right, rather the impact results from the adoption of the amended AASB 10.</w:t>
      </w:r>
    </w:p>
    <w:p w:rsidR="00E2543D" w:rsidRPr="00E35CE4" w:rsidRDefault="00E2543D" w:rsidP="00875C4D">
      <w:pPr>
        <w:pStyle w:val="Financialsheading6"/>
        <w:rPr>
          <w:lang w:val="en-US"/>
        </w:rPr>
      </w:pPr>
      <w:r w:rsidRPr="00E35CE4">
        <w:rPr>
          <w:lang w:val="en-US"/>
        </w:rPr>
        <w:t>AASB</w:t>
      </w:r>
      <w:r w:rsidRPr="00E35CE4">
        <w:rPr>
          <w:spacing w:val="-1"/>
          <w:lang w:val="en-US"/>
        </w:rPr>
        <w:t xml:space="preserve"> </w:t>
      </w:r>
      <w:r w:rsidRPr="00E35CE4">
        <w:rPr>
          <w:lang w:val="en-US"/>
        </w:rPr>
        <w:t>2013-9</w:t>
      </w:r>
      <w:r w:rsidRPr="00E35CE4">
        <w:rPr>
          <w:lang w:val="en-US"/>
        </w:rPr>
        <w:tab/>
        <w:t>A</w:t>
      </w:r>
      <w:r w:rsidRPr="00E35CE4">
        <w:rPr>
          <w:spacing w:val="-1"/>
          <w:lang w:val="en-US"/>
        </w:rPr>
        <w:t>m</w:t>
      </w:r>
      <w:r w:rsidRPr="00E35CE4">
        <w:rPr>
          <w:lang w:val="en-US"/>
        </w:rPr>
        <w:t>end</w:t>
      </w:r>
      <w:r w:rsidRPr="00E35CE4">
        <w:rPr>
          <w:spacing w:val="-1"/>
          <w:lang w:val="en-US"/>
        </w:rPr>
        <w:t>m</w:t>
      </w:r>
      <w:r w:rsidRPr="00E35CE4">
        <w:rPr>
          <w:lang w:val="en-US"/>
        </w:rPr>
        <w:t>ents to Aus</w:t>
      </w:r>
      <w:r w:rsidRPr="00E35CE4">
        <w:rPr>
          <w:spacing w:val="-2"/>
          <w:lang w:val="en-US"/>
        </w:rPr>
        <w:t>t</w:t>
      </w:r>
      <w:r w:rsidRPr="00E35CE4">
        <w:rPr>
          <w:lang w:val="en-US"/>
        </w:rPr>
        <w:t>ral</w:t>
      </w:r>
      <w:r w:rsidRPr="00E35CE4">
        <w:rPr>
          <w:spacing w:val="-1"/>
          <w:lang w:val="en-US"/>
        </w:rPr>
        <w:t>i</w:t>
      </w:r>
      <w:r w:rsidRPr="00E35CE4">
        <w:rPr>
          <w:lang w:val="en-US"/>
        </w:rPr>
        <w:t>an Acc</w:t>
      </w:r>
      <w:r w:rsidRPr="00E35CE4">
        <w:rPr>
          <w:spacing w:val="-1"/>
          <w:lang w:val="en-US"/>
        </w:rPr>
        <w:t>o</w:t>
      </w:r>
      <w:r w:rsidRPr="00E35CE4">
        <w:rPr>
          <w:lang w:val="en-US"/>
        </w:rPr>
        <w:t>unt</w:t>
      </w:r>
      <w:r w:rsidRPr="00E35CE4">
        <w:rPr>
          <w:spacing w:val="-1"/>
          <w:lang w:val="en-US"/>
        </w:rPr>
        <w:t>i</w:t>
      </w:r>
      <w:r w:rsidRPr="00E35CE4">
        <w:rPr>
          <w:lang w:val="en-US"/>
        </w:rPr>
        <w:t>ng</w:t>
      </w:r>
      <w:r w:rsidRPr="00E35CE4">
        <w:rPr>
          <w:spacing w:val="1"/>
          <w:lang w:val="en-US"/>
        </w:rPr>
        <w:t xml:space="preserve"> </w:t>
      </w:r>
      <w:r w:rsidRPr="00E35CE4">
        <w:rPr>
          <w:lang w:val="en-US"/>
        </w:rPr>
        <w:t>Stan</w:t>
      </w:r>
      <w:r w:rsidRPr="00E35CE4">
        <w:rPr>
          <w:spacing w:val="-1"/>
          <w:lang w:val="en-US"/>
        </w:rPr>
        <w:t>d</w:t>
      </w:r>
      <w:r w:rsidRPr="00E35CE4">
        <w:rPr>
          <w:lang w:val="en-US"/>
        </w:rPr>
        <w:t>ar</w:t>
      </w:r>
      <w:r w:rsidRPr="00E35CE4">
        <w:rPr>
          <w:spacing w:val="-1"/>
          <w:lang w:val="en-US"/>
        </w:rPr>
        <w:t>d</w:t>
      </w:r>
      <w:r w:rsidRPr="00E35CE4">
        <w:rPr>
          <w:lang w:val="en-US"/>
        </w:rPr>
        <w:t>s – C</w:t>
      </w:r>
      <w:r w:rsidRPr="00E35CE4">
        <w:rPr>
          <w:spacing w:val="-1"/>
          <w:lang w:val="en-US"/>
        </w:rPr>
        <w:t>o</w:t>
      </w:r>
      <w:r w:rsidRPr="00E35CE4">
        <w:rPr>
          <w:lang w:val="en-US"/>
        </w:rPr>
        <w:t>nc</w:t>
      </w:r>
      <w:r w:rsidRPr="00E35CE4">
        <w:rPr>
          <w:spacing w:val="-1"/>
          <w:lang w:val="en-US"/>
        </w:rPr>
        <w:t>e</w:t>
      </w:r>
      <w:r w:rsidRPr="00E35CE4">
        <w:rPr>
          <w:lang w:val="en-US"/>
        </w:rPr>
        <w:t>ptual</w:t>
      </w:r>
      <w:r w:rsidR="00875C4D">
        <w:rPr>
          <w:lang w:val="en-US"/>
        </w:rPr>
        <w:t xml:space="preserve"> </w:t>
      </w:r>
      <w:r w:rsidRPr="00E35CE4">
        <w:rPr>
          <w:lang w:val="en-US"/>
        </w:rPr>
        <w:t>Fra</w:t>
      </w:r>
      <w:r w:rsidRPr="00E35CE4">
        <w:rPr>
          <w:spacing w:val="-1"/>
          <w:lang w:val="en-US"/>
        </w:rPr>
        <w:t>m</w:t>
      </w:r>
      <w:r w:rsidRPr="00E35CE4">
        <w:rPr>
          <w:lang w:val="en-US"/>
        </w:rPr>
        <w:t>ew</w:t>
      </w:r>
      <w:r w:rsidRPr="00E35CE4">
        <w:rPr>
          <w:spacing w:val="-1"/>
          <w:lang w:val="en-US"/>
        </w:rPr>
        <w:t>or</w:t>
      </w:r>
      <w:r w:rsidRPr="00E35CE4">
        <w:rPr>
          <w:lang w:val="en-US"/>
        </w:rPr>
        <w:t>k, Materiali</w:t>
      </w:r>
      <w:r w:rsidRPr="00E35CE4">
        <w:rPr>
          <w:spacing w:val="-2"/>
          <w:lang w:val="en-US"/>
        </w:rPr>
        <w:t>t</w:t>
      </w:r>
      <w:r w:rsidRPr="00E35CE4">
        <w:rPr>
          <w:lang w:val="en-US"/>
        </w:rPr>
        <w:t>y a</w:t>
      </w:r>
      <w:r w:rsidRPr="00E35CE4">
        <w:rPr>
          <w:spacing w:val="-1"/>
          <w:lang w:val="en-US"/>
        </w:rPr>
        <w:t>n</w:t>
      </w:r>
      <w:r w:rsidRPr="00E35CE4">
        <w:rPr>
          <w:lang w:val="en-US"/>
        </w:rPr>
        <w:t>d Fina</w:t>
      </w:r>
      <w:r w:rsidRPr="00E35CE4">
        <w:rPr>
          <w:spacing w:val="-1"/>
          <w:lang w:val="en-US"/>
        </w:rPr>
        <w:t>n</w:t>
      </w:r>
      <w:r w:rsidRPr="00E35CE4">
        <w:rPr>
          <w:lang w:val="en-US"/>
        </w:rPr>
        <w:t>cial I</w:t>
      </w:r>
      <w:r w:rsidRPr="00E35CE4">
        <w:rPr>
          <w:spacing w:val="-1"/>
          <w:lang w:val="en-US"/>
        </w:rPr>
        <w:t>n</w:t>
      </w:r>
      <w:r w:rsidRPr="00E35CE4">
        <w:rPr>
          <w:lang w:val="en-US"/>
        </w:rPr>
        <w:t>stru</w:t>
      </w:r>
      <w:r w:rsidRPr="00E35CE4">
        <w:rPr>
          <w:spacing w:val="-1"/>
          <w:lang w:val="en-US"/>
        </w:rPr>
        <w:t>m</w:t>
      </w:r>
      <w:r w:rsidRPr="00E35CE4">
        <w:rPr>
          <w:lang w:val="en-US"/>
        </w:rPr>
        <w:t>ents</w:t>
      </w:r>
    </w:p>
    <w:p w:rsidR="00E2543D" w:rsidRPr="00875C4D" w:rsidRDefault="00E2543D" w:rsidP="00875C4D">
      <w:pPr>
        <w:pStyle w:val="Financialnotes"/>
      </w:pPr>
      <w:r w:rsidRPr="00E35CE4">
        <w:t>Part B of this omnibus Standard makes amendments to other Standards arising from the deletion of references to AASB 1031 in other Standards for periods beginning on or after 1 January 20</w:t>
      </w:r>
      <w:r w:rsidR="00875C4D">
        <w:t>14. It has no financial impact.</w:t>
      </w:r>
    </w:p>
    <w:p w:rsidR="00E2543D" w:rsidRPr="00E35CE4" w:rsidRDefault="00E2543D" w:rsidP="00875C4D">
      <w:pPr>
        <w:pStyle w:val="Financialsheading6"/>
        <w:rPr>
          <w:lang w:val="en-US"/>
        </w:rPr>
      </w:pPr>
      <w:r w:rsidRPr="00E35CE4">
        <w:rPr>
          <w:lang w:val="en-US"/>
        </w:rPr>
        <w:t>AASB</w:t>
      </w:r>
      <w:r w:rsidRPr="00E35CE4">
        <w:rPr>
          <w:spacing w:val="-1"/>
          <w:lang w:val="en-US"/>
        </w:rPr>
        <w:t xml:space="preserve"> </w:t>
      </w:r>
      <w:r w:rsidRPr="00E35CE4">
        <w:rPr>
          <w:lang w:val="en-US"/>
        </w:rPr>
        <w:t>2014-1</w:t>
      </w:r>
      <w:r w:rsidRPr="00E35CE4">
        <w:rPr>
          <w:lang w:val="en-US"/>
        </w:rPr>
        <w:tab/>
        <w:t>A</w:t>
      </w:r>
      <w:r w:rsidRPr="00E35CE4">
        <w:rPr>
          <w:spacing w:val="-1"/>
          <w:lang w:val="en-US"/>
        </w:rPr>
        <w:t>m</w:t>
      </w:r>
      <w:r w:rsidRPr="00E35CE4">
        <w:rPr>
          <w:lang w:val="en-US"/>
        </w:rPr>
        <w:t>end</w:t>
      </w:r>
      <w:r w:rsidRPr="00E35CE4">
        <w:rPr>
          <w:spacing w:val="-1"/>
          <w:lang w:val="en-US"/>
        </w:rPr>
        <w:t>m</w:t>
      </w:r>
      <w:r w:rsidRPr="00E35CE4">
        <w:rPr>
          <w:lang w:val="en-US"/>
        </w:rPr>
        <w:t>ents to Australian</w:t>
      </w:r>
      <w:r w:rsidRPr="00E35CE4">
        <w:rPr>
          <w:spacing w:val="-2"/>
          <w:lang w:val="en-US"/>
        </w:rPr>
        <w:t xml:space="preserve"> </w:t>
      </w:r>
      <w:r w:rsidRPr="00E35CE4">
        <w:rPr>
          <w:lang w:val="en-US"/>
        </w:rPr>
        <w:t>Acc</w:t>
      </w:r>
      <w:r w:rsidRPr="00E35CE4">
        <w:rPr>
          <w:spacing w:val="-1"/>
          <w:lang w:val="en-US"/>
        </w:rPr>
        <w:t>o</w:t>
      </w:r>
      <w:r w:rsidRPr="00E35CE4">
        <w:rPr>
          <w:lang w:val="en-US"/>
        </w:rPr>
        <w:t xml:space="preserve">unting </w:t>
      </w:r>
      <w:r w:rsidRPr="00E35CE4">
        <w:rPr>
          <w:spacing w:val="-2"/>
          <w:lang w:val="en-US"/>
        </w:rPr>
        <w:t>S</w:t>
      </w:r>
      <w:r w:rsidRPr="00E35CE4">
        <w:rPr>
          <w:lang w:val="en-US"/>
        </w:rPr>
        <w:t>tandards</w:t>
      </w:r>
    </w:p>
    <w:p w:rsidR="00E2543D" w:rsidRPr="00E35CE4" w:rsidRDefault="00E2543D" w:rsidP="00AF0A61">
      <w:pPr>
        <w:pStyle w:val="Financialnotes"/>
      </w:pPr>
      <w:r w:rsidRPr="00E35CE4">
        <w:t>Part A of this Standard consists primarily of clarifications to Accounting</w:t>
      </w:r>
      <w:r>
        <w:t xml:space="preserve"> </w:t>
      </w:r>
      <w:r w:rsidRPr="00E35CE4">
        <w:t>Standards and has no financial impact for the Department.</w:t>
      </w:r>
    </w:p>
    <w:p w:rsidR="00E2543D" w:rsidRPr="00E35CE4" w:rsidRDefault="00E2543D" w:rsidP="00AF0A61">
      <w:pPr>
        <w:pStyle w:val="Financialnotes"/>
      </w:pPr>
      <w:r w:rsidRPr="00E35CE4">
        <w:t>Part B of this Standard has no financial impact as the Department contributes to schemes that are either defined contribution plans, or deemed to be defined contribution plans.</w:t>
      </w:r>
    </w:p>
    <w:p w:rsidR="00E2543D" w:rsidRPr="00E35CE4" w:rsidRDefault="00E2543D" w:rsidP="00AF0A61">
      <w:pPr>
        <w:pStyle w:val="Financialnotes"/>
      </w:pPr>
      <w:r w:rsidRPr="00E35CE4">
        <w:t>Part C of this Standard has no financial impact as it removes references to AASB</w:t>
      </w:r>
      <w:r w:rsidR="00563EC9">
        <w:t> </w:t>
      </w:r>
      <w:r w:rsidRPr="00E35CE4">
        <w:t xml:space="preserve">1031 </w:t>
      </w:r>
      <w:r w:rsidRPr="002451C2">
        <w:rPr>
          <w:i/>
        </w:rPr>
        <w:t>Materiality</w:t>
      </w:r>
      <w:r w:rsidRPr="00E35CE4">
        <w:t xml:space="preserve"> from a number of Accounting Standards</w:t>
      </w:r>
      <w:r w:rsidR="00875C4D">
        <w:t>.</w:t>
      </w:r>
    </w:p>
    <w:p w:rsidR="00DD380D" w:rsidRDefault="00DD380D" w:rsidP="000363C7">
      <w:pPr>
        <w:pStyle w:val="Financialsheading4"/>
      </w:pPr>
    </w:p>
    <w:p w:rsidR="00C34186" w:rsidRDefault="00C34186" w:rsidP="000363C7">
      <w:pPr>
        <w:pStyle w:val="Financialsheading4"/>
      </w:pPr>
      <w:r>
        <w:br w:type="page"/>
      </w:r>
    </w:p>
    <w:p w:rsidR="00875C4D" w:rsidRDefault="00875C4D" w:rsidP="000363C7">
      <w:pPr>
        <w:pStyle w:val="Financialsheading4"/>
      </w:pPr>
      <w:r>
        <w:lastRenderedPageBreak/>
        <w:t>Future impact of Australian Accounting Standards not yet operative</w:t>
      </w:r>
    </w:p>
    <w:p w:rsidR="00E2543D" w:rsidRDefault="00875C4D" w:rsidP="000363C7">
      <w:pPr>
        <w:pStyle w:val="Financialnotes"/>
      </w:pPr>
      <w:r>
        <w:t>The Department cannot early adopt an Australian Accounting Standard unless specifically permitted by TI 1101 Application of Australian Accounting Standards and Other Pronouncements. Consequently, the Department has not applied early any of the following Australian Accounting Standards that have been issued that may impact the Authority. Where applicable, the Authority plans to apply these Australian Accounting Standards from their application date.</w:t>
      </w:r>
    </w:p>
    <w:tbl>
      <w:tblPr>
        <w:tblStyle w:val="TableGrid"/>
        <w:tblW w:w="0" w:type="auto"/>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28" w:type="dxa"/>
        </w:tblCellMar>
        <w:tblLook w:val="04A0" w:firstRow="1" w:lastRow="0" w:firstColumn="1" w:lastColumn="0" w:noHBand="0" w:noVBand="1"/>
      </w:tblPr>
      <w:tblGrid>
        <w:gridCol w:w="1276"/>
        <w:gridCol w:w="5702"/>
        <w:gridCol w:w="1345"/>
      </w:tblGrid>
      <w:tr w:rsidR="000363C7" w:rsidRPr="006966DC" w:rsidTr="00563EC9">
        <w:trPr>
          <w:tblHeader/>
        </w:trPr>
        <w:tc>
          <w:tcPr>
            <w:tcW w:w="1276" w:type="dxa"/>
          </w:tcPr>
          <w:p w:rsidR="000363C7" w:rsidRPr="008B4D48" w:rsidRDefault="000363C7" w:rsidP="00B91A35">
            <w:pPr>
              <w:rPr>
                <w:rFonts w:ascii="Arial" w:hAnsi="Arial" w:cs="Arial"/>
                <w:sz w:val="22"/>
              </w:rPr>
            </w:pPr>
          </w:p>
        </w:tc>
        <w:tc>
          <w:tcPr>
            <w:tcW w:w="5702" w:type="dxa"/>
          </w:tcPr>
          <w:p w:rsidR="000363C7" w:rsidRPr="008B4D48" w:rsidRDefault="000363C7" w:rsidP="00563EC9">
            <w:pPr>
              <w:spacing w:after="120"/>
              <w:rPr>
                <w:rFonts w:ascii="Arial" w:hAnsi="Arial" w:cs="Arial"/>
                <w:sz w:val="22"/>
              </w:rPr>
            </w:pPr>
          </w:p>
        </w:tc>
        <w:tc>
          <w:tcPr>
            <w:tcW w:w="1345" w:type="dxa"/>
          </w:tcPr>
          <w:p w:rsidR="000363C7" w:rsidRPr="008B4D48" w:rsidRDefault="000363C7" w:rsidP="00B91A35">
            <w:pPr>
              <w:rPr>
                <w:rFonts w:ascii="Arial" w:hAnsi="Arial" w:cs="Arial"/>
                <w:sz w:val="22"/>
              </w:rPr>
            </w:pPr>
            <w:r w:rsidRPr="008B4D48">
              <w:rPr>
                <w:rFonts w:ascii="Arial" w:hAnsi="Arial" w:cs="Arial"/>
                <w:b/>
                <w:sz w:val="22"/>
              </w:rPr>
              <w:t>Operative for reporting periods beginning on/after</w:t>
            </w:r>
          </w:p>
        </w:tc>
      </w:tr>
      <w:tr w:rsidR="000363C7" w:rsidRPr="006966DC" w:rsidTr="00B91A35">
        <w:tc>
          <w:tcPr>
            <w:tcW w:w="1276" w:type="dxa"/>
          </w:tcPr>
          <w:p w:rsidR="000363C7" w:rsidRPr="008B4D48" w:rsidRDefault="000363C7" w:rsidP="00B91A35">
            <w:pPr>
              <w:rPr>
                <w:rFonts w:ascii="Arial" w:hAnsi="Arial" w:cs="Arial"/>
                <w:sz w:val="22"/>
              </w:rPr>
            </w:pPr>
            <w:r w:rsidRPr="008B4D48">
              <w:rPr>
                <w:rFonts w:ascii="Arial" w:eastAsia="Arial" w:hAnsi="Arial" w:cs="Arial"/>
                <w:i/>
                <w:sz w:val="22"/>
              </w:rPr>
              <w:t>AASB</w:t>
            </w:r>
            <w:r w:rsidRPr="008B4D48">
              <w:rPr>
                <w:rFonts w:ascii="Arial" w:eastAsia="Arial" w:hAnsi="Arial" w:cs="Arial"/>
                <w:i/>
                <w:spacing w:val="-1"/>
                <w:sz w:val="22"/>
              </w:rPr>
              <w:t xml:space="preserve"> </w:t>
            </w:r>
            <w:r w:rsidRPr="008B4D48">
              <w:rPr>
                <w:rFonts w:ascii="Arial" w:eastAsia="Arial" w:hAnsi="Arial" w:cs="Arial"/>
                <w:i/>
                <w:sz w:val="22"/>
              </w:rPr>
              <w:t>9</w:t>
            </w:r>
          </w:p>
        </w:tc>
        <w:tc>
          <w:tcPr>
            <w:tcW w:w="5702" w:type="dxa"/>
          </w:tcPr>
          <w:p w:rsidR="000363C7" w:rsidRPr="008B4D48" w:rsidRDefault="000363C7" w:rsidP="00563EC9">
            <w:pPr>
              <w:tabs>
                <w:tab w:val="left" w:pos="3500"/>
              </w:tabs>
              <w:spacing w:after="120"/>
              <w:ind w:left="34" w:right="-23"/>
              <w:rPr>
                <w:rFonts w:eastAsia="Arial" w:cstheme="minorHAnsi"/>
                <w:sz w:val="22"/>
              </w:rPr>
            </w:pPr>
            <w:r w:rsidRPr="008B4D48">
              <w:rPr>
                <w:rFonts w:eastAsia="Arial" w:cstheme="minorHAnsi"/>
                <w:i/>
                <w:sz w:val="22"/>
              </w:rPr>
              <w:t>Finan</w:t>
            </w:r>
            <w:r w:rsidRPr="008B4D48">
              <w:rPr>
                <w:rFonts w:eastAsia="Arial" w:cstheme="minorHAnsi"/>
                <w:i/>
                <w:spacing w:val="1"/>
                <w:sz w:val="22"/>
              </w:rPr>
              <w:t>c</w:t>
            </w:r>
            <w:r w:rsidRPr="008B4D48">
              <w:rPr>
                <w:rFonts w:eastAsia="Arial" w:cstheme="minorHAnsi"/>
                <w:i/>
                <w:sz w:val="22"/>
              </w:rPr>
              <w:t>ial</w:t>
            </w:r>
            <w:r w:rsidRPr="008B4D48">
              <w:rPr>
                <w:rFonts w:eastAsia="Arial" w:cstheme="minorHAnsi"/>
                <w:i/>
                <w:spacing w:val="-1"/>
                <w:sz w:val="22"/>
              </w:rPr>
              <w:t xml:space="preserve"> </w:t>
            </w:r>
            <w:r w:rsidRPr="008B4D48">
              <w:rPr>
                <w:rFonts w:eastAsia="Arial" w:cstheme="minorHAnsi"/>
                <w:i/>
                <w:sz w:val="22"/>
              </w:rPr>
              <w:t>In</w:t>
            </w:r>
            <w:r w:rsidRPr="008B4D48">
              <w:rPr>
                <w:rFonts w:eastAsia="Arial" w:cstheme="minorHAnsi"/>
                <w:i/>
                <w:spacing w:val="1"/>
                <w:sz w:val="22"/>
              </w:rPr>
              <w:t>s</w:t>
            </w:r>
            <w:r w:rsidRPr="008B4D48">
              <w:rPr>
                <w:rFonts w:eastAsia="Arial" w:cstheme="minorHAnsi"/>
                <w:i/>
                <w:spacing w:val="-2"/>
                <w:sz w:val="22"/>
              </w:rPr>
              <w:t>t</w:t>
            </w:r>
            <w:r w:rsidRPr="008B4D48">
              <w:rPr>
                <w:rFonts w:eastAsia="Arial" w:cstheme="minorHAnsi"/>
                <w:i/>
                <w:sz w:val="22"/>
              </w:rPr>
              <w:t>ruments</w:t>
            </w:r>
          </w:p>
          <w:p w:rsidR="000363C7" w:rsidRPr="008B4D48" w:rsidRDefault="000363C7" w:rsidP="00563EC9">
            <w:pPr>
              <w:pStyle w:val="Financialnotes"/>
              <w:ind w:left="0"/>
              <w:rPr>
                <w:rFonts w:cstheme="minorHAnsi"/>
              </w:rPr>
            </w:pPr>
            <w:r w:rsidRPr="008B4D48">
              <w:rPr>
                <w:rFonts w:cstheme="minorHAnsi"/>
              </w:rPr>
              <w:t xml:space="preserve">This Standard supersedes </w:t>
            </w:r>
            <w:r w:rsidRPr="008B4D48">
              <w:rPr>
                <w:rFonts w:cstheme="minorHAnsi"/>
                <w:i/>
              </w:rPr>
              <w:t>AASB 139 Financial Instruments: Recognition and Measurement</w:t>
            </w:r>
            <w:r w:rsidRPr="008B4D48">
              <w:rPr>
                <w:rFonts w:cstheme="minorHAnsi"/>
              </w:rPr>
              <w:t>, introducing a number of changes to accounting treatments.</w:t>
            </w:r>
          </w:p>
          <w:p w:rsidR="000363C7" w:rsidRPr="008B4D48" w:rsidRDefault="000363C7" w:rsidP="00DD380D">
            <w:pPr>
              <w:pStyle w:val="Financialnotes"/>
              <w:ind w:left="0"/>
              <w:rPr>
                <w:rFonts w:cstheme="minorHAnsi"/>
              </w:rPr>
            </w:pPr>
            <w:r w:rsidRPr="008B4D48">
              <w:rPr>
                <w:rFonts w:cstheme="minorHAnsi"/>
              </w:rPr>
              <w:t>The mandatory application date of this Standard is currently 1 January 2018 after being amended by AASB 2012-6, AASB 2013-9 and AASB 2014-1</w:t>
            </w:r>
            <w:r w:rsidR="00DD380D">
              <w:rPr>
                <w:rFonts w:cstheme="minorHAnsi"/>
              </w:rPr>
              <w:t xml:space="preserve"> </w:t>
            </w:r>
            <w:r w:rsidRPr="008B4D48">
              <w:rPr>
                <w:rFonts w:cstheme="minorHAnsi"/>
                <w:i/>
              </w:rPr>
              <w:t>Amendments to Australian Accounting Standards</w:t>
            </w:r>
            <w:r w:rsidRPr="008B4D48">
              <w:rPr>
                <w:rFonts w:cstheme="minorHAnsi"/>
              </w:rPr>
              <w:t>. The Department has not yet determined the application or the potential impact of the Standard.</w:t>
            </w:r>
          </w:p>
        </w:tc>
        <w:tc>
          <w:tcPr>
            <w:tcW w:w="1345" w:type="dxa"/>
          </w:tcPr>
          <w:p w:rsidR="000363C7" w:rsidRPr="008B4D48" w:rsidRDefault="000363C7" w:rsidP="00B91A35">
            <w:pPr>
              <w:rPr>
                <w:rFonts w:ascii="Arial" w:hAnsi="Arial" w:cs="Arial"/>
                <w:sz w:val="22"/>
              </w:rPr>
            </w:pPr>
            <w:r w:rsidRPr="008B4D48">
              <w:rPr>
                <w:rFonts w:ascii="Arial" w:hAnsi="Arial" w:cs="Arial"/>
                <w:sz w:val="22"/>
              </w:rPr>
              <w:t>1 Jan 2018</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sz w:val="22"/>
              </w:rPr>
              <w:t>AASB</w:t>
            </w:r>
            <w:r w:rsidRPr="008B4D48">
              <w:rPr>
                <w:rFonts w:ascii="Arial" w:hAnsi="Arial" w:cs="Arial"/>
                <w:i/>
                <w:spacing w:val="-1"/>
                <w:sz w:val="22"/>
              </w:rPr>
              <w:t xml:space="preserve"> </w:t>
            </w:r>
            <w:r w:rsidRPr="008B4D48">
              <w:rPr>
                <w:rFonts w:ascii="Arial" w:hAnsi="Arial" w:cs="Arial"/>
                <w:i/>
                <w:sz w:val="22"/>
              </w:rPr>
              <w:t>15</w:t>
            </w:r>
          </w:p>
        </w:tc>
        <w:tc>
          <w:tcPr>
            <w:tcW w:w="5702" w:type="dxa"/>
          </w:tcPr>
          <w:p w:rsidR="000363C7" w:rsidRPr="008B4D48" w:rsidRDefault="000363C7" w:rsidP="00563EC9">
            <w:pPr>
              <w:pStyle w:val="Body"/>
              <w:spacing w:after="120"/>
              <w:ind w:left="0"/>
              <w:rPr>
                <w:rFonts w:cstheme="minorHAnsi"/>
                <w:i/>
                <w:iCs/>
                <w:sz w:val="22"/>
              </w:rPr>
            </w:pPr>
            <w:r w:rsidRPr="008B4D48">
              <w:rPr>
                <w:rFonts w:cstheme="minorHAnsi"/>
                <w:i/>
                <w:iCs/>
                <w:sz w:val="22"/>
              </w:rPr>
              <w:t>Revenue from Contracts with Customers</w:t>
            </w:r>
          </w:p>
          <w:p w:rsidR="000363C7" w:rsidRPr="008B4D48" w:rsidRDefault="000363C7" w:rsidP="00563EC9">
            <w:pPr>
              <w:pStyle w:val="Financialnotes"/>
              <w:ind w:left="0"/>
              <w:rPr>
                <w:rFonts w:ascii="Arial" w:hAnsi="Arial" w:cs="Arial"/>
                <w:iCs/>
              </w:rPr>
            </w:pPr>
            <w:r w:rsidRPr="008B4D48">
              <w:rPr>
                <w:rFonts w:cstheme="minorHAnsi"/>
              </w:rPr>
              <w:t>This Standard establishes the principles that the Department shall apply to report useful information to users of financial statement about the nature, amount, timing and uncertainty of revenue and cash flows arising from a contract with a customer. The Department has not yet determined the application or the potential impact of the Standard</w:t>
            </w:r>
          </w:p>
        </w:tc>
        <w:tc>
          <w:tcPr>
            <w:tcW w:w="1345" w:type="dxa"/>
          </w:tcPr>
          <w:p w:rsidR="000363C7" w:rsidRPr="008B4D48" w:rsidRDefault="000363C7" w:rsidP="00B91A35">
            <w:pPr>
              <w:rPr>
                <w:rFonts w:ascii="Arial" w:hAnsi="Arial" w:cs="Arial"/>
                <w:sz w:val="22"/>
              </w:rPr>
            </w:pPr>
            <w:r w:rsidRPr="008B4D48">
              <w:rPr>
                <w:rFonts w:ascii="Arial" w:hAnsi="Arial" w:cs="Arial"/>
                <w:sz w:val="22"/>
              </w:rPr>
              <w:t>1 Jan 2017</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Cs/>
                <w:sz w:val="22"/>
              </w:rPr>
              <w:t>AASB 2010-7</w:t>
            </w:r>
          </w:p>
        </w:tc>
        <w:tc>
          <w:tcPr>
            <w:tcW w:w="5702" w:type="dxa"/>
          </w:tcPr>
          <w:p w:rsidR="000363C7" w:rsidRPr="008B4D48" w:rsidRDefault="000363C7" w:rsidP="00563EC9">
            <w:pPr>
              <w:pStyle w:val="Financialnotes"/>
              <w:ind w:left="0"/>
              <w:rPr>
                <w:rFonts w:cstheme="minorHAnsi"/>
                <w:i/>
              </w:rPr>
            </w:pPr>
            <w:r w:rsidRPr="008B4D48">
              <w:rPr>
                <w:rFonts w:cstheme="minorHAnsi"/>
                <w:i/>
              </w:rPr>
              <w:t xml:space="preserve">Amendments to Australian Accounting Standards arising from AASB 9 (December 2010) [AASB 1, 3, 4, 5, 7, 101, 102, 108, 112, 118, 120, 121, 127, 128, 131, 132, 136, 137, 139, 1023 &amp; 1038 and </w:t>
            </w:r>
            <w:proofErr w:type="spellStart"/>
            <w:r w:rsidRPr="008B4D48">
              <w:rPr>
                <w:rFonts w:cstheme="minorHAnsi"/>
                <w:i/>
              </w:rPr>
              <w:t>Int</w:t>
            </w:r>
            <w:proofErr w:type="spellEnd"/>
            <w:r w:rsidRPr="008B4D48">
              <w:rPr>
                <w:rFonts w:cstheme="minorHAnsi"/>
                <w:i/>
              </w:rPr>
              <w:t xml:space="preserve"> 2, 5, 10, 12, 19 &amp; 127]</w:t>
            </w:r>
          </w:p>
          <w:p w:rsidR="000363C7" w:rsidRPr="008B4D48" w:rsidRDefault="000363C7" w:rsidP="00563EC9">
            <w:pPr>
              <w:pStyle w:val="Financialnotes"/>
              <w:ind w:left="0"/>
              <w:rPr>
                <w:rFonts w:cstheme="minorHAnsi"/>
              </w:rPr>
            </w:pPr>
            <w:r w:rsidRPr="008B4D48">
              <w:rPr>
                <w:rFonts w:cstheme="minorHAnsi"/>
              </w:rPr>
              <w:t>This standard makes consequential amendments to other Australian Accounting Standards and Interpretations as a result of issuing AASB 9 in December 2010.</w:t>
            </w:r>
          </w:p>
          <w:p w:rsidR="000363C7" w:rsidRPr="008B4D48" w:rsidRDefault="000363C7" w:rsidP="007B7060">
            <w:pPr>
              <w:pStyle w:val="Financialnotes"/>
              <w:ind w:left="0"/>
              <w:rPr>
                <w:rFonts w:cstheme="minorHAnsi"/>
              </w:rPr>
            </w:pPr>
            <w:r w:rsidRPr="008B4D48">
              <w:rPr>
                <w:rFonts w:cstheme="minorHAnsi"/>
              </w:rPr>
              <w:t>The mandatory application date of this Standard has been amended by AASB 2012-6 and AASB 2014-1 to 1</w:t>
            </w:r>
            <w:r w:rsidR="007B7060">
              <w:rPr>
                <w:rFonts w:cstheme="minorHAnsi"/>
              </w:rPr>
              <w:t> </w:t>
            </w:r>
            <w:r w:rsidRPr="008B4D48">
              <w:rPr>
                <w:rFonts w:cstheme="minorHAnsi"/>
              </w:rPr>
              <w:t>January 2018. The Department has not yet determined the application or the potential impact of the Standard.</w:t>
            </w:r>
          </w:p>
        </w:tc>
        <w:tc>
          <w:tcPr>
            <w:tcW w:w="1345" w:type="dxa"/>
          </w:tcPr>
          <w:p w:rsidR="000363C7" w:rsidRPr="008B4D48" w:rsidRDefault="000363C7" w:rsidP="00B91A35">
            <w:pPr>
              <w:rPr>
                <w:rFonts w:ascii="Arial" w:hAnsi="Arial" w:cs="Arial"/>
                <w:sz w:val="22"/>
              </w:rPr>
            </w:pPr>
            <w:r w:rsidRPr="008B4D48">
              <w:rPr>
                <w:rFonts w:ascii="Arial" w:hAnsi="Arial" w:cs="Arial"/>
                <w:sz w:val="22"/>
              </w:rPr>
              <w:t>1 Jan 2018</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t>AASB 2013-9</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 Conceptual Framework, Materiality and Financial Instruments.</w:t>
            </w:r>
          </w:p>
          <w:p w:rsidR="000363C7" w:rsidRPr="008B4D48" w:rsidRDefault="000363C7" w:rsidP="00563EC9">
            <w:pPr>
              <w:pStyle w:val="Financialnotes"/>
              <w:ind w:left="0"/>
              <w:rPr>
                <w:rFonts w:ascii="Arial" w:hAnsi="Arial" w:cs="Arial"/>
                <w:i/>
                <w:iCs/>
              </w:rPr>
            </w:pPr>
            <w:r w:rsidRPr="008B4D48">
              <w:rPr>
                <w:rFonts w:cstheme="minorHAnsi"/>
              </w:rPr>
              <w:t xml:space="preserve">Part C of this omnibus Standard defers the application </w:t>
            </w:r>
            <w:r w:rsidRPr="008B4D48">
              <w:rPr>
                <w:rFonts w:cstheme="minorHAnsi"/>
              </w:rPr>
              <w:lastRenderedPageBreak/>
              <w:t>of AASB 9 to 1 January 2017. The application date of AASB 9 was subsequently deferred to 1 January 2018 by AASB 2014-1. The Department has not yet determined the application or the potential impact of AASB 9.</w:t>
            </w:r>
          </w:p>
        </w:tc>
        <w:tc>
          <w:tcPr>
            <w:tcW w:w="1345" w:type="dxa"/>
          </w:tcPr>
          <w:p w:rsidR="000363C7" w:rsidRPr="008B4D48" w:rsidRDefault="000363C7" w:rsidP="00B91A35">
            <w:pPr>
              <w:rPr>
                <w:rFonts w:ascii="Arial" w:hAnsi="Arial" w:cs="Arial"/>
                <w:sz w:val="22"/>
              </w:rPr>
            </w:pPr>
            <w:r w:rsidRPr="008B4D48">
              <w:rPr>
                <w:rFonts w:ascii="Arial" w:hAnsi="Arial" w:cs="Arial"/>
                <w:sz w:val="22"/>
              </w:rPr>
              <w:lastRenderedPageBreak/>
              <w:t>1 Jan 2015</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lastRenderedPageBreak/>
              <w:t>AASB 2014-1</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w:t>
            </w:r>
          </w:p>
          <w:p w:rsidR="000363C7" w:rsidRPr="008B4D48" w:rsidRDefault="000363C7" w:rsidP="00563EC9">
            <w:pPr>
              <w:pStyle w:val="Financialnotes"/>
              <w:ind w:left="0"/>
              <w:rPr>
                <w:rFonts w:cstheme="minorHAnsi"/>
                <w:i/>
              </w:rPr>
            </w:pPr>
            <w:r w:rsidRPr="008B4D48">
              <w:rPr>
                <w:rFonts w:cstheme="minorHAnsi"/>
              </w:rPr>
              <w:t>Part E of this Standard makes amendments to AASB 9 and consequential amendments to other Standards. It has not yet been assessed by the Department to determine the application or potential impact of the Standard.</w:t>
            </w:r>
          </w:p>
        </w:tc>
        <w:tc>
          <w:tcPr>
            <w:tcW w:w="1345" w:type="dxa"/>
          </w:tcPr>
          <w:p w:rsidR="000363C7" w:rsidRPr="008B4D48" w:rsidRDefault="000363C7" w:rsidP="007B7060">
            <w:pPr>
              <w:rPr>
                <w:rFonts w:ascii="Arial" w:hAnsi="Arial" w:cs="Arial"/>
                <w:sz w:val="22"/>
              </w:rPr>
            </w:pPr>
            <w:r w:rsidRPr="008B4D48">
              <w:rPr>
                <w:rFonts w:ascii="Arial" w:hAnsi="Arial" w:cs="Arial"/>
                <w:sz w:val="22"/>
              </w:rPr>
              <w:t>1 Jan 201</w:t>
            </w:r>
            <w:r w:rsidR="007B7060">
              <w:rPr>
                <w:rFonts w:ascii="Arial" w:hAnsi="Arial" w:cs="Arial"/>
                <w:sz w:val="22"/>
              </w:rPr>
              <w:t>5</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t>AASB 2014-3</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 – Accounting for Acquisitions of Interests in Joint Operations [AASB 1 &amp; 11]</w:t>
            </w:r>
          </w:p>
          <w:p w:rsidR="000363C7" w:rsidRPr="008B4D48" w:rsidRDefault="000363C7" w:rsidP="00563EC9">
            <w:pPr>
              <w:pStyle w:val="Financialnotes"/>
              <w:ind w:left="0"/>
              <w:rPr>
                <w:rFonts w:cstheme="minorHAnsi"/>
                <w:i/>
              </w:rPr>
            </w:pPr>
            <w:r w:rsidRPr="008B4D48">
              <w:rPr>
                <w:rFonts w:cstheme="minorHAnsi"/>
              </w:rPr>
              <w:t>The Department establishes Joint Operations in pursuit of its objectives and does not routinely acquire interests in Joint Operations. Therefore, there is no financial impact on application of the Standard.</w:t>
            </w:r>
          </w:p>
        </w:tc>
        <w:tc>
          <w:tcPr>
            <w:tcW w:w="1345" w:type="dxa"/>
          </w:tcPr>
          <w:p w:rsidR="000363C7" w:rsidRPr="008B4D48" w:rsidRDefault="000363C7" w:rsidP="00B91A35">
            <w:pPr>
              <w:rPr>
                <w:rFonts w:ascii="Arial" w:hAnsi="Arial" w:cs="Arial"/>
                <w:sz w:val="22"/>
              </w:rPr>
            </w:pPr>
            <w:r w:rsidRPr="008B4D48">
              <w:rPr>
                <w:rFonts w:ascii="Arial" w:hAnsi="Arial" w:cs="Arial"/>
                <w:sz w:val="22"/>
              </w:rPr>
              <w:t>1 Jan 2016</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t>AASB 2014-4</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 – Clarification of Acceptable Methods of Depreciation and Amortisation [AASB 116 &amp; 138]</w:t>
            </w:r>
          </w:p>
          <w:p w:rsidR="000363C7" w:rsidRPr="008B4D48" w:rsidRDefault="000363C7" w:rsidP="00563EC9">
            <w:pPr>
              <w:pStyle w:val="Financialnotes"/>
              <w:ind w:left="0"/>
              <w:rPr>
                <w:rFonts w:cstheme="minorHAnsi"/>
                <w:i/>
              </w:rPr>
            </w:pPr>
            <w:r w:rsidRPr="008B4D48">
              <w:rPr>
                <w:rFonts w:cstheme="minorHAnsi"/>
              </w:rPr>
              <w:t>The adoption of this Standard has no financial impact for the Department as depreciation and amortisation is not determined by reference to revenue generation, but by reference to consumption of future economic benefits.</w:t>
            </w:r>
          </w:p>
        </w:tc>
        <w:tc>
          <w:tcPr>
            <w:tcW w:w="1345" w:type="dxa"/>
          </w:tcPr>
          <w:p w:rsidR="000363C7" w:rsidRPr="008B4D48" w:rsidRDefault="000363C7" w:rsidP="00B91A35">
            <w:pPr>
              <w:rPr>
                <w:rFonts w:ascii="Arial" w:hAnsi="Arial" w:cs="Arial"/>
                <w:sz w:val="22"/>
              </w:rPr>
            </w:pPr>
            <w:r w:rsidRPr="008B4D48">
              <w:rPr>
                <w:rFonts w:ascii="Arial" w:hAnsi="Arial" w:cs="Arial"/>
                <w:sz w:val="22"/>
              </w:rPr>
              <w:t>1 Jan 2016</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t>AASB 2014-5</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 arising from AASB 15</w:t>
            </w:r>
          </w:p>
          <w:p w:rsidR="000363C7" w:rsidRPr="008B4D48" w:rsidRDefault="000363C7" w:rsidP="00563EC9">
            <w:pPr>
              <w:pStyle w:val="Financialnotes"/>
              <w:ind w:left="0"/>
              <w:rPr>
                <w:rFonts w:cstheme="minorHAnsi"/>
                <w:i/>
              </w:rPr>
            </w:pPr>
            <w:r w:rsidRPr="008B4D48">
              <w:rPr>
                <w:rFonts w:cstheme="minorHAnsi"/>
              </w:rPr>
              <w:t>This Standard gives effect to the consequential amendments to Australian Accounting Standards (including Interpretations) arising from the issuance of AASB 15. The Department has not yet determined the application or the potential impact of the Standard.</w:t>
            </w:r>
          </w:p>
        </w:tc>
        <w:tc>
          <w:tcPr>
            <w:tcW w:w="1345" w:type="dxa"/>
          </w:tcPr>
          <w:p w:rsidR="000363C7" w:rsidRPr="008B4D48" w:rsidRDefault="000363C7" w:rsidP="00B91A35">
            <w:pPr>
              <w:rPr>
                <w:rFonts w:ascii="Arial" w:hAnsi="Arial" w:cs="Arial"/>
                <w:sz w:val="22"/>
              </w:rPr>
            </w:pPr>
            <w:r w:rsidRPr="008B4D48">
              <w:rPr>
                <w:rFonts w:ascii="Arial" w:hAnsi="Arial" w:cs="Arial"/>
                <w:sz w:val="22"/>
              </w:rPr>
              <w:t>1 Jan 2017</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t>AASB 2014-7</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 arising from AASB 9 (December 2014)</w:t>
            </w:r>
          </w:p>
          <w:p w:rsidR="000363C7" w:rsidRDefault="000363C7" w:rsidP="00563EC9">
            <w:pPr>
              <w:pStyle w:val="Financialnotes"/>
              <w:ind w:left="0"/>
              <w:rPr>
                <w:rFonts w:cstheme="minorHAnsi"/>
              </w:rPr>
            </w:pPr>
            <w:r w:rsidRPr="008B4D48">
              <w:rPr>
                <w:rFonts w:cstheme="minorHAnsi"/>
              </w:rPr>
              <w:t>This Standard gives effect to the consequential amendments to Australian Accounting Standards (including Interpretations) arising from the issuance of AASB 9 (December 2014). The Department has not yet determined the application or the potential impact of the Standard.</w:t>
            </w:r>
          </w:p>
          <w:p w:rsidR="00C34186" w:rsidRPr="008B4D48" w:rsidRDefault="00C34186" w:rsidP="00563EC9">
            <w:pPr>
              <w:pStyle w:val="Financialnotes"/>
              <w:ind w:left="0"/>
              <w:rPr>
                <w:rFonts w:cstheme="minorHAnsi"/>
                <w:i/>
              </w:rPr>
            </w:pPr>
          </w:p>
        </w:tc>
        <w:tc>
          <w:tcPr>
            <w:tcW w:w="1345" w:type="dxa"/>
          </w:tcPr>
          <w:p w:rsidR="000363C7" w:rsidRPr="008B4D48" w:rsidRDefault="000363C7" w:rsidP="00B91A35">
            <w:pPr>
              <w:rPr>
                <w:rFonts w:ascii="Arial" w:hAnsi="Arial" w:cs="Arial"/>
                <w:sz w:val="22"/>
              </w:rPr>
            </w:pPr>
            <w:r w:rsidRPr="008B4D48">
              <w:rPr>
                <w:rFonts w:ascii="Arial" w:hAnsi="Arial" w:cs="Arial"/>
                <w:sz w:val="22"/>
              </w:rPr>
              <w:t>1 Jan 2018</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lastRenderedPageBreak/>
              <w:t>AASB 2014-8</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 arising from AASB 9 (December 2014) – Application of AASB 9 (December 2009) and AASB 9 (December 2010) [AASB 9 (2009 &amp; 2010)]</w:t>
            </w:r>
          </w:p>
          <w:p w:rsidR="000363C7" w:rsidRPr="008B4D48" w:rsidRDefault="000363C7" w:rsidP="00563EC9">
            <w:pPr>
              <w:pStyle w:val="Financialnotes"/>
              <w:ind w:left="0"/>
              <w:rPr>
                <w:rFonts w:cstheme="minorHAnsi"/>
              </w:rPr>
            </w:pPr>
            <w:r w:rsidRPr="008B4D48">
              <w:rPr>
                <w:rFonts w:cstheme="minorHAnsi"/>
              </w:rPr>
              <w:t>This Standard makes amendments to AASB 9 Financial Instruments (December 2009) and AASB 9 Financial Instruments (December 2010), arising from the issuance of AASB 9 Financial Instruments in December 2014. The Department has not yet determined the application or the potential impact of the Standard.</w:t>
            </w:r>
          </w:p>
        </w:tc>
        <w:tc>
          <w:tcPr>
            <w:tcW w:w="1345" w:type="dxa"/>
          </w:tcPr>
          <w:p w:rsidR="000363C7" w:rsidRPr="008B4D48" w:rsidRDefault="000363C7" w:rsidP="00B91A35">
            <w:pPr>
              <w:rPr>
                <w:rFonts w:ascii="Arial" w:hAnsi="Arial" w:cs="Arial"/>
                <w:sz w:val="22"/>
              </w:rPr>
            </w:pPr>
            <w:r w:rsidRPr="008B4D48">
              <w:rPr>
                <w:rFonts w:ascii="Arial" w:hAnsi="Arial" w:cs="Arial"/>
                <w:sz w:val="22"/>
              </w:rPr>
              <w:t>1 Jan 2015</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t>AASB 2014-9</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 – Equity Method in Separate Financial Statements [AASB 1, 127 &amp; 128]</w:t>
            </w:r>
          </w:p>
          <w:p w:rsidR="000363C7" w:rsidRPr="008B4D48" w:rsidRDefault="000363C7" w:rsidP="00563EC9">
            <w:pPr>
              <w:pStyle w:val="Financialnotes"/>
              <w:ind w:left="0"/>
              <w:rPr>
                <w:rFonts w:cstheme="minorHAnsi"/>
                <w:i/>
              </w:rPr>
            </w:pPr>
            <w:r w:rsidRPr="008B4D48">
              <w:rPr>
                <w:rFonts w:cstheme="minorHAnsi"/>
              </w:rPr>
              <w:t>This Standard amends AASB 127, and consequentially amends AASB 1 and AASB 128, to allow entities to use the equity method of accounting for investments in subsidiaries, joint ventures and associates in their separate financial statements. The Department has not yet determined the application or the potential impact of the Standard</w:t>
            </w:r>
            <w:r w:rsidRPr="008B4D48">
              <w:rPr>
                <w:rFonts w:cstheme="minorHAnsi"/>
                <w:i/>
              </w:rPr>
              <w:t>.</w:t>
            </w:r>
          </w:p>
        </w:tc>
        <w:tc>
          <w:tcPr>
            <w:tcW w:w="1345" w:type="dxa"/>
          </w:tcPr>
          <w:p w:rsidR="000363C7" w:rsidRPr="008B4D48" w:rsidRDefault="000363C7" w:rsidP="00B91A35">
            <w:pPr>
              <w:rPr>
                <w:rFonts w:ascii="Arial" w:hAnsi="Arial" w:cs="Arial"/>
                <w:sz w:val="22"/>
              </w:rPr>
            </w:pPr>
            <w:r w:rsidRPr="008B4D48">
              <w:rPr>
                <w:rFonts w:ascii="Arial" w:hAnsi="Arial" w:cs="Arial"/>
                <w:sz w:val="22"/>
              </w:rPr>
              <w:t>1 Jan 2016</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t>AASB 2014-10</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 – Sale or Contribution of Assets between an Investor and its Associate or Joint Venture [AASB 10 &amp; 128]</w:t>
            </w:r>
          </w:p>
          <w:p w:rsidR="000363C7" w:rsidRPr="008B4D48" w:rsidRDefault="000363C7" w:rsidP="00563EC9">
            <w:pPr>
              <w:pStyle w:val="Financialnotes"/>
              <w:ind w:left="0"/>
              <w:rPr>
                <w:rFonts w:cstheme="minorHAnsi"/>
              </w:rPr>
            </w:pPr>
            <w:r w:rsidRPr="008B4D48">
              <w:rPr>
                <w:rFonts w:cstheme="minorHAnsi"/>
              </w:rPr>
              <w:t>This Standard amends AASB 10 and AASB 128 to address an inconsistency between the requirements in AASB 10 and those in AASB 128 (August 2011), in dealing with the sale or contribution of assets between an investor and its associate or joint venture. The Department has not yet determined the application or the potential impact of the Standard.</w:t>
            </w:r>
          </w:p>
        </w:tc>
        <w:tc>
          <w:tcPr>
            <w:tcW w:w="1345" w:type="dxa"/>
          </w:tcPr>
          <w:p w:rsidR="000363C7" w:rsidRPr="008B4D48" w:rsidRDefault="000363C7" w:rsidP="00B91A35">
            <w:pPr>
              <w:rPr>
                <w:rFonts w:ascii="Arial" w:hAnsi="Arial" w:cs="Arial"/>
                <w:sz w:val="22"/>
              </w:rPr>
            </w:pPr>
            <w:r w:rsidRPr="008B4D48">
              <w:rPr>
                <w:rFonts w:ascii="Arial" w:hAnsi="Arial" w:cs="Arial"/>
                <w:sz w:val="22"/>
              </w:rPr>
              <w:t>1 Jan 2016</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t>AASB 2015-1</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 – Annual Improvements to Australian Accounting Standards 2012–2014 Cycle [AASB 1, 2, 3, 5, 7, 11, 110, 119, 121, 133, 134, 137 &amp; 140]</w:t>
            </w:r>
          </w:p>
          <w:p w:rsidR="00347D53" w:rsidRDefault="000363C7" w:rsidP="00347D53">
            <w:pPr>
              <w:pStyle w:val="Financialnotes"/>
              <w:ind w:left="0"/>
              <w:rPr>
                <w:rFonts w:cstheme="minorHAnsi"/>
              </w:rPr>
            </w:pPr>
            <w:r w:rsidRPr="008B4D48">
              <w:rPr>
                <w:rFonts w:cstheme="minorHAnsi"/>
              </w:rPr>
              <w:t xml:space="preserve">These amendments arise from the issuance of International Financial Reporting Standard Annual Improvements to IFRSs 2012–2014 Cycle in September 2014, and editorial corrections. The Department has determined </w:t>
            </w:r>
            <w:r w:rsidR="00347D53">
              <w:rPr>
                <w:rFonts w:cstheme="minorHAnsi"/>
              </w:rPr>
              <w:t xml:space="preserve">that </w:t>
            </w:r>
            <w:r w:rsidRPr="008B4D48">
              <w:rPr>
                <w:rFonts w:cstheme="minorHAnsi"/>
              </w:rPr>
              <w:t xml:space="preserve">the application </w:t>
            </w:r>
            <w:r w:rsidR="00347D53">
              <w:rPr>
                <w:rFonts w:cstheme="minorHAnsi"/>
              </w:rPr>
              <w:t>has no financial impact</w:t>
            </w:r>
            <w:r w:rsidRPr="008B4D48">
              <w:rPr>
                <w:rFonts w:cstheme="minorHAnsi"/>
              </w:rPr>
              <w:t>.</w:t>
            </w:r>
          </w:p>
          <w:p w:rsidR="00C34186" w:rsidRDefault="00C34186" w:rsidP="00347D53">
            <w:pPr>
              <w:pStyle w:val="Financialnotes"/>
              <w:ind w:left="0"/>
              <w:rPr>
                <w:rFonts w:cstheme="minorHAnsi"/>
              </w:rPr>
            </w:pPr>
          </w:p>
          <w:p w:rsidR="00C34186" w:rsidRPr="008B4D48" w:rsidRDefault="00C34186" w:rsidP="00347D53">
            <w:pPr>
              <w:pStyle w:val="Financialnotes"/>
              <w:ind w:left="0"/>
              <w:rPr>
                <w:rFonts w:cstheme="minorHAnsi"/>
              </w:rPr>
            </w:pPr>
          </w:p>
        </w:tc>
        <w:tc>
          <w:tcPr>
            <w:tcW w:w="1345" w:type="dxa"/>
          </w:tcPr>
          <w:p w:rsidR="000363C7" w:rsidRPr="008B4D48" w:rsidRDefault="000363C7" w:rsidP="00B91A35">
            <w:pPr>
              <w:rPr>
                <w:rFonts w:ascii="Arial" w:hAnsi="Arial" w:cs="Arial"/>
                <w:sz w:val="22"/>
              </w:rPr>
            </w:pPr>
            <w:r w:rsidRPr="008B4D48">
              <w:rPr>
                <w:rFonts w:ascii="Arial" w:hAnsi="Arial" w:cs="Arial"/>
                <w:sz w:val="22"/>
              </w:rPr>
              <w:t>1 Jan 2016</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t>AASB 2015-2</w:t>
            </w:r>
          </w:p>
        </w:tc>
        <w:tc>
          <w:tcPr>
            <w:tcW w:w="5702" w:type="dxa"/>
          </w:tcPr>
          <w:p w:rsidR="000363C7" w:rsidRPr="008B4D48" w:rsidRDefault="000363C7" w:rsidP="00563EC9">
            <w:pPr>
              <w:pStyle w:val="Financialnotes"/>
              <w:ind w:left="0"/>
              <w:rPr>
                <w:rFonts w:cstheme="minorHAnsi"/>
                <w:i/>
              </w:rPr>
            </w:pPr>
            <w:r w:rsidRPr="008B4D48">
              <w:rPr>
                <w:rFonts w:cstheme="minorHAnsi"/>
                <w:i/>
              </w:rPr>
              <w:t xml:space="preserve">Amendments to Australian Accounting Standards – Disclosure Initiative: Amendments to AASB 101 </w:t>
            </w:r>
            <w:r w:rsidRPr="008B4D48">
              <w:rPr>
                <w:rFonts w:cstheme="minorHAnsi"/>
                <w:i/>
              </w:rPr>
              <w:lastRenderedPageBreak/>
              <w:t>[AASB</w:t>
            </w:r>
            <w:r w:rsidR="00F439FE">
              <w:rPr>
                <w:rFonts w:cstheme="minorHAnsi"/>
                <w:i/>
              </w:rPr>
              <w:t> </w:t>
            </w:r>
            <w:r w:rsidRPr="008B4D48">
              <w:rPr>
                <w:rFonts w:cstheme="minorHAnsi"/>
                <w:i/>
              </w:rPr>
              <w:t>7, 101, 134 &amp; 1049]</w:t>
            </w:r>
          </w:p>
          <w:p w:rsidR="000363C7" w:rsidRPr="008B4D48" w:rsidRDefault="000363C7" w:rsidP="00563EC9">
            <w:pPr>
              <w:pStyle w:val="Financialnotes"/>
              <w:ind w:left="0"/>
              <w:rPr>
                <w:rFonts w:cstheme="minorHAnsi"/>
              </w:rPr>
            </w:pPr>
            <w:r w:rsidRPr="008B4D48">
              <w:rPr>
                <w:rFonts w:cstheme="minorHAnsi"/>
              </w:rPr>
              <w:t>This Standard amends AASB 101 to provide clarification regarding the disclosure requirements in AASB 101. Specifically, the Standard proposes narrow-focus amendments to address some of the concerns expressed about existing presentation and disclosure requirements and to ensure entities are able to use judgement when applying a Standard in determining what information to disclose in their financial statements. There is no financial impact.</w:t>
            </w:r>
          </w:p>
        </w:tc>
        <w:tc>
          <w:tcPr>
            <w:tcW w:w="1345" w:type="dxa"/>
          </w:tcPr>
          <w:p w:rsidR="000363C7" w:rsidRPr="008B4D48" w:rsidRDefault="000363C7" w:rsidP="00B91A35">
            <w:pPr>
              <w:rPr>
                <w:rFonts w:ascii="Arial" w:hAnsi="Arial" w:cs="Arial"/>
                <w:sz w:val="22"/>
              </w:rPr>
            </w:pPr>
            <w:r w:rsidRPr="008B4D48">
              <w:rPr>
                <w:rFonts w:ascii="Arial" w:hAnsi="Arial" w:cs="Arial"/>
                <w:sz w:val="22"/>
              </w:rPr>
              <w:lastRenderedPageBreak/>
              <w:t>1 Jan 2016</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lastRenderedPageBreak/>
              <w:t>AASB 2015-3</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 arising from the Withdrawal of AASB 1031 Materiality</w:t>
            </w:r>
          </w:p>
          <w:p w:rsidR="000363C7" w:rsidRPr="008B4D48" w:rsidRDefault="000363C7" w:rsidP="00563EC9">
            <w:pPr>
              <w:pStyle w:val="Financialnotes"/>
              <w:ind w:left="0"/>
              <w:rPr>
                <w:rFonts w:cstheme="minorHAnsi"/>
                <w:i/>
              </w:rPr>
            </w:pPr>
            <w:r w:rsidRPr="008B4D48">
              <w:rPr>
                <w:rFonts w:cstheme="minorHAnsi"/>
              </w:rPr>
              <w:t>This Standard completes the withdrawal of references to AASB 1031 in all Australian Accounting Standards and Interpretations, allowing that Standard to effectively be withdrawn. There is no financial impact</w:t>
            </w:r>
            <w:r w:rsidRPr="008B4D48">
              <w:rPr>
                <w:rFonts w:cstheme="minorHAnsi"/>
                <w:i/>
              </w:rPr>
              <w:t>.</w:t>
            </w:r>
          </w:p>
        </w:tc>
        <w:tc>
          <w:tcPr>
            <w:tcW w:w="1345" w:type="dxa"/>
          </w:tcPr>
          <w:p w:rsidR="000363C7" w:rsidRPr="008B4D48" w:rsidRDefault="000363C7" w:rsidP="00B91A35">
            <w:pPr>
              <w:rPr>
                <w:rFonts w:ascii="Arial" w:hAnsi="Arial" w:cs="Arial"/>
                <w:sz w:val="22"/>
              </w:rPr>
            </w:pPr>
            <w:r w:rsidRPr="008B4D48">
              <w:rPr>
                <w:rFonts w:ascii="Arial" w:hAnsi="Arial" w:cs="Arial"/>
                <w:sz w:val="22"/>
              </w:rPr>
              <w:t>1 Jul 2015</w:t>
            </w:r>
          </w:p>
        </w:tc>
      </w:tr>
      <w:tr w:rsidR="000363C7" w:rsidRPr="006966DC" w:rsidTr="00B91A35">
        <w:tc>
          <w:tcPr>
            <w:tcW w:w="1276" w:type="dxa"/>
          </w:tcPr>
          <w:p w:rsidR="000363C7" w:rsidRPr="008B4D48" w:rsidRDefault="000363C7" w:rsidP="00B91A35">
            <w:pPr>
              <w:rPr>
                <w:rFonts w:ascii="Arial" w:hAnsi="Arial" w:cs="Arial"/>
                <w:iCs/>
                <w:sz w:val="22"/>
              </w:rPr>
            </w:pPr>
            <w:r w:rsidRPr="008B4D48">
              <w:rPr>
                <w:rFonts w:ascii="Arial" w:hAnsi="Arial" w:cs="Arial"/>
                <w:i/>
                <w:iCs/>
                <w:sz w:val="22"/>
              </w:rPr>
              <w:t>AASB 2015-6</w:t>
            </w:r>
          </w:p>
        </w:tc>
        <w:tc>
          <w:tcPr>
            <w:tcW w:w="5702" w:type="dxa"/>
          </w:tcPr>
          <w:p w:rsidR="000363C7" w:rsidRPr="008B4D48" w:rsidRDefault="000363C7" w:rsidP="00563EC9">
            <w:pPr>
              <w:pStyle w:val="Financialnotes"/>
              <w:ind w:left="0"/>
              <w:rPr>
                <w:rFonts w:cstheme="minorHAnsi"/>
                <w:i/>
              </w:rPr>
            </w:pPr>
            <w:r w:rsidRPr="008B4D48">
              <w:rPr>
                <w:rFonts w:cstheme="minorHAnsi"/>
                <w:i/>
              </w:rPr>
              <w:t>Amendments to Australian Accounting Standards – Extending Related Party Disclosures to Not-for-Profit Public Sector Entities [AASB 10, 124 &amp; 1049]</w:t>
            </w:r>
          </w:p>
          <w:p w:rsidR="000363C7" w:rsidRPr="008B4D48" w:rsidRDefault="000363C7" w:rsidP="00F439FE">
            <w:pPr>
              <w:pStyle w:val="Financialnotes"/>
              <w:ind w:left="0"/>
              <w:rPr>
                <w:rFonts w:cstheme="minorHAnsi"/>
              </w:rPr>
            </w:pPr>
            <w:r w:rsidRPr="008B4D48">
              <w:rPr>
                <w:rFonts w:cstheme="minorHAnsi"/>
              </w:rPr>
              <w:t xml:space="preserve">The amendments extend the scope of AASB 124 to include application by not-for-profit public sector entities. Implementation guidance is included to assist application of the Standard by not-for-profit public sector entities. </w:t>
            </w:r>
            <w:r w:rsidR="00F439FE">
              <w:rPr>
                <w:rFonts w:cstheme="minorHAnsi"/>
              </w:rPr>
              <w:t>T</w:t>
            </w:r>
            <w:r w:rsidRPr="008B4D48">
              <w:rPr>
                <w:rFonts w:cstheme="minorHAnsi"/>
              </w:rPr>
              <w:t>here is no financial impact.</w:t>
            </w:r>
          </w:p>
        </w:tc>
        <w:tc>
          <w:tcPr>
            <w:tcW w:w="1345" w:type="dxa"/>
          </w:tcPr>
          <w:p w:rsidR="000363C7" w:rsidRPr="008B4D48" w:rsidRDefault="000363C7" w:rsidP="00B91A35">
            <w:pPr>
              <w:rPr>
                <w:rFonts w:ascii="Arial" w:hAnsi="Arial" w:cs="Arial"/>
                <w:sz w:val="22"/>
              </w:rPr>
            </w:pPr>
            <w:r w:rsidRPr="008B4D48">
              <w:rPr>
                <w:rFonts w:ascii="Arial" w:hAnsi="Arial" w:cs="Arial"/>
                <w:sz w:val="22"/>
              </w:rPr>
              <w:t>1 Jul 2016</w:t>
            </w:r>
          </w:p>
        </w:tc>
      </w:tr>
    </w:tbl>
    <w:p w:rsidR="000363C7" w:rsidRDefault="000363C7" w:rsidP="000363C7">
      <w:pPr>
        <w:pStyle w:val="Financialnotes"/>
      </w:pPr>
    </w:p>
    <w:p w:rsidR="00C34186" w:rsidRDefault="00C34186" w:rsidP="008B4D48">
      <w:pPr>
        <w:pStyle w:val="Financialsheading3"/>
      </w:pPr>
      <w:bookmarkStart w:id="187" w:name="_Toc427745921"/>
      <w:r>
        <w:br w:type="page"/>
      </w:r>
    </w:p>
    <w:p w:rsidR="008B4D48" w:rsidRDefault="008B4D48" w:rsidP="008B4D48">
      <w:pPr>
        <w:pStyle w:val="Financialsheading3"/>
      </w:pPr>
      <w:proofErr w:type="gramStart"/>
      <w:r>
        <w:lastRenderedPageBreak/>
        <w:t>Note 5.</w:t>
      </w:r>
      <w:proofErr w:type="gramEnd"/>
      <w:r>
        <w:t xml:space="preserve"> </w:t>
      </w:r>
      <w:r w:rsidRPr="005D6BC7">
        <w:t>Employee benefits expense</w:t>
      </w:r>
      <w:bookmarkEnd w:id="187"/>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8B4D48" w:rsidRPr="00A02A2B" w:rsidTr="00F82626">
        <w:tc>
          <w:tcPr>
            <w:tcW w:w="5529" w:type="dxa"/>
          </w:tcPr>
          <w:p w:rsidR="008B4D48" w:rsidRPr="00A02A2B" w:rsidRDefault="008B4D48" w:rsidP="002C2302">
            <w:pPr>
              <w:pStyle w:val="Body"/>
              <w:spacing w:before="80"/>
              <w:ind w:left="34"/>
              <w:rPr>
                <w:sz w:val="22"/>
              </w:rPr>
            </w:pPr>
          </w:p>
        </w:tc>
        <w:tc>
          <w:tcPr>
            <w:tcW w:w="1418" w:type="dxa"/>
            <w:shd w:val="clear" w:color="auto" w:fill="E0DCCB" w:themeFill="accent4" w:themeFillTint="66"/>
          </w:tcPr>
          <w:p w:rsidR="008B4D48" w:rsidRPr="00A02A2B" w:rsidRDefault="008B4D48" w:rsidP="002C2302">
            <w:pPr>
              <w:pStyle w:val="Body"/>
              <w:spacing w:before="80"/>
              <w:ind w:left="34"/>
              <w:jc w:val="center"/>
              <w:rPr>
                <w:b/>
                <w:sz w:val="22"/>
              </w:rPr>
            </w:pPr>
            <w:r w:rsidRPr="00A02A2B">
              <w:rPr>
                <w:b/>
                <w:sz w:val="22"/>
              </w:rPr>
              <w:t>201</w:t>
            </w:r>
            <w:r>
              <w:rPr>
                <w:b/>
                <w:sz w:val="22"/>
              </w:rPr>
              <w:t>5</w:t>
            </w:r>
            <w:r w:rsidRPr="00A02A2B">
              <w:rPr>
                <w:b/>
                <w:sz w:val="22"/>
              </w:rPr>
              <w:br/>
              <w:t>$</w:t>
            </w:r>
          </w:p>
        </w:tc>
        <w:tc>
          <w:tcPr>
            <w:tcW w:w="1418" w:type="dxa"/>
            <w:shd w:val="clear" w:color="auto" w:fill="E0DCCB" w:themeFill="accent4" w:themeFillTint="66"/>
          </w:tcPr>
          <w:p w:rsidR="008B4D48" w:rsidRPr="00A02A2B" w:rsidRDefault="008B4D48" w:rsidP="002C2302">
            <w:pPr>
              <w:pStyle w:val="Body"/>
              <w:spacing w:before="80"/>
              <w:ind w:left="34"/>
              <w:jc w:val="center"/>
              <w:rPr>
                <w:b/>
                <w:sz w:val="22"/>
              </w:rPr>
            </w:pPr>
            <w:r w:rsidRPr="00A02A2B">
              <w:rPr>
                <w:b/>
                <w:sz w:val="22"/>
              </w:rPr>
              <w:t>201</w:t>
            </w:r>
            <w:r>
              <w:rPr>
                <w:b/>
                <w:sz w:val="22"/>
              </w:rPr>
              <w:t>4</w:t>
            </w:r>
            <w:r w:rsidRPr="00A02A2B">
              <w:rPr>
                <w:b/>
                <w:sz w:val="22"/>
              </w:rPr>
              <w:br/>
              <w:t>$</w:t>
            </w:r>
          </w:p>
        </w:tc>
      </w:tr>
      <w:tr w:rsidR="008B4D48" w:rsidRPr="00A02A2B" w:rsidTr="00F82626">
        <w:tc>
          <w:tcPr>
            <w:tcW w:w="5529" w:type="dxa"/>
            <w:vAlign w:val="bottom"/>
          </w:tcPr>
          <w:p w:rsidR="008B4D48" w:rsidRPr="00A02A2B" w:rsidRDefault="008B4D48" w:rsidP="00CF09FA">
            <w:pPr>
              <w:pStyle w:val="Body"/>
              <w:spacing w:before="80"/>
              <w:ind w:left="176"/>
              <w:rPr>
                <w:sz w:val="22"/>
              </w:rPr>
            </w:pPr>
            <w:r w:rsidRPr="00A02A2B">
              <w:rPr>
                <w:sz w:val="22"/>
              </w:rPr>
              <w:t>Wages and salaries</w:t>
            </w:r>
            <w:r w:rsidRPr="00A02A2B">
              <w:rPr>
                <w:sz w:val="22"/>
                <w:vertAlign w:val="superscript"/>
              </w:rPr>
              <w:t>(a)</w:t>
            </w:r>
          </w:p>
        </w:tc>
        <w:tc>
          <w:tcPr>
            <w:tcW w:w="1418" w:type="dxa"/>
            <w:shd w:val="clear" w:color="auto" w:fill="E0DCCB" w:themeFill="accent4" w:themeFillTint="66"/>
            <w:vAlign w:val="bottom"/>
          </w:tcPr>
          <w:p w:rsidR="008B4D48" w:rsidRPr="00A02A2B" w:rsidRDefault="008B4D48" w:rsidP="002C2302">
            <w:pPr>
              <w:pStyle w:val="Body"/>
              <w:spacing w:before="80"/>
              <w:ind w:left="0"/>
              <w:jc w:val="right"/>
              <w:rPr>
                <w:sz w:val="22"/>
              </w:rPr>
            </w:pPr>
            <w:r>
              <w:rPr>
                <w:sz w:val="22"/>
              </w:rPr>
              <w:t>10,586,908</w:t>
            </w:r>
          </w:p>
        </w:tc>
        <w:tc>
          <w:tcPr>
            <w:tcW w:w="1418" w:type="dxa"/>
            <w:vAlign w:val="bottom"/>
          </w:tcPr>
          <w:p w:rsidR="008B4D48" w:rsidRPr="00A02A2B" w:rsidRDefault="008B4D48" w:rsidP="002C2302">
            <w:pPr>
              <w:pStyle w:val="Body"/>
              <w:spacing w:before="80"/>
              <w:ind w:left="0"/>
              <w:jc w:val="right"/>
              <w:rPr>
                <w:sz w:val="22"/>
              </w:rPr>
            </w:pPr>
            <w:r w:rsidRPr="00A02A2B">
              <w:rPr>
                <w:sz w:val="22"/>
              </w:rPr>
              <w:t>11,006,581</w:t>
            </w:r>
          </w:p>
        </w:tc>
      </w:tr>
      <w:tr w:rsidR="008B4D48" w:rsidRPr="00A02A2B" w:rsidTr="00F82626">
        <w:tc>
          <w:tcPr>
            <w:tcW w:w="5529" w:type="dxa"/>
          </w:tcPr>
          <w:p w:rsidR="008B4D48" w:rsidRPr="00A02A2B" w:rsidRDefault="008B4D48" w:rsidP="00CF09FA">
            <w:pPr>
              <w:pStyle w:val="Body"/>
              <w:spacing w:before="80"/>
              <w:ind w:left="176"/>
              <w:rPr>
                <w:sz w:val="22"/>
              </w:rPr>
            </w:pPr>
            <w:r w:rsidRPr="00A02A2B">
              <w:rPr>
                <w:rFonts w:ascii="Arial" w:eastAsia="Times New Roman" w:hAnsi="Arial" w:cs="Arial"/>
                <w:kern w:val="28"/>
                <w:sz w:val="22"/>
                <w:lang w:eastAsia="en-AU"/>
              </w:rPr>
              <w:t>Superannuation – defined contribution plans</w:t>
            </w:r>
            <w:r w:rsidRPr="00A02A2B">
              <w:rPr>
                <w:rFonts w:ascii="Arial" w:eastAsia="Times New Roman" w:hAnsi="Arial" w:cs="Arial"/>
                <w:kern w:val="28"/>
                <w:sz w:val="22"/>
                <w:vertAlign w:val="superscript"/>
                <w:lang w:eastAsia="en-AU"/>
              </w:rPr>
              <w:t>(b)</w:t>
            </w:r>
          </w:p>
        </w:tc>
        <w:tc>
          <w:tcPr>
            <w:tcW w:w="1418" w:type="dxa"/>
            <w:tcBorders>
              <w:bottom w:val="single" w:sz="4" w:space="0" w:color="FFFFFF" w:themeColor="background1"/>
            </w:tcBorders>
            <w:shd w:val="clear" w:color="auto" w:fill="E0DCCB" w:themeFill="accent4" w:themeFillTint="66"/>
            <w:vAlign w:val="bottom"/>
          </w:tcPr>
          <w:p w:rsidR="008B4D48" w:rsidRPr="00A02A2B" w:rsidRDefault="008B4D48" w:rsidP="002C2302">
            <w:pPr>
              <w:pStyle w:val="Body"/>
              <w:spacing w:before="80"/>
              <w:ind w:left="0"/>
              <w:jc w:val="right"/>
              <w:rPr>
                <w:sz w:val="22"/>
              </w:rPr>
            </w:pPr>
            <w:r>
              <w:rPr>
                <w:sz w:val="22"/>
              </w:rPr>
              <w:t>1,050,969</w:t>
            </w:r>
          </w:p>
        </w:tc>
        <w:tc>
          <w:tcPr>
            <w:tcW w:w="1418" w:type="dxa"/>
            <w:tcBorders>
              <w:bottom w:val="single" w:sz="4" w:space="0" w:color="E0DCCB" w:themeColor="accent4" w:themeTint="66"/>
            </w:tcBorders>
            <w:vAlign w:val="bottom"/>
          </w:tcPr>
          <w:p w:rsidR="008B4D48" w:rsidRPr="00A02A2B" w:rsidRDefault="008B4D48" w:rsidP="002C2302">
            <w:pPr>
              <w:pStyle w:val="Body"/>
              <w:spacing w:before="80"/>
              <w:ind w:left="0"/>
              <w:jc w:val="right"/>
              <w:rPr>
                <w:sz w:val="22"/>
              </w:rPr>
            </w:pPr>
            <w:r w:rsidRPr="00A02A2B">
              <w:rPr>
                <w:rFonts w:ascii="Arial" w:eastAsia="Times New Roman" w:hAnsi="Arial" w:cs="Arial"/>
                <w:kern w:val="28"/>
                <w:sz w:val="22"/>
                <w:lang w:eastAsia="en-AU"/>
              </w:rPr>
              <w:t>1,062,301</w:t>
            </w:r>
          </w:p>
        </w:tc>
      </w:tr>
      <w:tr w:rsidR="008B4D48" w:rsidRPr="00A02A2B" w:rsidTr="00F82626">
        <w:tc>
          <w:tcPr>
            <w:tcW w:w="5529" w:type="dxa"/>
          </w:tcPr>
          <w:p w:rsidR="008B4D48" w:rsidRPr="00A02A2B" w:rsidRDefault="008B4D48" w:rsidP="002C2302">
            <w:pPr>
              <w:pStyle w:val="Body"/>
              <w:spacing w:before="80"/>
              <w:ind w:left="0"/>
              <w:rPr>
                <w:sz w:val="22"/>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8B4D48" w:rsidRPr="00A02A2B" w:rsidRDefault="008B4D48" w:rsidP="002C2302">
            <w:pPr>
              <w:pStyle w:val="Body"/>
              <w:spacing w:before="80"/>
              <w:ind w:left="0"/>
              <w:jc w:val="right"/>
              <w:rPr>
                <w:sz w:val="22"/>
              </w:rPr>
            </w:pPr>
            <w:r w:rsidRPr="00A02A2B">
              <w:rPr>
                <w:rFonts w:ascii="Arial" w:eastAsia="Times New Roman" w:hAnsi="Arial" w:cs="Arial"/>
                <w:b/>
                <w:kern w:val="28"/>
                <w:sz w:val="22"/>
                <w:lang w:eastAsia="en-AU"/>
              </w:rPr>
              <w:fldChar w:fldCharType="begin"/>
            </w:r>
            <w:r w:rsidRPr="00A02A2B">
              <w:rPr>
                <w:rFonts w:ascii="Arial" w:eastAsia="Times New Roman" w:hAnsi="Arial" w:cs="Arial"/>
                <w:b/>
                <w:kern w:val="28"/>
                <w:sz w:val="22"/>
                <w:lang w:eastAsia="en-AU"/>
              </w:rPr>
              <w:instrText xml:space="preserve"> =SUM(ABOVE) </w:instrText>
            </w:r>
            <w:r w:rsidRPr="00A02A2B">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11,637,877</w:t>
            </w:r>
            <w:r w:rsidRPr="00A02A2B">
              <w:rPr>
                <w:rFonts w:ascii="Arial" w:eastAsia="Times New Roman" w:hAnsi="Arial" w:cs="Arial"/>
                <w:b/>
                <w:kern w:val="28"/>
                <w:sz w:val="22"/>
                <w:lang w:eastAsia="en-AU"/>
              </w:rPr>
              <w:fldChar w:fldCharType="end"/>
            </w:r>
          </w:p>
        </w:tc>
        <w:tc>
          <w:tcPr>
            <w:tcW w:w="1418" w:type="dxa"/>
            <w:tcBorders>
              <w:top w:val="single" w:sz="4" w:space="0" w:color="E0DCCB" w:themeColor="accent4" w:themeTint="66"/>
              <w:bottom w:val="single" w:sz="4" w:space="0" w:color="B2A97E" w:themeColor="accent4"/>
            </w:tcBorders>
            <w:vAlign w:val="bottom"/>
          </w:tcPr>
          <w:p w:rsidR="008B4D48" w:rsidRPr="00A02A2B" w:rsidRDefault="008B4D48" w:rsidP="002C2302">
            <w:pPr>
              <w:pStyle w:val="Body"/>
              <w:spacing w:before="80"/>
              <w:ind w:left="0"/>
              <w:jc w:val="right"/>
              <w:rPr>
                <w:sz w:val="22"/>
              </w:rPr>
            </w:pPr>
            <w:r w:rsidRPr="00A02A2B">
              <w:rPr>
                <w:rFonts w:ascii="Arial" w:eastAsia="Times New Roman" w:hAnsi="Arial" w:cs="Arial"/>
                <w:b/>
                <w:kern w:val="28"/>
                <w:sz w:val="22"/>
                <w:lang w:eastAsia="en-AU"/>
              </w:rPr>
              <w:fldChar w:fldCharType="begin"/>
            </w:r>
            <w:r w:rsidRPr="00A02A2B">
              <w:rPr>
                <w:rFonts w:ascii="Arial" w:eastAsia="Times New Roman" w:hAnsi="Arial" w:cs="Arial"/>
                <w:b/>
                <w:kern w:val="28"/>
                <w:sz w:val="22"/>
                <w:lang w:eastAsia="en-AU"/>
              </w:rPr>
              <w:instrText xml:space="preserve"> =SUM(ABOVE) \# "#,##0" </w:instrText>
            </w:r>
            <w:r w:rsidRPr="00A02A2B">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12,068,882</w:t>
            </w:r>
            <w:r w:rsidRPr="00A02A2B">
              <w:rPr>
                <w:rFonts w:ascii="Arial" w:eastAsia="Times New Roman" w:hAnsi="Arial" w:cs="Arial"/>
                <w:b/>
                <w:kern w:val="28"/>
                <w:sz w:val="22"/>
                <w:lang w:eastAsia="en-AU"/>
              </w:rPr>
              <w:fldChar w:fldCharType="end"/>
            </w:r>
          </w:p>
        </w:tc>
      </w:tr>
    </w:tbl>
    <w:p w:rsidR="008B4D48" w:rsidRPr="00A02A2B" w:rsidRDefault="008B4D48" w:rsidP="008D4CEC">
      <w:pPr>
        <w:pStyle w:val="Financialnotes"/>
        <w:numPr>
          <w:ilvl w:val="0"/>
          <w:numId w:val="8"/>
        </w:numPr>
        <w:spacing w:before="240"/>
      </w:pPr>
      <w:r w:rsidRPr="00A02A2B">
        <w:t>Includes the value of the fringe benefit to the employee plus the fringe benefits tax component, leave entitlements including superannuation contribution component.</w:t>
      </w:r>
    </w:p>
    <w:p w:rsidR="008B4D48" w:rsidRPr="00A02A2B" w:rsidRDefault="008B4D48" w:rsidP="008D4CEC">
      <w:pPr>
        <w:pStyle w:val="Financialnotes"/>
        <w:numPr>
          <w:ilvl w:val="0"/>
          <w:numId w:val="8"/>
        </w:numPr>
      </w:pPr>
      <w:r w:rsidRPr="00A02A2B">
        <w:t>Defined contribution plans include West State, Gold State, GESB and other eligible funds.</w:t>
      </w:r>
    </w:p>
    <w:p w:rsidR="008B4D48" w:rsidRPr="00A02A2B" w:rsidRDefault="008B4D48" w:rsidP="008B4D48">
      <w:pPr>
        <w:pStyle w:val="Financialnotes"/>
      </w:pPr>
      <w:r w:rsidRPr="00A02A2B">
        <w:t>Employment on-costs expenses, such as workers’ compensation insurance, are included at note </w:t>
      </w:r>
      <w:r>
        <w:t>10</w:t>
      </w:r>
      <w:r w:rsidRPr="00A02A2B">
        <w:t xml:space="preserve"> ‘Other expenses’.</w:t>
      </w:r>
    </w:p>
    <w:p w:rsidR="008B4D48" w:rsidRDefault="008B4D48" w:rsidP="008B4D48">
      <w:pPr>
        <w:pStyle w:val="Financialnotes"/>
      </w:pPr>
      <w:r w:rsidRPr="00A02A2B">
        <w:t>Employment on-costs liability is included at note 2</w:t>
      </w:r>
      <w:r w:rsidR="00F439FE">
        <w:t>2</w:t>
      </w:r>
      <w:r w:rsidRPr="00A02A2B">
        <w:t xml:space="preserve"> ‘Provisions’.</w:t>
      </w:r>
    </w:p>
    <w:p w:rsidR="009B1866" w:rsidRDefault="00303E01" w:rsidP="00303E01">
      <w:pPr>
        <w:pStyle w:val="Financialsheading3"/>
      </w:pPr>
      <w:bookmarkStart w:id="188" w:name="_Toc427745922"/>
      <w:proofErr w:type="gramStart"/>
      <w:r>
        <w:t>Note 6.</w:t>
      </w:r>
      <w:proofErr w:type="gramEnd"/>
      <w:r>
        <w:t xml:space="preserve"> </w:t>
      </w:r>
      <w:r w:rsidRPr="005D6BC7">
        <w:t>Supplies and services</w:t>
      </w:r>
      <w:bookmarkEnd w:id="188"/>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303E01" w:rsidRPr="00A02A2B" w:rsidTr="00303E01">
        <w:tc>
          <w:tcPr>
            <w:tcW w:w="5529" w:type="dxa"/>
          </w:tcPr>
          <w:p w:rsidR="00303E01" w:rsidRPr="00A02A2B" w:rsidRDefault="00303E01" w:rsidP="002C2302">
            <w:pPr>
              <w:pStyle w:val="Body"/>
              <w:spacing w:before="80"/>
              <w:ind w:left="34"/>
              <w:rPr>
                <w:sz w:val="22"/>
              </w:rPr>
            </w:pPr>
          </w:p>
        </w:tc>
        <w:tc>
          <w:tcPr>
            <w:tcW w:w="1418" w:type="dxa"/>
            <w:shd w:val="clear" w:color="auto" w:fill="E0DCCB" w:themeFill="accent4" w:themeFillTint="66"/>
          </w:tcPr>
          <w:p w:rsidR="00303E01" w:rsidRPr="00A02A2B" w:rsidRDefault="00303E01" w:rsidP="002C2302">
            <w:pPr>
              <w:pStyle w:val="Body"/>
              <w:spacing w:before="80"/>
              <w:ind w:left="34"/>
              <w:jc w:val="center"/>
              <w:rPr>
                <w:b/>
                <w:sz w:val="22"/>
              </w:rPr>
            </w:pPr>
            <w:r>
              <w:rPr>
                <w:b/>
                <w:sz w:val="22"/>
              </w:rPr>
              <w:t>2015</w:t>
            </w:r>
            <w:r w:rsidRPr="00A02A2B">
              <w:rPr>
                <w:b/>
                <w:sz w:val="22"/>
              </w:rPr>
              <w:br/>
              <w:t>$</w:t>
            </w:r>
          </w:p>
        </w:tc>
        <w:tc>
          <w:tcPr>
            <w:tcW w:w="1418" w:type="dxa"/>
            <w:shd w:val="clear" w:color="auto" w:fill="E0DCCB" w:themeFill="accent4" w:themeFillTint="66"/>
          </w:tcPr>
          <w:p w:rsidR="00303E01" w:rsidRPr="00A02A2B" w:rsidRDefault="00303E01" w:rsidP="002C2302">
            <w:pPr>
              <w:pStyle w:val="Body"/>
              <w:spacing w:before="80"/>
              <w:ind w:left="34"/>
              <w:jc w:val="center"/>
              <w:rPr>
                <w:b/>
                <w:sz w:val="22"/>
              </w:rPr>
            </w:pPr>
            <w:r>
              <w:rPr>
                <w:b/>
                <w:sz w:val="22"/>
              </w:rPr>
              <w:t>2014</w:t>
            </w:r>
            <w:r w:rsidRPr="00A02A2B">
              <w:rPr>
                <w:b/>
                <w:sz w:val="22"/>
              </w:rPr>
              <w:br/>
              <w:t>$</w:t>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sz w:val="22"/>
              </w:rPr>
              <w:t>Communications</w:t>
            </w:r>
          </w:p>
        </w:tc>
        <w:tc>
          <w:tcPr>
            <w:tcW w:w="1418" w:type="dxa"/>
            <w:shd w:val="clear" w:color="auto" w:fill="E0DCCB" w:themeFill="accent4" w:themeFillTint="66"/>
            <w:vAlign w:val="bottom"/>
          </w:tcPr>
          <w:p w:rsidR="00303E01" w:rsidRPr="00A02A2B" w:rsidRDefault="00303E01" w:rsidP="002C2302">
            <w:pPr>
              <w:pStyle w:val="Body"/>
              <w:spacing w:before="80"/>
              <w:ind w:left="0"/>
              <w:jc w:val="right"/>
              <w:rPr>
                <w:sz w:val="22"/>
              </w:rPr>
            </w:pPr>
            <w:r>
              <w:rPr>
                <w:sz w:val="22"/>
              </w:rPr>
              <w:t>74,940</w:t>
            </w:r>
          </w:p>
        </w:tc>
        <w:tc>
          <w:tcPr>
            <w:tcW w:w="1418" w:type="dxa"/>
            <w:vAlign w:val="bottom"/>
          </w:tcPr>
          <w:p w:rsidR="00303E01" w:rsidRPr="00A02A2B" w:rsidRDefault="00303E01" w:rsidP="002C2302">
            <w:pPr>
              <w:pStyle w:val="Body"/>
              <w:spacing w:before="80"/>
              <w:ind w:left="0"/>
              <w:jc w:val="right"/>
              <w:rPr>
                <w:sz w:val="22"/>
              </w:rPr>
            </w:pPr>
            <w:r w:rsidRPr="00A02A2B">
              <w:rPr>
                <w:sz w:val="22"/>
              </w:rPr>
              <w:t>155,333</w:t>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sz w:val="22"/>
              </w:rPr>
              <w:t>Consultants and contractors</w:t>
            </w:r>
            <w:r w:rsidRPr="00A02A2B">
              <w:rPr>
                <w:sz w:val="22"/>
                <w:vertAlign w:val="superscript"/>
              </w:rPr>
              <w:t>(a)</w:t>
            </w:r>
          </w:p>
        </w:tc>
        <w:tc>
          <w:tcPr>
            <w:tcW w:w="1418" w:type="dxa"/>
            <w:shd w:val="clear" w:color="auto" w:fill="E0DCCB" w:themeFill="accent4" w:themeFillTint="66"/>
            <w:vAlign w:val="bottom"/>
          </w:tcPr>
          <w:p w:rsidR="00303E01" w:rsidRPr="00A02A2B" w:rsidRDefault="00303E01" w:rsidP="002C2302">
            <w:pPr>
              <w:pStyle w:val="Body"/>
              <w:spacing w:before="80"/>
              <w:ind w:left="0"/>
              <w:jc w:val="right"/>
              <w:rPr>
                <w:sz w:val="22"/>
              </w:rPr>
            </w:pPr>
            <w:r>
              <w:rPr>
                <w:sz w:val="22"/>
              </w:rPr>
              <w:t>1,324,056</w:t>
            </w:r>
          </w:p>
        </w:tc>
        <w:tc>
          <w:tcPr>
            <w:tcW w:w="1418" w:type="dxa"/>
            <w:vAlign w:val="bottom"/>
          </w:tcPr>
          <w:p w:rsidR="00303E01" w:rsidRPr="00A02A2B" w:rsidRDefault="00303E01" w:rsidP="002C2302">
            <w:pPr>
              <w:pStyle w:val="Body"/>
              <w:spacing w:before="80"/>
              <w:ind w:left="0"/>
              <w:jc w:val="right"/>
              <w:rPr>
                <w:sz w:val="22"/>
              </w:rPr>
            </w:pPr>
            <w:r>
              <w:rPr>
                <w:sz w:val="22"/>
              </w:rPr>
              <w:t>1,925,666</w:t>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sz w:val="22"/>
              </w:rPr>
              <w:t>Consumables</w:t>
            </w:r>
          </w:p>
        </w:tc>
        <w:tc>
          <w:tcPr>
            <w:tcW w:w="1418" w:type="dxa"/>
            <w:shd w:val="clear" w:color="auto" w:fill="E0DCCB" w:themeFill="accent4" w:themeFillTint="66"/>
            <w:vAlign w:val="bottom"/>
          </w:tcPr>
          <w:p w:rsidR="00303E01" w:rsidRPr="00A02A2B" w:rsidRDefault="00303E01" w:rsidP="002C2302">
            <w:pPr>
              <w:pStyle w:val="Body"/>
              <w:spacing w:before="80"/>
              <w:ind w:left="0"/>
              <w:jc w:val="right"/>
              <w:rPr>
                <w:sz w:val="22"/>
              </w:rPr>
            </w:pPr>
            <w:r>
              <w:rPr>
                <w:sz w:val="22"/>
              </w:rPr>
              <w:t>86,179</w:t>
            </w:r>
          </w:p>
        </w:tc>
        <w:tc>
          <w:tcPr>
            <w:tcW w:w="1418" w:type="dxa"/>
            <w:vAlign w:val="bottom"/>
          </w:tcPr>
          <w:p w:rsidR="00303E01" w:rsidRPr="00A02A2B" w:rsidRDefault="00303E01" w:rsidP="002C2302">
            <w:pPr>
              <w:pStyle w:val="Body"/>
              <w:spacing w:before="80"/>
              <w:ind w:left="0"/>
              <w:jc w:val="right"/>
              <w:rPr>
                <w:sz w:val="22"/>
              </w:rPr>
            </w:pPr>
            <w:r w:rsidRPr="00A02A2B">
              <w:rPr>
                <w:sz w:val="22"/>
              </w:rPr>
              <w:t>137,521</w:t>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sz w:val="22"/>
              </w:rPr>
              <w:t>Travel</w:t>
            </w:r>
          </w:p>
        </w:tc>
        <w:tc>
          <w:tcPr>
            <w:tcW w:w="1418" w:type="dxa"/>
            <w:shd w:val="clear" w:color="auto" w:fill="E0DCCB" w:themeFill="accent4" w:themeFillTint="66"/>
            <w:vAlign w:val="bottom"/>
          </w:tcPr>
          <w:p w:rsidR="00303E01" w:rsidRPr="00A02A2B" w:rsidRDefault="00303E01" w:rsidP="002C2302">
            <w:pPr>
              <w:pStyle w:val="Body"/>
              <w:spacing w:before="80"/>
              <w:ind w:left="0"/>
              <w:jc w:val="right"/>
              <w:rPr>
                <w:sz w:val="22"/>
              </w:rPr>
            </w:pPr>
            <w:r>
              <w:rPr>
                <w:sz w:val="22"/>
              </w:rPr>
              <w:t>54,576</w:t>
            </w:r>
          </w:p>
        </w:tc>
        <w:tc>
          <w:tcPr>
            <w:tcW w:w="1418" w:type="dxa"/>
            <w:vAlign w:val="bottom"/>
          </w:tcPr>
          <w:p w:rsidR="00303E01" w:rsidRPr="00A02A2B" w:rsidRDefault="00303E01" w:rsidP="002C2302">
            <w:pPr>
              <w:pStyle w:val="Body"/>
              <w:spacing w:before="80"/>
              <w:ind w:left="0"/>
              <w:jc w:val="right"/>
              <w:rPr>
                <w:sz w:val="22"/>
              </w:rPr>
            </w:pPr>
            <w:r w:rsidRPr="00A02A2B">
              <w:rPr>
                <w:sz w:val="22"/>
              </w:rPr>
              <w:t>71,108</w:t>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sz w:val="22"/>
              </w:rPr>
              <w:t>Other</w:t>
            </w:r>
          </w:p>
        </w:tc>
        <w:tc>
          <w:tcPr>
            <w:tcW w:w="1418" w:type="dxa"/>
            <w:tcBorders>
              <w:bottom w:val="single" w:sz="4" w:space="0" w:color="FFFFFF" w:themeColor="background1"/>
            </w:tcBorders>
            <w:shd w:val="clear" w:color="auto" w:fill="E0DCCB" w:themeFill="accent4" w:themeFillTint="66"/>
            <w:vAlign w:val="bottom"/>
          </w:tcPr>
          <w:p w:rsidR="00303E01" w:rsidRPr="00A02A2B" w:rsidRDefault="00303E01" w:rsidP="002C2302">
            <w:pPr>
              <w:pStyle w:val="Body"/>
              <w:spacing w:before="80"/>
              <w:ind w:left="0"/>
              <w:jc w:val="right"/>
              <w:rPr>
                <w:sz w:val="22"/>
              </w:rPr>
            </w:pPr>
            <w:r>
              <w:rPr>
                <w:sz w:val="22"/>
              </w:rPr>
              <w:t>34,178</w:t>
            </w:r>
          </w:p>
        </w:tc>
        <w:tc>
          <w:tcPr>
            <w:tcW w:w="1418" w:type="dxa"/>
            <w:tcBorders>
              <w:bottom w:val="single" w:sz="4" w:space="0" w:color="E0DCCB" w:themeColor="accent4" w:themeTint="66"/>
            </w:tcBorders>
            <w:vAlign w:val="bottom"/>
          </w:tcPr>
          <w:p w:rsidR="00303E01" w:rsidRPr="00A02A2B" w:rsidRDefault="00303E01" w:rsidP="002C2302">
            <w:pPr>
              <w:pStyle w:val="Body"/>
              <w:spacing w:before="80"/>
              <w:ind w:left="0"/>
              <w:jc w:val="right"/>
              <w:rPr>
                <w:sz w:val="22"/>
              </w:rPr>
            </w:pPr>
            <w:r w:rsidRPr="00A02A2B">
              <w:rPr>
                <w:sz w:val="22"/>
              </w:rPr>
              <w:t>73,205</w:t>
            </w:r>
          </w:p>
        </w:tc>
      </w:tr>
      <w:tr w:rsidR="00303E01" w:rsidRPr="00A02A2B" w:rsidTr="00303E01">
        <w:tc>
          <w:tcPr>
            <w:tcW w:w="5529" w:type="dxa"/>
          </w:tcPr>
          <w:p w:rsidR="00303E01" w:rsidRPr="00A02A2B" w:rsidRDefault="00303E01" w:rsidP="002C2302">
            <w:pPr>
              <w:pStyle w:val="Body"/>
              <w:spacing w:before="80"/>
              <w:ind w:left="-108"/>
              <w:rPr>
                <w:sz w:val="22"/>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303E01" w:rsidRPr="00A02A2B" w:rsidRDefault="00303E01" w:rsidP="002C2302">
            <w:pPr>
              <w:pStyle w:val="Body"/>
              <w:spacing w:before="80"/>
              <w:ind w:left="0"/>
              <w:jc w:val="right"/>
              <w:rPr>
                <w:b/>
                <w:sz w:val="22"/>
              </w:rPr>
            </w:pPr>
            <w:r w:rsidRPr="00A02A2B">
              <w:rPr>
                <w:b/>
                <w:sz w:val="22"/>
              </w:rPr>
              <w:fldChar w:fldCharType="begin"/>
            </w:r>
            <w:r w:rsidRPr="00A02A2B">
              <w:rPr>
                <w:b/>
                <w:sz w:val="22"/>
              </w:rPr>
              <w:instrText xml:space="preserve"> =SUM(ABOVE) </w:instrText>
            </w:r>
            <w:r w:rsidRPr="00A02A2B">
              <w:rPr>
                <w:b/>
                <w:sz w:val="22"/>
              </w:rPr>
              <w:fldChar w:fldCharType="separate"/>
            </w:r>
            <w:r>
              <w:rPr>
                <w:b/>
                <w:noProof/>
                <w:sz w:val="22"/>
              </w:rPr>
              <w:t>1,573,929</w:t>
            </w:r>
            <w:r w:rsidRPr="00A02A2B">
              <w:rPr>
                <w:b/>
                <w:sz w:val="22"/>
              </w:rPr>
              <w:fldChar w:fldCharType="end"/>
            </w:r>
          </w:p>
        </w:tc>
        <w:tc>
          <w:tcPr>
            <w:tcW w:w="1418" w:type="dxa"/>
            <w:tcBorders>
              <w:top w:val="single" w:sz="4" w:space="0" w:color="E0DCCB" w:themeColor="accent4" w:themeTint="66"/>
              <w:bottom w:val="single" w:sz="4" w:space="0" w:color="B2A97E" w:themeColor="accent4"/>
            </w:tcBorders>
            <w:vAlign w:val="bottom"/>
          </w:tcPr>
          <w:p w:rsidR="00303E01" w:rsidRPr="00A02A2B" w:rsidRDefault="00303E01" w:rsidP="002C2302">
            <w:pPr>
              <w:pStyle w:val="Body"/>
              <w:spacing w:before="80"/>
              <w:ind w:left="0"/>
              <w:jc w:val="right"/>
              <w:rPr>
                <w:b/>
                <w:sz w:val="22"/>
              </w:rPr>
            </w:pPr>
            <w:r>
              <w:rPr>
                <w:b/>
                <w:sz w:val="22"/>
              </w:rPr>
              <w:fldChar w:fldCharType="begin"/>
            </w:r>
            <w:r>
              <w:rPr>
                <w:b/>
                <w:sz w:val="22"/>
              </w:rPr>
              <w:instrText xml:space="preserve"> =SUM(ABOVE) \# "#,##0" </w:instrText>
            </w:r>
            <w:r>
              <w:rPr>
                <w:b/>
                <w:sz w:val="22"/>
              </w:rPr>
              <w:fldChar w:fldCharType="separate"/>
            </w:r>
            <w:r>
              <w:rPr>
                <w:b/>
                <w:noProof/>
                <w:sz w:val="22"/>
              </w:rPr>
              <w:t>2,362,833</w:t>
            </w:r>
            <w:r>
              <w:rPr>
                <w:b/>
                <w:sz w:val="22"/>
              </w:rPr>
              <w:fldChar w:fldCharType="end"/>
            </w:r>
          </w:p>
        </w:tc>
      </w:tr>
    </w:tbl>
    <w:p w:rsidR="00303E01" w:rsidRDefault="00303E01" w:rsidP="008D4CEC">
      <w:pPr>
        <w:pStyle w:val="Financialnotes"/>
        <w:numPr>
          <w:ilvl w:val="0"/>
          <w:numId w:val="32"/>
        </w:numPr>
        <w:spacing w:before="120"/>
        <w:rPr>
          <w:rFonts w:ascii="Arial" w:hAnsi="Arial" w:cs="Arial"/>
          <w:kern w:val="28"/>
          <w:lang w:eastAsia="en-AU"/>
        </w:rPr>
      </w:pPr>
      <w:r>
        <w:rPr>
          <w:rFonts w:ascii="Arial" w:hAnsi="Arial" w:cs="Arial"/>
          <w:kern w:val="28"/>
          <w:lang w:eastAsia="en-AU"/>
        </w:rPr>
        <w:t xml:space="preserve">Human Resource </w:t>
      </w:r>
      <w:r w:rsidRPr="00A02A2B">
        <w:rPr>
          <w:rFonts w:ascii="Arial" w:hAnsi="Arial" w:cs="Arial"/>
          <w:kern w:val="28"/>
          <w:lang w:eastAsia="en-AU"/>
        </w:rPr>
        <w:t>Services are supplied by the Depa</w:t>
      </w:r>
      <w:r>
        <w:rPr>
          <w:rFonts w:ascii="Arial" w:hAnsi="Arial" w:cs="Arial"/>
          <w:kern w:val="28"/>
          <w:lang w:eastAsia="en-AU"/>
        </w:rPr>
        <w:t>rtment of Parks and Wildlife ($430</w:t>
      </w:r>
      <w:r w:rsidRPr="00A02A2B">
        <w:rPr>
          <w:rFonts w:ascii="Arial" w:hAnsi="Arial" w:cs="Arial"/>
          <w:kern w:val="28"/>
          <w:lang w:eastAsia="en-AU"/>
        </w:rPr>
        <w:t>,000).</w:t>
      </w:r>
    </w:p>
    <w:p w:rsidR="00303E01" w:rsidRDefault="00303E01" w:rsidP="00303E01">
      <w:pPr>
        <w:pStyle w:val="Financialsheading3"/>
      </w:pPr>
      <w:bookmarkStart w:id="189" w:name="_Toc427745923"/>
      <w:proofErr w:type="gramStart"/>
      <w:r>
        <w:t>Note 7.</w:t>
      </w:r>
      <w:proofErr w:type="gramEnd"/>
      <w:r>
        <w:t xml:space="preserve"> </w:t>
      </w:r>
      <w:r w:rsidRPr="005D6BC7">
        <w:t>Depreciation and amortisation expense</w:t>
      </w:r>
      <w:bookmarkEnd w:id="189"/>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303E01" w:rsidRPr="00A02A2B" w:rsidTr="00303E01">
        <w:tc>
          <w:tcPr>
            <w:tcW w:w="5529" w:type="dxa"/>
          </w:tcPr>
          <w:p w:rsidR="00303E01" w:rsidRPr="00A02A2B" w:rsidRDefault="00303E01" w:rsidP="002C2302">
            <w:pPr>
              <w:pStyle w:val="Body"/>
              <w:spacing w:before="80"/>
              <w:ind w:left="34"/>
              <w:rPr>
                <w:sz w:val="22"/>
              </w:rPr>
            </w:pPr>
          </w:p>
        </w:tc>
        <w:tc>
          <w:tcPr>
            <w:tcW w:w="1418" w:type="dxa"/>
            <w:shd w:val="clear" w:color="auto" w:fill="E0DCCB" w:themeFill="accent4" w:themeFillTint="66"/>
          </w:tcPr>
          <w:p w:rsidR="00303E01" w:rsidRPr="00A02A2B" w:rsidRDefault="00303E01" w:rsidP="002C2302">
            <w:pPr>
              <w:pStyle w:val="Body"/>
              <w:spacing w:before="80"/>
              <w:ind w:left="34"/>
              <w:jc w:val="center"/>
              <w:rPr>
                <w:b/>
                <w:sz w:val="22"/>
              </w:rPr>
            </w:pPr>
            <w:r w:rsidRPr="00A02A2B">
              <w:rPr>
                <w:b/>
                <w:sz w:val="22"/>
              </w:rPr>
              <w:t>201</w:t>
            </w:r>
            <w:r>
              <w:rPr>
                <w:b/>
                <w:sz w:val="22"/>
              </w:rPr>
              <w:t>5</w:t>
            </w:r>
            <w:r w:rsidRPr="00A02A2B">
              <w:rPr>
                <w:b/>
                <w:sz w:val="22"/>
              </w:rPr>
              <w:br/>
              <w:t>$</w:t>
            </w:r>
          </w:p>
        </w:tc>
        <w:tc>
          <w:tcPr>
            <w:tcW w:w="1418" w:type="dxa"/>
            <w:shd w:val="clear" w:color="auto" w:fill="E0DCCB" w:themeFill="accent4" w:themeFillTint="66"/>
          </w:tcPr>
          <w:p w:rsidR="00303E01" w:rsidRPr="00A02A2B" w:rsidRDefault="00303E01" w:rsidP="002C2302">
            <w:pPr>
              <w:pStyle w:val="Body"/>
              <w:spacing w:before="80"/>
              <w:ind w:left="34"/>
              <w:jc w:val="center"/>
              <w:rPr>
                <w:b/>
                <w:sz w:val="22"/>
              </w:rPr>
            </w:pPr>
            <w:r w:rsidRPr="00A02A2B">
              <w:rPr>
                <w:b/>
                <w:sz w:val="22"/>
              </w:rPr>
              <w:t>201</w:t>
            </w:r>
            <w:r>
              <w:rPr>
                <w:b/>
                <w:sz w:val="22"/>
              </w:rPr>
              <w:t>4</w:t>
            </w:r>
            <w:r w:rsidRPr="00A02A2B">
              <w:rPr>
                <w:b/>
                <w:sz w:val="22"/>
              </w:rPr>
              <w:br/>
              <w:t>$</w:t>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rFonts w:ascii="Arial" w:eastAsia="Times New Roman" w:hAnsi="Arial" w:cs="Arial"/>
                <w:kern w:val="28"/>
                <w:sz w:val="22"/>
                <w:u w:val="single"/>
                <w:lang w:eastAsia="en-AU"/>
              </w:rPr>
              <w:t>Depreciation</w:t>
            </w:r>
          </w:p>
        </w:tc>
        <w:tc>
          <w:tcPr>
            <w:tcW w:w="1418" w:type="dxa"/>
            <w:shd w:val="clear" w:color="auto" w:fill="E0DCCB" w:themeFill="accent4" w:themeFillTint="66"/>
            <w:vAlign w:val="bottom"/>
          </w:tcPr>
          <w:p w:rsidR="00303E01" w:rsidRPr="00A02A2B" w:rsidRDefault="00303E01" w:rsidP="002C2302">
            <w:pPr>
              <w:pStyle w:val="Body"/>
              <w:spacing w:before="80"/>
              <w:ind w:left="0"/>
              <w:jc w:val="right"/>
              <w:rPr>
                <w:sz w:val="22"/>
              </w:rPr>
            </w:pPr>
          </w:p>
        </w:tc>
        <w:tc>
          <w:tcPr>
            <w:tcW w:w="1418" w:type="dxa"/>
            <w:vAlign w:val="bottom"/>
          </w:tcPr>
          <w:p w:rsidR="00303E01" w:rsidRPr="00A02A2B" w:rsidRDefault="00303E01" w:rsidP="002C2302">
            <w:pPr>
              <w:pStyle w:val="Body"/>
              <w:spacing w:before="80"/>
              <w:ind w:left="0"/>
              <w:jc w:val="right"/>
              <w:rPr>
                <w:sz w:val="22"/>
              </w:rPr>
            </w:pP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rFonts w:ascii="Arial" w:eastAsia="Times New Roman" w:hAnsi="Arial" w:cs="Arial"/>
                <w:kern w:val="28"/>
                <w:sz w:val="22"/>
                <w:lang w:eastAsia="en-AU"/>
              </w:rPr>
              <w:t>Information technology assets</w:t>
            </w:r>
          </w:p>
        </w:tc>
        <w:tc>
          <w:tcPr>
            <w:tcW w:w="1418" w:type="dxa"/>
            <w:shd w:val="clear" w:color="auto" w:fill="E0DCCB" w:themeFill="accent4" w:themeFillTint="66"/>
            <w:vAlign w:val="bottom"/>
          </w:tcPr>
          <w:p w:rsidR="00303E01" w:rsidRPr="00A02A2B" w:rsidRDefault="00303E01" w:rsidP="002C2302">
            <w:pPr>
              <w:pStyle w:val="Body"/>
              <w:spacing w:before="80"/>
              <w:ind w:left="0"/>
              <w:jc w:val="right"/>
              <w:rPr>
                <w:sz w:val="22"/>
              </w:rPr>
            </w:pPr>
            <w:r>
              <w:rPr>
                <w:rFonts w:ascii="Arial" w:eastAsia="Times New Roman" w:hAnsi="Arial" w:cs="Arial"/>
                <w:kern w:val="28"/>
                <w:sz w:val="22"/>
                <w:lang w:eastAsia="en-AU"/>
              </w:rPr>
              <w:t>35,669</w:t>
            </w:r>
          </w:p>
        </w:tc>
        <w:tc>
          <w:tcPr>
            <w:tcW w:w="1418" w:type="dxa"/>
            <w:vAlign w:val="bottom"/>
          </w:tcPr>
          <w:p w:rsidR="00303E01" w:rsidRPr="00A02A2B" w:rsidRDefault="00303E01" w:rsidP="002C2302">
            <w:pPr>
              <w:pStyle w:val="Body"/>
              <w:spacing w:before="80"/>
              <w:ind w:left="0"/>
              <w:jc w:val="right"/>
              <w:rPr>
                <w:sz w:val="22"/>
              </w:rPr>
            </w:pPr>
            <w:r w:rsidRPr="00A02A2B">
              <w:rPr>
                <w:rFonts w:ascii="Arial" w:eastAsia="Times New Roman" w:hAnsi="Arial" w:cs="Arial"/>
                <w:kern w:val="28"/>
                <w:sz w:val="22"/>
                <w:lang w:eastAsia="en-AU"/>
              </w:rPr>
              <w:t>31,413</w:t>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rFonts w:ascii="Arial" w:eastAsia="Times New Roman" w:hAnsi="Arial" w:cs="Arial"/>
                <w:kern w:val="28"/>
                <w:sz w:val="22"/>
                <w:lang w:eastAsia="en-AU"/>
              </w:rPr>
              <w:t>Marine equipment</w:t>
            </w:r>
          </w:p>
        </w:tc>
        <w:tc>
          <w:tcPr>
            <w:tcW w:w="1418" w:type="dxa"/>
            <w:shd w:val="clear" w:color="auto" w:fill="E0DCCB" w:themeFill="accent4" w:themeFillTint="66"/>
            <w:vAlign w:val="bottom"/>
          </w:tcPr>
          <w:p w:rsidR="00303E01" w:rsidRPr="00A02A2B" w:rsidRDefault="00303E01" w:rsidP="002C2302">
            <w:pPr>
              <w:pStyle w:val="Body"/>
              <w:spacing w:before="80"/>
              <w:ind w:left="0"/>
              <w:jc w:val="right"/>
              <w:rPr>
                <w:sz w:val="22"/>
              </w:rPr>
            </w:pPr>
            <w:r>
              <w:rPr>
                <w:rFonts w:ascii="Arial" w:eastAsia="Times New Roman" w:hAnsi="Arial" w:cs="Arial"/>
                <w:kern w:val="28"/>
                <w:sz w:val="22"/>
                <w:lang w:eastAsia="en-AU"/>
              </w:rPr>
              <w:t>32,104</w:t>
            </w:r>
          </w:p>
        </w:tc>
        <w:tc>
          <w:tcPr>
            <w:tcW w:w="1418" w:type="dxa"/>
            <w:vAlign w:val="bottom"/>
          </w:tcPr>
          <w:p w:rsidR="00303E01" w:rsidRPr="00A02A2B" w:rsidRDefault="00303E01" w:rsidP="002C2302">
            <w:pPr>
              <w:pStyle w:val="Body"/>
              <w:spacing w:before="80"/>
              <w:ind w:left="0"/>
              <w:jc w:val="right"/>
              <w:rPr>
                <w:sz w:val="22"/>
              </w:rPr>
            </w:pPr>
            <w:r w:rsidRPr="00A02A2B">
              <w:rPr>
                <w:rFonts w:ascii="Arial" w:eastAsia="Times New Roman" w:hAnsi="Arial" w:cs="Arial"/>
                <w:kern w:val="28"/>
                <w:sz w:val="22"/>
                <w:lang w:eastAsia="en-AU"/>
              </w:rPr>
              <w:t>56,178</w:t>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rFonts w:ascii="Arial" w:eastAsia="Times New Roman" w:hAnsi="Arial" w:cs="Arial"/>
                <w:kern w:val="28"/>
                <w:sz w:val="22"/>
                <w:lang w:eastAsia="en-AU"/>
              </w:rPr>
              <w:t>Other plant and equipment</w:t>
            </w:r>
          </w:p>
        </w:tc>
        <w:tc>
          <w:tcPr>
            <w:tcW w:w="1418" w:type="dxa"/>
            <w:tcBorders>
              <w:bottom w:val="single" w:sz="4" w:space="0" w:color="FFFFFF" w:themeColor="background1"/>
            </w:tcBorders>
            <w:shd w:val="clear" w:color="auto" w:fill="E0DCCB" w:themeFill="accent4" w:themeFillTint="66"/>
            <w:vAlign w:val="bottom"/>
          </w:tcPr>
          <w:p w:rsidR="00303E01" w:rsidRPr="00A02A2B" w:rsidRDefault="00303E01" w:rsidP="002C2302">
            <w:pPr>
              <w:pStyle w:val="Body"/>
              <w:spacing w:before="80"/>
              <w:ind w:left="0"/>
              <w:jc w:val="right"/>
              <w:rPr>
                <w:sz w:val="22"/>
              </w:rPr>
            </w:pPr>
            <w:r>
              <w:rPr>
                <w:rFonts w:ascii="Arial" w:eastAsia="Times New Roman" w:hAnsi="Arial" w:cs="Arial"/>
                <w:kern w:val="28"/>
                <w:sz w:val="22"/>
                <w:lang w:eastAsia="en-AU"/>
              </w:rPr>
              <w:t>15,504</w:t>
            </w:r>
          </w:p>
        </w:tc>
        <w:tc>
          <w:tcPr>
            <w:tcW w:w="1418" w:type="dxa"/>
            <w:tcBorders>
              <w:bottom w:val="single" w:sz="4" w:space="0" w:color="E0DCCB" w:themeColor="accent4" w:themeTint="66"/>
            </w:tcBorders>
            <w:vAlign w:val="bottom"/>
          </w:tcPr>
          <w:p w:rsidR="00303E01" w:rsidRPr="00A02A2B" w:rsidRDefault="00303E01" w:rsidP="002C2302">
            <w:pPr>
              <w:pStyle w:val="Body"/>
              <w:spacing w:before="80"/>
              <w:ind w:left="0"/>
              <w:jc w:val="right"/>
              <w:rPr>
                <w:sz w:val="22"/>
              </w:rPr>
            </w:pPr>
            <w:r w:rsidRPr="00A02A2B">
              <w:rPr>
                <w:rFonts w:ascii="Arial" w:eastAsia="Times New Roman" w:hAnsi="Arial" w:cs="Arial"/>
                <w:kern w:val="28"/>
                <w:sz w:val="22"/>
                <w:lang w:eastAsia="en-AU"/>
              </w:rPr>
              <w:t>12,602</w:t>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rFonts w:ascii="Arial" w:eastAsia="Times New Roman" w:hAnsi="Arial" w:cs="Arial"/>
                <w:b/>
                <w:kern w:val="28"/>
                <w:sz w:val="22"/>
                <w:lang w:eastAsia="en-AU"/>
              </w:rPr>
              <w:t>Total depreciation</w:t>
            </w: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303E01" w:rsidRPr="00A02A2B" w:rsidRDefault="00303E01" w:rsidP="002C2302">
            <w:pPr>
              <w:pStyle w:val="Body"/>
              <w:spacing w:before="80"/>
              <w:ind w:left="0"/>
              <w:jc w:val="right"/>
              <w:rPr>
                <w:sz w:val="22"/>
              </w:rPr>
            </w:pPr>
            <w:r w:rsidRPr="00A02A2B">
              <w:rPr>
                <w:rFonts w:ascii="Arial" w:eastAsia="Times New Roman" w:hAnsi="Arial" w:cs="Arial"/>
                <w:b/>
                <w:kern w:val="28"/>
                <w:sz w:val="22"/>
                <w:lang w:eastAsia="en-AU"/>
              </w:rPr>
              <w:fldChar w:fldCharType="begin"/>
            </w:r>
            <w:r w:rsidRPr="00A02A2B">
              <w:rPr>
                <w:rFonts w:ascii="Arial" w:eastAsia="Times New Roman" w:hAnsi="Arial" w:cs="Arial"/>
                <w:b/>
                <w:kern w:val="28"/>
                <w:sz w:val="22"/>
                <w:lang w:eastAsia="en-AU"/>
              </w:rPr>
              <w:instrText xml:space="preserve"> =SUM(ABOVE) </w:instrText>
            </w:r>
            <w:r w:rsidRPr="00A02A2B">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83,277</w:t>
            </w:r>
            <w:r w:rsidRPr="00A02A2B">
              <w:rPr>
                <w:rFonts w:ascii="Arial" w:eastAsia="Times New Roman" w:hAnsi="Arial" w:cs="Arial"/>
                <w:b/>
                <w:kern w:val="28"/>
                <w:sz w:val="22"/>
                <w:lang w:eastAsia="en-AU"/>
              </w:rPr>
              <w:fldChar w:fldCharType="end"/>
            </w:r>
          </w:p>
        </w:tc>
        <w:tc>
          <w:tcPr>
            <w:tcW w:w="1418" w:type="dxa"/>
            <w:tcBorders>
              <w:top w:val="single" w:sz="4" w:space="0" w:color="E0DCCB" w:themeColor="accent4" w:themeTint="66"/>
              <w:bottom w:val="single" w:sz="4" w:space="0" w:color="B2A97E" w:themeColor="accent4"/>
            </w:tcBorders>
            <w:vAlign w:val="bottom"/>
          </w:tcPr>
          <w:p w:rsidR="00303E01" w:rsidRPr="00A02A2B" w:rsidRDefault="00303E01" w:rsidP="002C2302">
            <w:pPr>
              <w:pStyle w:val="Body"/>
              <w:spacing w:before="80"/>
              <w:ind w:left="0"/>
              <w:jc w:val="right"/>
              <w:rPr>
                <w:sz w:val="22"/>
              </w:rPr>
            </w:pPr>
            <w:r w:rsidRPr="00A02A2B">
              <w:rPr>
                <w:rFonts w:ascii="Arial" w:eastAsia="Times New Roman" w:hAnsi="Arial" w:cs="Arial"/>
                <w:b/>
                <w:kern w:val="28"/>
                <w:sz w:val="22"/>
                <w:lang w:eastAsia="en-AU"/>
              </w:rPr>
              <w:fldChar w:fldCharType="begin"/>
            </w:r>
            <w:r w:rsidRPr="00A02A2B">
              <w:rPr>
                <w:rFonts w:ascii="Arial" w:eastAsia="Times New Roman" w:hAnsi="Arial" w:cs="Arial"/>
                <w:b/>
                <w:kern w:val="28"/>
                <w:sz w:val="22"/>
                <w:lang w:eastAsia="en-AU"/>
              </w:rPr>
              <w:instrText xml:space="preserve"> =SUM(ABOVE) </w:instrText>
            </w:r>
            <w:r w:rsidRPr="00A02A2B">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100,193</w:t>
            </w:r>
            <w:r w:rsidRPr="00A02A2B">
              <w:rPr>
                <w:rFonts w:ascii="Arial" w:eastAsia="Times New Roman" w:hAnsi="Arial" w:cs="Arial"/>
                <w:b/>
                <w:kern w:val="28"/>
                <w:sz w:val="22"/>
                <w:lang w:eastAsia="en-AU"/>
              </w:rPr>
              <w:fldChar w:fldCharType="end"/>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rFonts w:ascii="Arial" w:eastAsia="Times New Roman" w:hAnsi="Arial" w:cs="Arial"/>
                <w:kern w:val="28"/>
                <w:sz w:val="22"/>
                <w:u w:val="single"/>
                <w:lang w:eastAsia="en-AU"/>
              </w:rPr>
              <w:t>Amortisation</w:t>
            </w:r>
          </w:p>
        </w:tc>
        <w:tc>
          <w:tcPr>
            <w:tcW w:w="1418" w:type="dxa"/>
            <w:tcBorders>
              <w:top w:val="single" w:sz="4" w:space="0" w:color="B2A97E" w:themeColor="accent4"/>
            </w:tcBorders>
            <w:shd w:val="clear" w:color="auto" w:fill="E0DCCB" w:themeFill="accent4" w:themeFillTint="66"/>
            <w:vAlign w:val="bottom"/>
          </w:tcPr>
          <w:p w:rsidR="00303E01" w:rsidRPr="00A02A2B" w:rsidRDefault="00303E01" w:rsidP="002C2302">
            <w:pPr>
              <w:pStyle w:val="Body"/>
              <w:spacing w:before="80"/>
              <w:ind w:left="0"/>
              <w:jc w:val="right"/>
              <w:rPr>
                <w:sz w:val="22"/>
              </w:rPr>
            </w:pPr>
          </w:p>
        </w:tc>
        <w:tc>
          <w:tcPr>
            <w:tcW w:w="1418" w:type="dxa"/>
            <w:tcBorders>
              <w:top w:val="single" w:sz="4" w:space="0" w:color="B2A97E" w:themeColor="accent4"/>
            </w:tcBorders>
            <w:vAlign w:val="bottom"/>
          </w:tcPr>
          <w:p w:rsidR="00303E01" w:rsidRPr="00A02A2B" w:rsidRDefault="00303E01" w:rsidP="002C2302">
            <w:pPr>
              <w:pStyle w:val="Body"/>
              <w:spacing w:before="80"/>
              <w:ind w:left="0"/>
              <w:jc w:val="right"/>
              <w:rPr>
                <w:sz w:val="22"/>
              </w:rPr>
            </w:pP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rFonts w:ascii="Arial" w:eastAsia="Times New Roman" w:hAnsi="Arial" w:cs="Arial"/>
                <w:kern w:val="28"/>
                <w:sz w:val="22"/>
                <w:lang w:eastAsia="en-AU"/>
              </w:rPr>
              <w:t>Computer software</w:t>
            </w:r>
          </w:p>
        </w:tc>
        <w:tc>
          <w:tcPr>
            <w:tcW w:w="1418" w:type="dxa"/>
            <w:tcBorders>
              <w:bottom w:val="single" w:sz="4" w:space="0" w:color="FFFFFF" w:themeColor="background1"/>
            </w:tcBorders>
            <w:shd w:val="clear" w:color="auto" w:fill="E0DCCB" w:themeFill="accent4" w:themeFillTint="66"/>
            <w:vAlign w:val="bottom"/>
          </w:tcPr>
          <w:p w:rsidR="00303E01" w:rsidRPr="00A02A2B" w:rsidRDefault="00303E01" w:rsidP="002C2302">
            <w:pPr>
              <w:pStyle w:val="Body"/>
              <w:spacing w:before="80"/>
              <w:ind w:left="0"/>
              <w:jc w:val="right"/>
              <w:rPr>
                <w:sz w:val="22"/>
              </w:rPr>
            </w:pPr>
            <w:r>
              <w:rPr>
                <w:rFonts w:ascii="Arial" w:eastAsia="Times New Roman" w:hAnsi="Arial" w:cs="Arial"/>
                <w:kern w:val="28"/>
                <w:sz w:val="22"/>
                <w:lang w:eastAsia="en-AU"/>
              </w:rPr>
              <w:t>114,044</w:t>
            </w:r>
          </w:p>
        </w:tc>
        <w:tc>
          <w:tcPr>
            <w:tcW w:w="1418" w:type="dxa"/>
            <w:tcBorders>
              <w:bottom w:val="single" w:sz="4" w:space="0" w:color="E0DCCB" w:themeColor="accent4" w:themeTint="66"/>
            </w:tcBorders>
            <w:vAlign w:val="bottom"/>
          </w:tcPr>
          <w:p w:rsidR="00303E01" w:rsidRPr="00A02A2B" w:rsidRDefault="00303E01" w:rsidP="002C2302">
            <w:pPr>
              <w:pStyle w:val="Body"/>
              <w:spacing w:before="80"/>
              <w:ind w:left="0"/>
              <w:jc w:val="right"/>
              <w:rPr>
                <w:sz w:val="22"/>
              </w:rPr>
            </w:pPr>
            <w:r w:rsidRPr="00A02A2B">
              <w:rPr>
                <w:rFonts w:ascii="Arial" w:eastAsia="Times New Roman" w:hAnsi="Arial" w:cs="Arial"/>
                <w:kern w:val="28"/>
                <w:sz w:val="22"/>
                <w:lang w:eastAsia="en-AU"/>
              </w:rPr>
              <w:t>101,851</w:t>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rFonts w:ascii="Arial" w:eastAsia="Times New Roman" w:hAnsi="Arial" w:cs="Arial"/>
                <w:b/>
                <w:kern w:val="28"/>
                <w:sz w:val="22"/>
                <w:lang w:eastAsia="en-AU"/>
              </w:rPr>
              <w:t>Total amortisation</w:t>
            </w:r>
          </w:p>
        </w:tc>
        <w:tc>
          <w:tcPr>
            <w:tcW w:w="1418" w:type="dxa"/>
            <w:tcBorders>
              <w:top w:val="single" w:sz="4" w:space="0" w:color="FFFFFF" w:themeColor="background1"/>
              <w:bottom w:val="single" w:sz="4" w:space="0" w:color="FFFFFF" w:themeColor="background1"/>
            </w:tcBorders>
            <w:shd w:val="clear" w:color="auto" w:fill="E0DCCB" w:themeFill="accent4" w:themeFillTint="66"/>
            <w:vAlign w:val="bottom"/>
          </w:tcPr>
          <w:p w:rsidR="00303E01" w:rsidRPr="00A02A2B" w:rsidRDefault="00303E01" w:rsidP="002C2302">
            <w:pPr>
              <w:pStyle w:val="Body"/>
              <w:spacing w:before="80"/>
              <w:ind w:left="0"/>
              <w:jc w:val="right"/>
              <w:rPr>
                <w:sz w:val="22"/>
              </w:rPr>
            </w:pPr>
            <w:r w:rsidRPr="00A02A2B">
              <w:rPr>
                <w:rFonts w:ascii="Arial" w:eastAsia="Times New Roman" w:hAnsi="Arial" w:cs="Arial"/>
                <w:b/>
                <w:kern w:val="28"/>
                <w:sz w:val="22"/>
                <w:lang w:eastAsia="en-AU"/>
              </w:rPr>
              <w:fldChar w:fldCharType="begin"/>
            </w:r>
            <w:r w:rsidRPr="00A02A2B">
              <w:rPr>
                <w:rFonts w:ascii="Arial" w:eastAsia="Times New Roman" w:hAnsi="Arial" w:cs="Arial"/>
                <w:b/>
                <w:kern w:val="28"/>
                <w:sz w:val="22"/>
                <w:lang w:eastAsia="en-AU"/>
              </w:rPr>
              <w:instrText xml:space="preserve"> =SUM(ABOVE) </w:instrText>
            </w:r>
            <w:r w:rsidRPr="00A02A2B">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114,044</w:t>
            </w:r>
            <w:r w:rsidRPr="00A02A2B">
              <w:rPr>
                <w:rFonts w:ascii="Arial" w:eastAsia="Times New Roman" w:hAnsi="Arial" w:cs="Arial"/>
                <w:b/>
                <w:kern w:val="28"/>
                <w:sz w:val="22"/>
                <w:lang w:eastAsia="en-AU"/>
              </w:rPr>
              <w:fldChar w:fldCharType="end"/>
            </w:r>
          </w:p>
        </w:tc>
        <w:tc>
          <w:tcPr>
            <w:tcW w:w="1418" w:type="dxa"/>
            <w:tcBorders>
              <w:top w:val="single" w:sz="4" w:space="0" w:color="E0DCCB" w:themeColor="accent4" w:themeTint="66"/>
              <w:bottom w:val="single" w:sz="4" w:space="0" w:color="E0DCCB" w:themeColor="accent4" w:themeTint="66"/>
            </w:tcBorders>
            <w:vAlign w:val="bottom"/>
          </w:tcPr>
          <w:p w:rsidR="00303E01" w:rsidRPr="00A02A2B" w:rsidRDefault="00303E01" w:rsidP="002C2302">
            <w:pPr>
              <w:pStyle w:val="Body"/>
              <w:spacing w:before="80"/>
              <w:ind w:left="0"/>
              <w:jc w:val="right"/>
              <w:rPr>
                <w:sz w:val="22"/>
              </w:rPr>
            </w:pPr>
            <w:r>
              <w:rPr>
                <w:rFonts w:ascii="Arial" w:eastAsia="Times New Roman" w:hAnsi="Arial" w:cs="Arial"/>
                <w:b/>
                <w:kern w:val="28"/>
                <w:sz w:val="22"/>
                <w:lang w:eastAsia="en-AU"/>
              </w:rPr>
              <w:fldChar w:fldCharType="begin"/>
            </w:r>
            <w:r>
              <w:rPr>
                <w:rFonts w:ascii="Arial" w:eastAsia="Times New Roman" w:hAnsi="Arial" w:cs="Arial"/>
                <w:b/>
                <w:kern w:val="28"/>
                <w:sz w:val="22"/>
                <w:lang w:eastAsia="en-AU"/>
              </w:rPr>
              <w:instrText xml:space="preserve"> =SUM(ABOVE) </w:instrText>
            </w:r>
            <w:r>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101,851</w:t>
            </w:r>
            <w:r>
              <w:rPr>
                <w:rFonts w:ascii="Arial" w:eastAsia="Times New Roman" w:hAnsi="Arial" w:cs="Arial"/>
                <w:b/>
                <w:kern w:val="28"/>
                <w:sz w:val="22"/>
                <w:lang w:eastAsia="en-AU"/>
              </w:rPr>
              <w:fldChar w:fldCharType="end"/>
            </w:r>
          </w:p>
        </w:tc>
      </w:tr>
      <w:tr w:rsidR="00303E01" w:rsidRPr="00A02A2B" w:rsidTr="00303E01">
        <w:tc>
          <w:tcPr>
            <w:tcW w:w="5529" w:type="dxa"/>
            <w:vAlign w:val="bottom"/>
          </w:tcPr>
          <w:p w:rsidR="00303E01" w:rsidRPr="00A02A2B" w:rsidRDefault="00303E01" w:rsidP="00CF09FA">
            <w:pPr>
              <w:pStyle w:val="Body"/>
              <w:spacing w:before="80"/>
              <w:ind w:left="176"/>
              <w:rPr>
                <w:sz w:val="22"/>
              </w:rPr>
            </w:pPr>
            <w:r w:rsidRPr="00A02A2B">
              <w:rPr>
                <w:rFonts w:ascii="Arial" w:eastAsia="Times New Roman" w:hAnsi="Arial" w:cs="Arial"/>
                <w:b/>
                <w:kern w:val="28"/>
                <w:sz w:val="22"/>
                <w:lang w:eastAsia="en-AU"/>
              </w:rPr>
              <w:t>Total depreciation and amortisation</w:t>
            </w: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303E01" w:rsidRPr="00A02A2B" w:rsidRDefault="00303E01" w:rsidP="002C2302">
            <w:pPr>
              <w:pStyle w:val="Body"/>
              <w:spacing w:before="80"/>
              <w:ind w:left="0"/>
              <w:jc w:val="right"/>
              <w:rPr>
                <w:sz w:val="22"/>
              </w:rPr>
            </w:pPr>
            <w:r>
              <w:rPr>
                <w:rFonts w:ascii="Arial" w:eastAsia="Times New Roman" w:hAnsi="Arial" w:cs="Arial"/>
                <w:b/>
                <w:kern w:val="28"/>
                <w:sz w:val="22"/>
                <w:lang w:eastAsia="en-AU"/>
              </w:rPr>
              <w:t>197,321</w:t>
            </w:r>
          </w:p>
        </w:tc>
        <w:tc>
          <w:tcPr>
            <w:tcW w:w="1418" w:type="dxa"/>
            <w:tcBorders>
              <w:top w:val="single" w:sz="4" w:space="0" w:color="E0DCCB" w:themeColor="accent4" w:themeTint="66"/>
              <w:bottom w:val="single" w:sz="4" w:space="0" w:color="B2A97E" w:themeColor="accent4"/>
            </w:tcBorders>
            <w:vAlign w:val="bottom"/>
          </w:tcPr>
          <w:p w:rsidR="00303E01" w:rsidRPr="00A02A2B" w:rsidRDefault="00303E01" w:rsidP="002C2302">
            <w:pPr>
              <w:pStyle w:val="Body"/>
              <w:spacing w:before="80"/>
              <w:ind w:left="0"/>
              <w:jc w:val="right"/>
              <w:rPr>
                <w:sz w:val="22"/>
              </w:rPr>
            </w:pPr>
            <w:r w:rsidRPr="00A02A2B">
              <w:rPr>
                <w:rFonts w:ascii="Arial" w:eastAsia="Times New Roman" w:hAnsi="Arial" w:cs="Arial"/>
                <w:b/>
                <w:kern w:val="28"/>
                <w:sz w:val="22"/>
                <w:lang w:eastAsia="en-AU"/>
              </w:rPr>
              <w:t>202,044</w:t>
            </w:r>
          </w:p>
        </w:tc>
      </w:tr>
    </w:tbl>
    <w:p w:rsidR="00303E01" w:rsidRPr="008B4D48" w:rsidRDefault="00303E01" w:rsidP="00303E01">
      <w:pPr>
        <w:pStyle w:val="Financialnotes"/>
        <w:spacing w:before="120"/>
      </w:pPr>
    </w:p>
    <w:p w:rsidR="00CF09FA" w:rsidRDefault="00CF09FA" w:rsidP="00CF09FA">
      <w:pPr>
        <w:pStyle w:val="Financialsheading3"/>
      </w:pPr>
      <w:bookmarkStart w:id="190" w:name="_Toc427745924"/>
      <w:proofErr w:type="gramStart"/>
      <w:r>
        <w:lastRenderedPageBreak/>
        <w:t>Note 8.</w:t>
      </w:r>
      <w:proofErr w:type="gramEnd"/>
      <w:r>
        <w:t xml:space="preserve"> Accommodation</w:t>
      </w:r>
      <w:bookmarkEnd w:id="190"/>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CF09FA" w:rsidRPr="00A02A2B" w:rsidTr="00CF09FA">
        <w:tc>
          <w:tcPr>
            <w:tcW w:w="5529" w:type="dxa"/>
          </w:tcPr>
          <w:p w:rsidR="00CF09FA" w:rsidRPr="00A02A2B" w:rsidRDefault="00CF09FA" w:rsidP="00CF09FA">
            <w:pPr>
              <w:pStyle w:val="Body"/>
              <w:spacing w:before="80"/>
              <w:ind w:left="176"/>
              <w:rPr>
                <w:sz w:val="22"/>
              </w:rPr>
            </w:pPr>
          </w:p>
        </w:tc>
        <w:tc>
          <w:tcPr>
            <w:tcW w:w="1418" w:type="dxa"/>
            <w:shd w:val="clear" w:color="auto" w:fill="E0DCCB" w:themeFill="accent4" w:themeFillTint="66"/>
          </w:tcPr>
          <w:p w:rsidR="00CF09FA" w:rsidRPr="00A02A2B" w:rsidRDefault="00CF09FA" w:rsidP="002C2302">
            <w:pPr>
              <w:pStyle w:val="Body"/>
              <w:spacing w:before="80"/>
              <w:ind w:left="34"/>
              <w:jc w:val="center"/>
              <w:rPr>
                <w:b/>
                <w:sz w:val="22"/>
              </w:rPr>
            </w:pPr>
            <w:r w:rsidRPr="00A02A2B">
              <w:rPr>
                <w:b/>
                <w:sz w:val="22"/>
              </w:rPr>
              <w:t>201</w:t>
            </w:r>
            <w:r>
              <w:rPr>
                <w:b/>
                <w:sz w:val="22"/>
              </w:rPr>
              <w:t>5</w:t>
            </w:r>
            <w:r w:rsidRPr="00A02A2B">
              <w:rPr>
                <w:b/>
                <w:sz w:val="22"/>
              </w:rPr>
              <w:br/>
              <w:t>$</w:t>
            </w:r>
          </w:p>
        </w:tc>
        <w:tc>
          <w:tcPr>
            <w:tcW w:w="1418" w:type="dxa"/>
            <w:shd w:val="clear" w:color="auto" w:fill="E0DCCB" w:themeFill="accent4" w:themeFillTint="66"/>
          </w:tcPr>
          <w:p w:rsidR="00CF09FA" w:rsidRPr="00A02A2B" w:rsidRDefault="00CF09FA" w:rsidP="002C2302">
            <w:pPr>
              <w:pStyle w:val="Body"/>
              <w:spacing w:before="80"/>
              <w:ind w:left="34"/>
              <w:jc w:val="center"/>
              <w:rPr>
                <w:b/>
                <w:sz w:val="22"/>
              </w:rPr>
            </w:pPr>
            <w:r w:rsidRPr="00A02A2B">
              <w:rPr>
                <w:b/>
                <w:sz w:val="22"/>
              </w:rPr>
              <w:t>201</w:t>
            </w:r>
            <w:r>
              <w:rPr>
                <w:b/>
                <w:sz w:val="22"/>
              </w:rPr>
              <w:t>4</w:t>
            </w:r>
            <w:r w:rsidRPr="00A02A2B">
              <w:rPr>
                <w:b/>
                <w:sz w:val="22"/>
              </w:rPr>
              <w:br/>
              <w:t>$</w:t>
            </w:r>
          </w:p>
        </w:tc>
      </w:tr>
      <w:tr w:rsidR="00CF09FA" w:rsidRPr="00A02A2B" w:rsidTr="00CF09FA">
        <w:tc>
          <w:tcPr>
            <w:tcW w:w="5529" w:type="dxa"/>
            <w:vAlign w:val="bottom"/>
          </w:tcPr>
          <w:p w:rsidR="00CF09FA" w:rsidRPr="00A02A2B" w:rsidRDefault="00CF09FA" w:rsidP="00CF09FA">
            <w:pPr>
              <w:pStyle w:val="Body"/>
              <w:spacing w:before="80"/>
              <w:ind w:left="176"/>
              <w:rPr>
                <w:sz w:val="22"/>
              </w:rPr>
            </w:pPr>
            <w:r>
              <w:rPr>
                <w:rFonts w:ascii="Arial" w:eastAsia="Times New Roman" w:hAnsi="Arial" w:cs="Arial"/>
                <w:kern w:val="28"/>
                <w:sz w:val="22"/>
                <w:lang w:eastAsia="en-AU"/>
              </w:rPr>
              <w:t>The Atrium</w:t>
            </w:r>
          </w:p>
        </w:tc>
        <w:tc>
          <w:tcPr>
            <w:tcW w:w="1418" w:type="dxa"/>
            <w:shd w:val="clear" w:color="auto" w:fill="E0DCCB" w:themeFill="accent4" w:themeFillTint="66"/>
            <w:vAlign w:val="bottom"/>
          </w:tcPr>
          <w:p w:rsidR="00CF09FA" w:rsidRPr="00A02A2B" w:rsidRDefault="00CF09FA" w:rsidP="002C2302">
            <w:pPr>
              <w:pStyle w:val="Body"/>
              <w:spacing w:before="80"/>
              <w:ind w:left="0"/>
              <w:jc w:val="right"/>
              <w:rPr>
                <w:sz w:val="22"/>
              </w:rPr>
            </w:pPr>
            <w:r>
              <w:rPr>
                <w:rFonts w:ascii="Arial" w:eastAsia="Times New Roman" w:hAnsi="Arial" w:cs="Arial"/>
                <w:kern w:val="28"/>
                <w:sz w:val="22"/>
                <w:lang w:eastAsia="en-AU"/>
              </w:rPr>
              <w:t>826,097</w:t>
            </w:r>
          </w:p>
        </w:tc>
        <w:tc>
          <w:tcPr>
            <w:tcW w:w="1418" w:type="dxa"/>
            <w:vAlign w:val="bottom"/>
          </w:tcPr>
          <w:p w:rsidR="00CF09FA" w:rsidRPr="00A02A2B" w:rsidRDefault="00CF09FA" w:rsidP="002C2302">
            <w:pPr>
              <w:pStyle w:val="Body"/>
              <w:spacing w:before="80"/>
              <w:ind w:left="0"/>
              <w:jc w:val="right"/>
              <w:rPr>
                <w:sz w:val="22"/>
              </w:rPr>
            </w:pPr>
            <w:r>
              <w:rPr>
                <w:rFonts w:ascii="Arial" w:eastAsia="Times New Roman" w:hAnsi="Arial" w:cs="Arial"/>
                <w:kern w:val="28"/>
                <w:sz w:val="22"/>
                <w:lang w:eastAsia="en-AU"/>
              </w:rPr>
              <w:t>849,420</w:t>
            </w:r>
          </w:p>
        </w:tc>
      </w:tr>
      <w:tr w:rsidR="00CF09FA" w:rsidRPr="00A02A2B" w:rsidTr="00CF09FA">
        <w:tc>
          <w:tcPr>
            <w:tcW w:w="5529" w:type="dxa"/>
            <w:vAlign w:val="bottom"/>
          </w:tcPr>
          <w:p w:rsidR="00CF09FA" w:rsidRPr="00A02A2B" w:rsidRDefault="00CF09FA" w:rsidP="00CF09FA">
            <w:pPr>
              <w:pStyle w:val="Body"/>
              <w:spacing w:before="80"/>
              <w:ind w:left="176"/>
              <w:rPr>
                <w:sz w:val="22"/>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CF09FA" w:rsidRPr="00A02A2B" w:rsidRDefault="00CF09FA" w:rsidP="002C2302">
            <w:pPr>
              <w:pStyle w:val="Body"/>
              <w:spacing w:before="80"/>
              <w:ind w:left="0"/>
              <w:jc w:val="right"/>
              <w:rPr>
                <w:sz w:val="22"/>
              </w:rPr>
            </w:pPr>
            <w:r>
              <w:rPr>
                <w:rFonts w:ascii="Arial" w:eastAsia="Times New Roman" w:hAnsi="Arial" w:cs="Arial"/>
                <w:b/>
                <w:kern w:val="28"/>
                <w:sz w:val="22"/>
                <w:lang w:eastAsia="en-AU"/>
              </w:rPr>
              <w:fldChar w:fldCharType="begin"/>
            </w:r>
            <w:r>
              <w:rPr>
                <w:rFonts w:ascii="Arial" w:eastAsia="Times New Roman" w:hAnsi="Arial" w:cs="Arial"/>
                <w:b/>
                <w:kern w:val="28"/>
                <w:sz w:val="22"/>
                <w:lang w:eastAsia="en-AU"/>
              </w:rPr>
              <w:instrText xml:space="preserve"> =SUM(ABOVE) </w:instrText>
            </w:r>
            <w:r>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826,097</w:t>
            </w:r>
            <w:r>
              <w:rPr>
                <w:rFonts w:ascii="Arial" w:eastAsia="Times New Roman" w:hAnsi="Arial" w:cs="Arial"/>
                <w:b/>
                <w:kern w:val="28"/>
                <w:sz w:val="22"/>
                <w:lang w:eastAsia="en-AU"/>
              </w:rPr>
              <w:fldChar w:fldCharType="end"/>
            </w:r>
          </w:p>
        </w:tc>
        <w:tc>
          <w:tcPr>
            <w:tcW w:w="1418" w:type="dxa"/>
            <w:tcBorders>
              <w:top w:val="single" w:sz="4" w:space="0" w:color="E0DCCB" w:themeColor="accent4" w:themeTint="66"/>
              <w:bottom w:val="single" w:sz="4" w:space="0" w:color="B2A97E" w:themeColor="accent4"/>
            </w:tcBorders>
            <w:vAlign w:val="bottom"/>
          </w:tcPr>
          <w:p w:rsidR="00CF09FA" w:rsidRPr="00A02A2B" w:rsidRDefault="00CF09FA" w:rsidP="002C2302">
            <w:pPr>
              <w:pStyle w:val="Body"/>
              <w:spacing w:before="80"/>
              <w:ind w:left="0"/>
              <w:jc w:val="right"/>
              <w:rPr>
                <w:sz w:val="22"/>
              </w:rPr>
            </w:pPr>
            <w:r w:rsidRPr="00A02A2B">
              <w:rPr>
                <w:rFonts w:ascii="Arial" w:eastAsia="Times New Roman" w:hAnsi="Arial" w:cs="Arial"/>
                <w:b/>
                <w:kern w:val="28"/>
                <w:sz w:val="22"/>
                <w:lang w:eastAsia="en-AU"/>
              </w:rPr>
              <w:fldChar w:fldCharType="begin"/>
            </w:r>
            <w:r w:rsidRPr="00A02A2B">
              <w:rPr>
                <w:rFonts w:ascii="Arial" w:eastAsia="Times New Roman" w:hAnsi="Arial" w:cs="Arial"/>
                <w:b/>
                <w:kern w:val="28"/>
                <w:sz w:val="22"/>
                <w:lang w:eastAsia="en-AU"/>
              </w:rPr>
              <w:instrText xml:space="preserve"> =SUM(ABOVE) </w:instrText>
            </w:r>
            <w:r w:rsidRPr="00A02A2B">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849,420</w:t>
            </w:r>
            <w:r w:rsidRPr="00A02A2B">
              <w:rPr>
                <w:rFonts w:ascii="Arial" w:eastAsia="Times New Roman" w:hAnsi="Arial" w:cs="Arial"/>
                <w:b/>
                <w:kern w:val="28"/>
                <w:sz w:val="22"/>
                <w:lang w:eastAsia="en-AU"/>
              </w:rPr>
              <w:fldChar w:fldCharType="end"/>
            </w:r>
          </w:p>
        </w:tc>
      </w:tr>
    </w:tbl>
    <w:p w:rsidR="00CF09FA" w:rsidRDefault="00CF09FA"/>
    <w:p w:rsidR="002C2302" w:rsidRDefault="002C2302" w:rsidP="002C2302">
      <w:pPr>
        <w:pStyle w:val="Financialsheading3"/>
      </w:pPr>
      <w:bookmarkStart w:id="191" w:name="_Toc427745925"/>
      <w:proofErr w:type="gramStart"/>
      <w:r>
        <w:t>Note 9.</w:t>
      </w:r>
      <w:proofErr w:type="gramEnd"/>
      <w:r>
        <w:t xml:space="preserve"> Grants and subsidies</w:t>
      </w:r>
      <w:bookmarkEnd w:id="191"/>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RPr="00A02A2B" w:rsidTr="002C2302">
        <w:tc>
          <w:tcPr>
            <w:tcW w:w="5529" w:type="dxa"/>
          </w:tcPr>
          <w:p w:rsidR="002C2302" w:rsidRPr="00A02A2B" w:rsidRDefault="002C2302" w:rsidP="002C2302">
            <w:pPr>
              <w:pStyle w:val="Body"/>
              <w:spacing w:before="80"/>
              <w:ind w:left="34"/>
              <w:rPr>
                <w:sz w:val="22"/>
              </w:rPr>
            </w:pPr>
          </w:p>
        </w:tc>
        <w:tc>
          <w:tcPr>
            <w:tcW w:w="1418" w:type="dxa"/>
            <w:shd w:val="clear" w:color="auto" w:fill="E0DCCB" w:themeFill="accent4" w:themeFillTint="66"/>
          </w:tcPr>
          <w:p w:rsidR="002C2302" w:rsidRPr="00A02A2B" w:rsidRDefault="002C2302" w:rsidP="002C2302">
            <w:pPr>
              <w:pStyle w:val="Body"/>
              <w:spacing w:before="80"/>
              <w:ind w:left="34"/>
              <w:jc w:val="center"/>
              <w:rPr>
                <w:b/>
                <w:sz w:val="22"/>
              </w:rPr>
            </w:pPr>
            <w:r w:rsidRPr="00A02A2B">
              <w:rPr>
                <w:b/>
                <w:sz w:val="22"/>
              </w:rPr>
              <w:t>201</w:t>
            </w:r>
            <w:r>
              <w:rPr>
                <w:b/>
                <w:sz w:val="22"/>
              </w:rPr>
              <w:t>5</w:t>
            </w:r>
            <w:r w:rsidRPr="00A02A2B">
              <w:rPr>
                <w:b/>
                <w:sz w:val="22"/>
              </w:rPr>
              <w:br/>
              <w:t>$</w:t>
            </w:r>
          </w:p>
        </w:tc>
        <w:tc>
          <w:tcPr>
            <w:tcW w:w="1418" w:type="dxa"/>
            <w:shd w:val="clear" w:color="auto" w:fill="E0DCCB" w:themeFill="accent4" w:themeFillTint="66"/>
          </w:tcPr>
          <w:p w:rsidR="002C2302" w:rsidRPr="00A02A2B" w:rsidRDefault="002C2302" w:rsidP="002C2302">
            <w:pPr>
              <w:pStyle w:val="Body"/>
              <w:spacing w:before="80"/>
              <w:ind w:left="34"/>
              <w:jc w:val="center"/>
              <w:rPr>
                <w:b/>
                <w:sz w:val="22"/>
              </w:rPr>
            </w:pPr>
            <w:r w:rsidRPr="00A02A2B">
              <w:rPr>
                <w:b/>
                <w:sz w:val="22"/>
              </w:rPr>
              <w:t>201</w:t>
            </w:r>
            <w:r>
              <w:rPr>
                <w:b/>
                <w:sz w:val="22"/>
              </w:rPr>
              <w:t>4</w:t>
            </w:r>
            <w:r w:rsidRPr="00A02A2B">
              <w:rPr>
                <w:b/>
                <w:sz w:val="22"/>
              </w:rPr>
              <w:br/>
              <w:t>$</w:t>
            </w:r>
          </w:p>
        </w:tc>
      </w:tr>
      <w:tr w:rsidR="002C2302" w:rsidRPr="00A02A2B" w:rsidTr="002C2302">
        <w:tc>
          <w:tcPr>
            <w:tcW w:w="5529" w:type="dxa"/>
            <w:vAlign w:val="bottom"/>
          </w:tcPr>
          <w:p w:rsidR="002C2302" w:rsidRPr="00A02A2B" w:rsidRDefault="002C2302" w:rsidP="002C2302">
            <w:pPr>
              <w:pStyle w:val="Body"/>
              <w:spacing w:before="80"/>
              <w:ind w:left="176"/>
              <w:rPr>
                <w:sz w:val="22"/>
              </w:rPr>
            </w:pPr>
            <w:r w:rsidRPr="00A02A2B">
              <w:rPr>
                <w:rFonts w:ascii="Arial" w:eastAsia="Times New Roman" w:hAnsi="Arial" w:cs="Arial"/>
                <w:kern w:val="28"/>
                <w:sz w:val="22"/>
                <w:lang w:eastAsia="en-AU"/>
              </w:rPr>
              <w:t>Strategic Assessment Perth and Peel Regions</w:t>
            </w:r>
          </w:p>
        </w:tc>
        <w:tc>
          <w:tcPr>
            <w:tcW w:w="1418" w:type="dxa"/>
            <w:shd w:val="clear" w:color="auto" w:fill="E0DCCB" w:themeFill="accent4" w:themeFillTint="66"/>
            <w:vAlign w:val="bottom"/>
          </w:tcPr>
          <w:p w:rsidR="002C2302" w:rsidRPr="00A02A2B" w:rsidRDefault="002C2302" w:rsidP="002C2302">
            <w:pPr>
              <w:pStyle w:val="Body"/>
              <w:spacing w:before="80"/>
              <w:ind w:left="0"/>
              <w:jc w:val="right"/>
              <w:rPr>
                <w:sz w:val="22"/>
              </w:rPr>
            </w:pPr>
            <w:r>
              <w:rPr>
                <w:rFonts w:ascii="Arial" w:eastAsia="Times New Roman" w:hAnsi="Arial" w:cs="Arial"/>
                <w:kern w:val="28"/>
                <w:sz w:val="22"/>
                <w:lang w:eastAsia="en-AU"/>
              </w:rPr>
              <w:t>-</w:t>
            </w:r>
          </w:p>
        </w:tc>
        <w:tc>
          <w:tcPr>
            <w:tcW w:w="1418" w:type="dxa"/>
            <w:vAlign w:val="bottom"/>
          </w:tcPr>
          <w:p w:rsidR="002C2302" w:rsidRPr="00A02A2B" w:rsidRDefault="002C2302" w:rsidP="002C2302">
            <w:pPr>
              <w:pStyle w:val="Body"/>
              <w:spacing w:before="80"/>
              <w:ind w:left="0"/>
              <w:jc w:val="right"/>
              <w:rPr>
                <w:sz w:val="22"/>
              </w:rPr>
            </w:pPr>
            <w:r w:rsidRPr="00A02A2B">
              <w:rPr>
                <w:rFonts w:ascii="Arial" w:eastAsia="Times New Roman" w:hAnsi="Arial" w:cs="Arial"/>
                <w:kern w:val="28"/>
                <w:sz w:val="22"/>
                <w:lang w:eastAsia="en-AU"/>
              </w:rPr>
              <w:t>100,000</w:t>
            </w:r>
          </w:p>
        </w:tc>
      </w:tr>
      <w:tr w:rsidR="002C2302" w:rsidRPr="00A02A2B" w:rsidTr="002C2302">
        <w:tc>
          <w:tcPr>
            <w:tcW w:w="5529" w:type="dxa"/>
            <w:vAlign w:val="bottom"/>
          </w:tcPr>
          <w:p w:rsidR="002C2302" w:rsidRPr="00A02A2B" w:rsidRDefault="002C2302" w:rsidP="002C2302">
            <w:pPr>
              <w:pStyle w:val="Body"/>
              <w:spacing w:before="80"/>
              <w:ind w:left="176"/>
              <w:rPr>
                <w:sz w:val="22"/>
              </w:rPr>
            </w:pPr>
            <w:r w:rsidRPr="00A02A2B">
              <w:rPr>
                <w:rFonts w:ascii="Arial" w:eastAsia="Times New Roman" w:hAnsi="Arial" w:cs="Arial"/>
                <w:kern w:val="28"/>
                <w:sz w:val="22"/>
                <w:lang w:eastAsia="en-AU"/>
              </w:rPr>
              <w:t>ARC-Linkage Project (Aquifer Ecosystems)</w:t>
            </w:r>
          </w:p>
        </w:tc>
        <w:tc>
          <w:tcPr>
            <w:tcW w:w="1418" w:type="dxa"/>
            <w:shd w:val="clear" w:color="auto" w:fill="E0DCCB" w:themeFill="accent4" w:themeFillTint="66"/>
            <w:vAlign w:val="bottom"/>
          </w:tcPr>
          <w:p w:rsidR="002C2302" w:rsidRPr="00A02A2B" w:rsidRDefault="002C2302" w:rsidP="002C2302">
            <w:pPr>
              <w:pStyle w:val="Body"/>
              <w:spacing w:before="80"/>
              <w:ind w:left="0"/>
              <w:jc w:val="right"/>
              <w:rPr>
                <w:sz w:val="22"/>
              </w:rPr>
            </w:pPr>
            <w:r>
              <w:rPr>
                <w:rFonts w:ascii="Arial" w:eastAsia="Times New Roman" w:hAnsi="Arial" w:cs="Arial"/>
                <w:kern w:val="28"/>
                <w:sz w:val="22"/>
                <w:lang w:eastAsia="en-AU"/>
              </w:rPr>
              <w:t>-</w:t>
            </w:r>
          </w:p>
        </w:tc>
        <w:tc>
          <w:tcPr>
            <w:tcW w:w="1418" w:type="dxa"/>
            <w:vAlign w:val="bottom"/>
          </w:tcPr>
          <w:p w:rsidR="002C2302" w:rsidRPr="00A02A2B" w:rsidRDefault="002C2302" w:rsidP="002C2302">
            <w:pPr>
              <w:pStyle w:val="Body"/>
              <w:spacing w:before="80"/>
              <w:ind w:left="0"/>
              <w:jc w:val="right"/>
              <w:rPr>
                <w:sz w:val="22"/>
              </w:rPr>
            </w:pPr>
            <w:r w:rsidRPr="00A02A2B">
              <w:rPr>
                <w:rFonts w:ascii="Arial" w:eastAsia="Times New Roman" w:hAnsi="Arial" w:cs="Arial"/>
                <w:kern w:val="28"/>
                <w:sz w:val="22"/>
                <w:lang w:eastAsia="en-AU"/>
              </w:rPr>
              <w:t>10,000</w:t>
            </w:r>
          </w:p>
        </w:tc>
      </w:tr>
      <w:tr w:rsidR="002C2302" w:rsidRPr="00A02A2B" w:rsidTr="002C2302">
        <w:tc>
          <w:tcPr>
            <w:tcW w:w="5529" w:type="dxa"/>
            <w:vAlign w:val="bottom"/>
          </w:tcPr>
          <w:p w:rsidR="002C2302" w:rsidRPr="00A02A2B" w:rsidRDefault="002C2302" w:rsidP="002C2302">
            <w:pPr>
              <w:pStyle w:val="Body"/>
              <w:spacing w:before="80"/>
              <w:ind w:left="-108"/>
              <w:rPr>
                <w:sz w:val="22"/>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A02A2B" w:rsidRDefault="002C2302" w:rsidP="002C2302">
            <w:pPr>
              <w:pStyle w:val="Body"/>
              <w:spacing w:before="80"/>
              <w:ind w:left="0"/>
              <w:jc w:val="right"/>
              <w:rPr>
                <w:sz w:val="22"/>
              </w:rPr>
            </w:pPr>
            <w:r>
              <w:rPr>
                <w:rFonts w:ascii="Arial" w:eastAsia="Times New Roman" w:hAnsi="Arial" w:cs="Arial"/>
                <w:b/>
                <w:kern w:val="28"/>
                <w:sz w:val="22"/>
                <w:lang w:eastAsia="en-AU"/>
              </w:rPr>
              <w:t>-</w:t>
            </w:r>
          </w:p>
        </w:tc>
        <w:tc>
          <w:tcPr>
            <w:tcW w:w="1418" w:type="dxa"/>
            <w:tcBorders>
              <w:top w:val="single" w:sz="4" w:space="0" w:color="E0DCCB" w:themeColor="accent4" w:themeTint="66"/>
              <w:bottom w:val="single" w:sz="4" w:space="0" w:color="B2A97E" w:themeColor="accent4"/>
            </w:tcBorders>
            <w:vAlign w:val="bottom"/>
          </w:tcPr>
          <w:p w:rsidR="002C2302" w:rsidRPr="00A02A2B" w:rsidRDefault="002C2302" w:rsidP="002C2302">
            <w:pPr>
              <w:pStyle w:val="Body"/>
              <w:spacing w:before="80"/>
              <w:ind w:left="0"/>
              <w:jc w:val="right"/>
              <w:rPr>
                <w:sz w:val="22"/>
              </w:rPr>
            </w:pPr>
            <w:r w:rsidRPr="00A02A2B">
              <w:rPr>
                <w:rFonts w:ascii="Arial" w:eastAsia="Times New Roman" w:hAnsi="Arial" w:cs="Arial"/>
                <w:b/>
                <w:kern w:val="28"/>
                <w:sz w:val="22"/>
                <w:lang w:eastAsia="en-AU"/>
              </w:rPr>
              <w:fldChar w:fldCharType="begin"/>
            </w:r>
            <w:r w:rsidRPr="00A02A2B">
              <w:rPr>
                <w:rFonts w:ascii="Arial" w:eastAsia="Times New Roman" w:hAnsi="Arial" w:cs="Arial"/>
                <w:b/>
                <w:kern w:val="28"/>
                <w:sz w:val="22"/>
                <w:lang w:eastAsia="en-AU"/>
              </w:rPr>
              <w:instrText xml:space="preserve"> =SUM(ABOVE) </w:instrText>
            </w:r>
            <w:r w:rsidRPr="00A02A2B">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110,000</w:t>
            </w:r>
            <w:r w:rsidRPr="00A02A2B">
              <w:rPr>
                <w:rFonts w:ascii="Arial" w:eastAsia="Times New Roman" w:hAnsi="Arial" w:cs="Arial"/>
                <w:b/>
                <w:kern w:val="28"/>
                <w:sz w:val="22"/>
                <w:lang w:eastAsia="en-AU"/>
              </w:rPr>
              <w:fldChar w:fldCharType="end"/>
            </w:r>
          </w:p>
        </w:tc>
      </w:tr>
    </w:tbl>
    <w:p w:rsidR="002C2302" w:rsidRDefault="002C2302" w:rsidP="002C2302">
      <w:pPr>
        <w:pStyle w:val="Financialsheading3"/>
      </w:pPr>
      <w:bookmarkStart w:id="192" w:name="_Toc427745926"/>
      <w:proofErr w:type="gramStart"/>
      <w:r>
        <w:t>Note 10.</w:t>
      </w:r>
      <w:proofErr w:type="gramEnd"/>
      <w:r>
        <w:t xml:space="preserve"> </w:t>
      </w:r>
      <w:r w:rsidRPr="005D6BC7">
        <w:t>Other expenses</w:t>
      </w:r>
      <w:bookmarkEnd w:id="192"/>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Tr="002C2302">
        <w:tc>
          <w:tcPr>
            <w:tcW w:w="5529" w:type="dxa"/>
          </w:tcPr>
          <w:p w:rsidR="002C2302" w:rsidRPr="00A02A2B" w:rsidRDefault="002C2302" w:rsidP="002C2302">
            <w:pPr>
              <w:pStyle w:val="Body"/>
              <w:spacing w:before="80"/>
              <w:ind w:left="34"/>
              <w:rPr>
                <w:sz w:val="22"/>
              </w:rPr>
            </w:pPr>
          </w:p>
        </w:tc>
        <w:tc>
          <w:tcPr>
            <w:tcW w:w="1418" w:type="dxa"/>
            <w:shd w:val="clear" w:color="auto" w:fill="E0DCCB" w:themeFill="accent4" w:themeFillTint="66"/>
          </w:tcPr>
          <w:p w:rsidR="002C2302" w:rsidRPr="00A02A2B" w:rsidRDefault="002C2302" w:rsidP="002C2302">
            <w:pPr>
              <w:pStyle w:val="Body"/>
              <w:spacing w:before="80"/>
              <w:ind w:left="34"/>
              <w:jc w:val="center"/>
              <w:rPr>
                <w:b/>
                <w:sz w:val="22"/>
              </w:rPr>
            </w:pPr>
            <w:r w:rsidRPr="00A02A2B">
              <w:rPr>
                <w:b/>
                <w:sz w:val="22"/>
              </w:rPr>
              <w:t>201</w:t>
            </w:r>
            <w:r>
              <w:rPr>
                <w:b/>
                <w:sz w:val="22"/>
              </w:rPr>
              <w:t>5</w:t>
            </w:r>
            <w:r w:rsidRPr="00A02A2B">
              <w:rPr>
                <w:b/>
                <w:sz w:val="22"/>
              </w:rPr>
              <w:br/>
              <w:t>$</w:t>
            </w:r>
          </w:p>
        </w:tc>
        <w:tc>
          <w:tcPr>
            <w:tcW w:w="1418" w:type="dxa"/>
            <w:shd w:val="clear" w:color="auto" w:fill="E0DCCB" w:themeFill="accent4" w:themeFillTint="66"/>
          </w:tcPr>
          <w:p w:rsidR="002C2302" w:rsidRPr="00A02A2B" w:rsidRDefault="002C2302" w:rsidP="002C2302">
            <w:pPr>
              <w:pStyle w:val="Body"/>
              <w:spacing w:before="80"/>
              <w:ind w:left="34"/>
              <w:jc w:val="center"/>
              <w:rPr>
                <w:b/>
                <w:sz w:val="22"/>
              </w:rPr>
            </w:pPr>
            <w:r w:rsidRPr="00A02A2B">
              <w:rPr>
                <w:b/>
                <w:sz w:val="22"/>
              </w:rPr>
              <w:t>201</w:t>
            </w:r>
            <w:r>
              <w:rPr>
                <w:b/>
                <w:sz w:val="22"/>
              </w:rPr>
              <w:t>4</w:t>
            </w:r>
            <w:r w:rsidRPr="00A02A2B">
              <w:rPr>
                <w:b/>
                <w:sz w:val="22"/>
              </w:rPr>
              <w:br/>
              <w:t>$</w:t>
            </w:r>
          </w:p>
        </w:tc>
      </w:tr>
      <w:tr w:rsidR="002C2302" w:rsidRPr="00493716" w:rsidTr="002C2302">
        <w:tc>
          <w:tcPr>
            <w:tcW w:w="5529" w:type="dxa"/>
            <w:vAlign w:val="bottom"/>
          </w:tcPr>
          <w:p w:rsidR="002C2302" w:rsidRPr="00A02A2B" w:rsidRDefault="002C2302" w:rsidP="002C2302">
            <w:pPr>
              <w:pStyle w:val="Body"/>
              <w:spacing w:before="80"/>
              <w:ind w:left="176"/>
              <w:rPr>
                <w:sz w:val="22"/>
              </w:rPr>
            </w:pPr>
            <w:r w:rsidRPr="00A02A2B">
              <w:rPr>
                <w:rFonts w:ascii="Arial" w:eastAsia="Times New Roman" w:hAnsi="Arial" w:cs="Arial"/>
                <w:kern w:val="28"/>
                <w:sz w:val="22"/>
                <w:lang w:eastAsia="en-AU"/>
              </w:rPr>
              <w:t>Audit fees</w:t>
            </w:r>
            <w:r w:rsidRPr="00A02A2B">
              <w:rPr>
                <w:rFonts w:ascii="Arial" w:eastAsia="Times New Roman" w:hAnsi="Arial" w:cs="Arial"/>
                <w:kern w:val="28"/>
                <w:sz w:val="22"/>
                <w:vertAlign w:val="superscript"/>
                <w:lang w:eastAsia="en-AU"/>
              </w:rPr>
              <w:t>(a)</w:t>
            </w:r>
          </w:p>
        </w:tc>
        <w:tc>
          <w:tcPr>
            <w:tcW w:w="1418" w:type="dxa"/>
            <w:shd w:val="clear" w:color="auto" w:fill="E0DCCB" w:themeFill="accent4" w:themeFillTint="66"/>
            <w:vAlign w:val="bottom"/>
          </w:tcPr>
          <w:p w:rsidR="002C2302" w:rsidRPr="00A02A2B" w:rsidRDefault="002C2302" w:rsidP="002C2302">
            <w:pPr>
              <w:pStyle w:val="Body"/>
              <w:spacing w:before="80"/>
              <w:ind w:left="0"/>
              <w:jc w:val="right"/>
              <w:rPr>
                <w:sz w:val="22"/>
              </w:rPr>
            </w:pPr>
            <w:r>
              <w:rPr>
                <w:rFonts w:ascii="Arial" w:eastAsia="Times New Roman" w:hAnsi="Arial" w:cs="Arial"/>
                <w:kern w:val="28"/>
                <w:sz w:val="22"/>
                <w:lang w:eastAsia="en-AU"/>
              </w:rPr>
              <w:t>48,129</w:t>
            </w:r>
          </w:p>
        </w:tc>
        <w:tc>
          <w:tcPr>
            <w:tcW w:w="1418" w:type="dxa"/>
            <w:vAlign w:val="bottom"/>
          </w:tcPr>
          <w:p w:rsidR="002C2302" w:rsidRPr="00A02A2B" w:rsidRDefault="002C2302" w:rsidP="002C2302">
            <w:pPr>
              <w:pStyle w:val="Body"/>
              <w:spacing w:before="80"/>
              <w:ind w:left="0"/>
              <w:jc w:val="right"/>
              <w:rPr>
                <w:sz w:val="22"/>
              </w:rPr>
            </w:pPr>
            <w:r w:rsidRPr="00A02A2B">
              <w:rPr>
                <w:rFonts w:ascii="Arial" w:eastAsia="Times New Roman" w:hAnsi="Arial" w:cs="Arial"/>
                <w:kern w:val="28"/>
                <w:sz w:val="22"/>
                <w:lang w:eastAsia="en-AU"/>
              </w:rPr>
              <w:t>47,508</w:t>
            </w:r>
          </w:p>
        </w:tc>
      </w:tr>
      <w:tr w:rsidR="002C2302" w:rsidRPr="00493716" w:rsidTr="002C2302">
        <w:tc>
          <w:tcPr>
            <w:tcW w:w="5529" w:type="dxa"/>
            <w:vAlign w:val="bottom"/>
          </w:tcPr>
          <w:p w:rsidR="002C2302" w:rsidRPr="00A02A2B" w:rsidRDefault="002C2302" w:rsidP="002C2302">
            <w:pPr>
              <w:pStyle w:val="Body"/>
              <w:spacing w:before="80"/>
              <w:ind w:left="176"/>
              <w:rPr>
                <w:sz w:val="22"/>
              </w:rPr>
            </w:pPr>
            <w:r w:rsidRPr="00A02A2B">
              <w:rPr>
                <w:rFonts w:ascii="Arial" w:eastAsia="Times New Roman" w:hAnsi="Arial" w:cs="Arial"/>
                <w:kern w:val="28"/>
                <w:sz w:val="22"/>
                <w:lang w:eastAsia="en-AU"/>
              </w:rPr>
              <w:t>Employment on-costs</w:t>
            </w:r>
            <w:r w:rsidRPr="00A02A2B">
              <w:rPr>
                <w:rFonts w:ascii="Arial" w:eastAsia="Times New Roman" w:hAnsi="Arial" w:cs="Arial"/>
                <w:kern w:val="28"/>
                <w:sz w:val="22"/>
                <w:vertAlign w:val="superscript"/>
                <w:lang w:eastAsia="en-AU"/>
              </w:rPr>
              <w:t>(b)</w:t>
            </w:r>
          </w:p>
        </w:tc>
        <w:tc>
          <w:tcPr>
            <w:tcW w:w="1418" w:type="dxa"/>
            <w:shd w:val="clear" w:color="auto" w:fill="E0DCCB" w:themeFill="accent4" w:themeFillTint="66"/>
            <w:vAlign w:val="bottom"/>
          </w:tcPr>
          <w:p w:rsidR="002C2302" w:rsidRPr="00A02A2B" w:rsidRDefault="002C2302" w:rsidP="002C2302">
            <w:pPr>
              <w:pStyle w:val="Body"/>
              <w:spacing w:before="80"/>
              <w:ind w:left="0"/>
              <w:jc w:val="right"/>
              <w:rPr>
                <w:sz w:val="22"/>
              </w:rPr>
            </w:pPr>
            <w:r>
              <w:rPr>
                <w:rFonts w:ascii="Arial" w:eastAsia="Times New Roman" w:hAnsi="Arial" w:cs="Arial"/>
                <w:kern w:val="28"/>
                <w:sz w:val="22"/>
                <w:lang w:eastAsia="en-AU"/>
              </w:rPr>
              <w:t>44,712</w:t>
            </w:r>
          </w:p>
        </w:tc>
        <w:tc>
          <w:tcPr>
            <w:tcW w:w="1418" w:type="dxa"/>
            <w:vAlign w:val="bottom"/>
          </w:tcPr>
          <w:p w:rsidR="002C2302" w:rsidRPr="00A02A2B" w:rsidRDefault="002C2302" w:rsidP="002C2302">
            <w:pPr>
              <w:pStyle w:val="Body"/>
              <w:spacing w:before="80"/>
              <w:ind w:left="0"/>
              <w:jc w:val="right"/>
              <w:rPr>
                <w:sz w:val="22"/>
              </w:rPr>
            </w:pPr>
            <w:r w:rsidRPr="00A02A2B">
              <w:rPr>
                <w:rFonts w:ascii="Arial" w:eastAsia="Times New Roman" w:hAnsi="Arial" w:cs="Arial"/>
                <w:kern w:val="28"/>
                <w:sz w:val="22"/>
                <w:lang w:eastAsia="en-AU"/>
              </w:rPr>
              <w:t>41,518</w:t>
            </w:r>
          </w:p>
        </w:tc>
      </w:tr>
      <w:tr w:rsidR="002C2302" w:rsidRPr="00493716" w:rsidTr="002C2302">
        <w:tc>
          <w:tcPr>
            <w:tcW w:w="5529" w:type="dxa"/>
            <w:vAlign w:val="bottom"/>
          </w:tcPr>
          <w:p w:rsidR="002C2302" w:rsidRPr="00A02A2B" w:rsidRDefault="002C2302" w:rsidP="002C2302">
            <w:pPr>
              <w:pStyle w:val="Body"/>
              <w:spacing w:before="80"/>
              <w:ind w:left="176"/>
              <w:rPr>
                <w:sz w:val="22"/>
              </w:rPr>
            </w:pPr>
            <w:r w:rsidRPr="00A02A2B">
              <w:rPr>
                <w:rFonts w:ascii="Arial" w:eastAsia="Times New Roman" w:hAnsi="Arial" w:cs="Arial"/>
                <w:kern w:val="28"/>
                <w:sz w:val="22"/>
                <w:lang w:eastAsia="en-AU"/>
              </w:rPr>
              <w:t>Other employment costs</w:t>
            </w:r>
          </w:p>
        </w:tc>
        <w:tc>
          <w:tcPr>
            <w:tcW w:w="1418" w:type="dxa"/>
            <w:shd w:val="clear" w:color="auto" w:fill="E0DCCB" w:themeFill="accent4" w:themeFillTint="66"/>
            <w:vAlign w:val="bottom"/>
          </w:tcPr>
          <w:p w:rsidR="002C2302" w:rsidRPr="00B80FE8"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105,131</w:t>
            </w:r>
          </w:p>
        </w:tc>
        <w:tc>
          <w:tcPr>
            <w:tcW w:w="1418" w:type="dxa"/>
            <w:vAlign w:val="bottom"/>
          </w:tcPr>
          <w:p w:rsidR="002C2302" w:rsidRPr="00A02A2B" w:rsidRDefault="002C2302" w:rsidP="002C2302">
            <w:pPr>
              <w:pStyle w:val="Body"/>
              <w:spacing w:before="80"/>
              <w:ind w:left="0"/>
              <w:jc w:val="right"/>
              <w:rPr>
                <w:sz w:val="22"/>
              </w:rPr>
            </w:pPr>
            <w:r w:rsidRPr="00A02A2B">
              <w:rPr>
                <w:rFonts w:ascii="Arial" w:eastAsia="Times New Roman" w:hAnsi="Arial" w:cs="Arial"/>
                <w:kern w:val="28"/>
                <w:sz w:val="22"/>
                <w:lang w:eastAsia="en-AU"/>
              </w:rPr>
              <w:t>208,340</w:t>
            </w:r>
          </w:p>
        </w:tc>
      </w:tr>
      <w:tr w:rsidR="002C2302" w:rsidRPr="00493716" w:rsidTr="002C2302">
        <w:tc>
          <w:tcPr>
            <w:tcW w:w="5529" w:type="dxa"/>
            <w:vAlign w:val="bottom"/>
          </w:tcPr>
          <w:p w:rsidR="002C2302" w:rsidRPr="00A02A2B" w:rsidRDefault="002C2302" w:rsidP="002C2302">
            <w:pPr>
              <w:pStyle w:val="Body"/>
              <w:spacing w:before="80"/>
              <w:ind w:left="176"/>
              <w:rPr>
                <w:sz w:val="22"/>
              </w:rPr>
            </w:pPr>
            <w:r w:rsidRPr="00A02A2B">
              <w:rPr>
                <w:rFonts w:ascii="Arial" w:eastAsia="Times New Roman" w:hAnsi="Arial" w:cs="Arial"/>
                <w:kern w:val="28"/>
                <w:sz w:val="22"/>
                <w:lang w:eastAsia="en-AU"/>
              </w:rPr>
              <w:t>Lease costs</w:t>
            </w:r>
          </w:p>
        </w:tc>
        <w:tc>
          <w:tcPr>
            <w:tcW w:w="1418" w:type="dxa"/>
            <w:shd w:val="clear" w:color="auto" w:fill="E0DCCB" w:themeFill="accent4" w:themeFillTint="66"/>
            <w:vAlign w:val="bottom"/>
          </w:tcPr>
          <w:p w:rsidR="002C2302" w:rsidRPr="00566CF2"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95,472</w:t>
            </w:r>
          </w:p>
        </w:tc>
        <w:tc>
          <w:tcPr>
            <w:tcW w:w="1418" w:type="dxa"/>
            <w:vAlign w:val="bottom"/>
          </w:tcPr>
          <w:p w:rsidR="002C2302" w:rsidRPr="00A02A2B" w:rsidRDefault="002C2302" w:rsidP="002C2302">
            <w:pPr>
              <w:pStyle w:val="Body"/>
              <w:spacing w:before="80"/>
              <w:ind w:left="0"/>
              <w:jc w:val="right"/>
              <w:rPr>
                <w:sz w:val="22"/>
              </w:rPr>
            </w:pPr>
            <w:r w:rsidRPr="00A02A2B">
              <w:rPr>
                <w:rFonts w:ascii="Arial" w:eastAsia="Times New Roman" w:hAnsi="Arial" w:cs="Arial"/>
                <w:kern w:val="28"/>
                <w:sz w:val="22"/>
                <w:lang w:eastAsia="en-AU"/>
              </w:rPr>
              <w:t>121,400</w:t>
            </w:r>
          </w:p>
        </w:tc>
      </w:tr>
      <w:tr w:rsidR="002C2302" w:rsidRPr="00493716" w:rsidTr="002C2302">
        <w:tc>
          <w:tcPr>
            <w:tcW w:w="5529" w:type="dxa"/>
            <w:vAlign w:val="bottom"/>
          </w:tcPr>
          <w:p w:rsidR="002C2302" w:rsidRPr="00A02A2B" w:rsidRDefault="002C2302" w:rsidP="002C2302">
            <w:pPr>
              <w:pStyle w:val="Body"/>
              <w:spacing w:before="80"/>
              <w:ind w:left="176"/>
              <w:rPr>
                <w:rFonts w:ascii="Arial" w:eastAsia="Times New Roman" w:hAnsi="Arial" w:cs="Arial"/>
                <w:kern w:val="28"/>
                <w:sz w:val="22"/>
                <w:lang w:eastAsia="en-AU"/>
              </w:rPr>
            </w:pPr>
            <w:r w:rsidRPr="00A02A2B">
              <w:rPr>
                <w:rFonts w:ascii="Arial" w:eastAsia="Times New Roman" w:hAnsi="Arial" w:cs="Arial"/>
                <w:kern w:val="28"/>
                <w:sz w:val="22"/>
                <w:lang w:eastAsia="en-AU"/>
              </w:rPr>
              <w:t>Repairs and Maintenance</w:t>
            </w:r>
          </w:p>
        </w:tc>
        <w:tc>
          <w:tcPr>
            <w:tcW w:w="1418" w:type="dxa"/>
            <w:tcBorders>
              <w:bottom w:val="single" w:sz="4" w:space="0" w:color="FFFFFF" w:themeColor="background1"/>
            </w:tcBorders>
            <w:shd w:val="clear" w:color="auto" w:fill="E0DCCB" w:themeFill="accent4" w:themeFillTint="66"/>
            <w:vAlign w:val="bottom"/>
          </w:tcPr>
          <w:p w:rsidR="002C2302" w:rsidRPr="00A02A2B"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31,756</w:t>
            </w:r>
          </w:p>
        </w:tc>
        <w:tc>
          <w:tcPr>
            <w:tcW w:w="1418" w:type="dxa"/>
            <w:tcBorders>
              <w:bottom w:val="single" w:sz="4" w:space="0" w:color="E0DCCB" w:themeColor="accent4" w:themeTint="66"/>
            </w:tcBorders>
            <w:vAlign w:val="bottom"/>
          </w:tcPr>
          <w:p w:rsidR="002C2302" w:rsidRPr="00A02A2B" w:rsidRDefault="002C2302" w:rsidP="002C2302">
            <w:pPr>
              <w:pStyle w:val="Body"/>
              <w:spacing w:before="80"/>
              <w:ind w:left="0"/>
              <w:jc w:val="right"/>
              <w:rPr>
                <w:rFonts w:ascii="Arial" w:eastAsia="Times New Roman" w:hAnsi="Arial" w:cs="Arial"/>
                <w:kern w:val="28"/>
                <w:sz w:val="22"/>
                <w:lang w:eastAsia="en-AU"/>
              </w:rPr>
            </w:pPr>
            <w:r w:rsidRPr="00A02A2B">
              <w:rPr>
                <w:rFonts w:ascii="Arial" w:eastAsia="Times New Roman" w:hAnsi="Arial" w:cs="Arial"/>
                <w:kern w:val="28"/>
                <w:sz w:val="22"/>
                <w:lang w:eastAsia="en-AU"/>
              </w:rPr>
              <w:t>31,252</w:t>
            </w:r>
          </w:p>
        </w:tc>
      </w:tr>
      <w:tr w:rsidR="002C2302" w:rsidRPr="00A02A2B" w:rsidTr="002C2302">
        <w:tc>
          <w:tcPr>
            <w:tcW w:w="5529" w:type="dxa"/>
            <w:vAlign w:val="bottom"/>
          </w:tcPr>
          <w:p w:rsidR="002C2302" w:rsidRPr="00A02A2B" w:rsidRDefault="002C2302" w:rsidP="002C2302">
            <w:pPr>
              <w:pStyle w:val="Body"/>
              <w:spacing w:before="80"/>
              <w:ind w:left="-108"/>
              <w:rPr>
                <w:rFonts w:ascii="Arial" w:eastAsia="Times New Roman" w:hAnsi="Arial" w:cs="Arial"/>
                <w:kern w:val="28"/>
                <w:sz w:val="22"/>
                <w:lang w:eastAsia="en-AU"/>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A02A2B" w:rsidRDefault="002C2302" w:rsidP="002C2302">
            <w:pPr>
              <w:pStyle w:val="Body"/>
              <w:spacing w:before="80"/>
              <w:ind w:left="0"/>
              <w:jc w:val="right"/>
              <w:rPr>
                <w:rFonts w:ascii="Arial" w:eastAsia="Times New Roman" w:hAnsi="Arial" w:cs="Arial"/>
                <w:kern w:val="28"/>
                <w:sz w:val="22"/>
                <w:lang w:eastAsia="en-AU"/>
              </w:rPr>
            </w:pPr>
            <w:r w:rsidRPr="00A02A2B">
              <w:rPr>
                <w:rFonts w:ascii="Arial" w:eastAsia="Times New Roman" w:hAnsi="Arial" w:cs="Arial"/>
                <w:b/>
                <w:kern w:val="28"/>
                <w:sz w:val="22"/>
                <w:lang w:eastAsia="en-AU"/>
              </w:rPr>
              <w:fldChar w:fldCharType="begin"/>
            </w:r>
            <w:r w:rsidRPr="00A02A2B">
              <w:rPr>
                <w:rFonts w:ascii="Arial" w:eastAsia="Times New Roman" w:hAnsi="Arial" w:cs="Arial"/>
                <w:b/>
                <w:kern w:val="28"/>
                <w:sz w:val="22"/>
                <w:lang w:eastAsia="en-AU"/>
              </w:rPr>
              <w:instrText xml:space="preserve"> =SUM(ABOVE) </w:instrText>
            </w:r>
            <w:r w:rsidRPr="00A02A2B">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325,200</w:t>
            </w:r>
            <w:r w:rsidRPr="00A02A2B">
              <w:rPr>
                <w:rFonts w:ascii="Arial" w:eastAsia="Times New Roman" w:hAnsi="Arial" w:cs="Arial"/>
                <w:b/>
                <w:kern w:val="28"/>
                <w:sz w:val="22"/>
                <w:lang w:eastAsia="en-AU"/>
              </w:rPr>
              <w:fldChar w:fldCharType="end"/>
            </w:r>
          </w:p>
        </w:tc>
        <w:tc>
          <w:tcPr>
            <w:tcW w:w="1418" w:type="dxa"/>
            <w:tcBorders>
              <w:top w:val="single" w:sz="4" w:space="0" w:color="E0DCCB" w:themeColor="accent4" w:themeTint="66"/>
              <w:bottom w:val="single" w:sz="4" w:space="0" w:color="B2A97E" w:themeColor="accent4"/>
            </w:tcBorders>
            <w:vAlign w:val="bottom"/>
          </w:tcPr>
          <w:p w:rsidR="002C2302" w:rsidRPr="00A02A2B" w:rsidRDefault="002C2302" w:rsidP="002C2302">
            <w:pPr>
              <w:pStyle w:val="Body"/>
              <w:spacing w:before="80"/>
              <w:ind w:left="0"/>
              <w:jc w:val="right"/>
              <w:rPr>
                <w:rFonts w:ascii="Arial" w:eastAsia="Times New Roman" w:hAnsi="Arial" w:cs="Arial"/>
                <w:kern w:val="28"/>
                <w:sz w:val="22"/>
                <w:lang w:eastAsia="en-AU"/>
              </w:rPr>
            </w:pPr>
            <w:r w:rsidRPr="00A02A2B">
              <w:rPr>
                <w:rFonts w:ascii="Arial" w:eastAsia="Times New Roman" w:hAnsi="Arial" w:cs="Arial"/>
                <w:b/>
                <w:kern w:val="28"/>
                <w:sz w:val="22"/>
                <w:lang w:eastAsia="en-AU"/>
              </w:rPr>
              <w:fldChar w:fldCharType="begin"/>
            </w:r>
            <w:r w:rsidRPr="00A02A2B">
              <w:rPr>
                <w:rFonts w:ascii="Arial" w:eastAsia="Times New Roman" w:hAnsi="Arial" w:cs="Arial"/>
                <w:b/>
                <w:kern w:val="28"/>
                <w:sz w:val="22"/>
                <w:lang w:eastAsia="en-AU"/>
              </w:rPr>
              <w:instrText xml:space="preserve"> =SUM(ABOVE) </w:instrText>
            </w:r>
            <w:r w:rsidRPr="00A02A2B">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450,018</w:t>
            </w:r>
            <w:r w:rsidRPr="00A02A2B">
              <w:rPr>
                <w:rFonts w:ascii="Arial" w:eastAsia="Times New Roman" w:hAnsi="Arial" w:cs="Arial"/>
                <w:b/>
                <w:kern w:val="28"/>
                <w:sz w:val="22"/>
                <w:lang w:eastAsia="en-AU"/>
              </w:rPr>
              <w:fldChar w:fldCharType="end"/>
            </w:r>
          </w:p>
        </w:tc>
      </w:tr>
    </w:tbl>
    <w:p w:rsidR="002C2302" w:rsidRPr="00A02A2B" w:rsidRDefault="002C2302" w:rsidP="008D4CEC">
      <w:pPr>
        <w:pStyle w:val="Financialnotes"/>
        <w:numPr>
          <w:ilvl w:val="0"/>
          <w:numId w:val="11"/>
        </w:numPr>
        <w:spacing w:before="120"/>
        <w:ind w:left="2137" w:hanging="357"/>
        <w:rPr>
          <w:rFonts w:eastAsia="Times New Roman"/>
        </w:rPr>
      </w:pPr>
      <w:r>
        <w:t>S</w:t>
      </w:r>
      <w:r w:rsidRPr="00A02A2B">
        <w:t>ee note 3</w:t>
      </w:r>
      <w:r w:rsidR="006D226A">
        <w:t>1</w:t>
      </w:r>
      <w:r w:rsidRPr="00A02A2B">
        <w:t xml:space="preserve"> ‘Remuneration of auditor’.</w:t>
      </w:r>
    </w:p>
    <w:p w:rsidR="002C2302" w:rsidRPr="00974A8A" w:rsidRDefault="002C2302" w:rsidP="008D4CEC">
      <w:pPr>
        <w:pStyle w:val="Financialnotes"/>
        <w:numPr>
          <w:ilvl w:val="0"/>
          <w:numId w:val="11"/>
        </w:numPr>
      </w:pPr>
      <w:r w:rsidRPr="00A02A2B">
        <w:t>Includes workers compensation insurance and other employment on-costs</w:t>
      </w:r>
    </w:p>
    <w:p w:rsidR="002C2302" w:rsidRDefault="002C2302" w:rsidP="00974A8A">
      <w:pPr>
        <w:pStyle w:val="Financialsheading3"/>
      </w:pPr>
      <w:bookmarkStart w:id="193" w:name="_Toc427745927"/>
      <w:proofErr w:type="gramStart"/>
      <w:r>
        <w:t>Note 11.</w:t>
      </w:r>
      <w:proofErr w:type="gramEnd"/>
      <w:r>
        <w:t xml:space="preserve"> </w:t>
      </w:r>
      <w:r w:rsidRPr="005D6BC7">
        <w:t>Other revenue</w:t>
      </w:r>
      <w:bookmarkEnd w:id="193"/>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RPr="00A02A2B" w:rsidTr="00974A8A">
        <w:tc>
          <w:tcPr>
            <w:tcW w:w="5529" w:type="dxa"/>
          </w:tcPr>
          <w:p w:rsidR="002C2302" w:rsidRPr="00A02A2B" w:rsidRDefault="002C2302" w:rsidP="002C2302">
            <w:pPr>
              <w:pStyle w:val="Body"/>
              <w:spacing w:before="80"/>
              <w:ind w:left="34"/>
              <w:rPr>
                <w:sz w:val="22"/>
              </w:rPr>
            </w:pPr>
          </w:p>
        </w:tc>
        <w:tc>
          <w:tcPr>
            <w:tcW w:w="1418" w:type="dxa"/>
            <w:shd w:val="clear" w:color="auto" w:fill="E0DCCB" w:themeFill="accent4" w:themeFillTint="66"/>
          </w:tcPr>
          <w:p w:rsidR="002C2302" w:rsidRPr="00A02A2B" w:rsidRDefault="002C2302" w:rsidP="002C2302">
            <w:pPr>
              <w:pStyle w:val="Body"/>
              <w:spacing w:before="80"/>
              <w:ind w:left="34"/>
              <w:jc w:val="center"/>
              <w:rPr>
                <w:b/>
                <w:sz w:val="22"/>
              </w:rPr>
            </w:pPr>
            <w:r w:rsidRPr="00A02A2B">
              <w:rPr>
                <w:b/>
                <w:sz w:val="22"/>
              </w:rPr>
              <w:t>201</w:t>
            </w:r>
            <w:r>
              <w:rPr>
                <w:b/>
                <w:sz w:val="22"/>
              </w:rPr>
              <w:t>5</w:t>
            </w:r>
            <w:r w:rsidRPr="00A02A2B">
              <w:rPr>
                <w:b/>
                <w:sz w:val="22"/>
              </w:rPr>
              <w:br/>
              <w:t>$</w:t>
            </w:r>
          </w:p>
        </w:tc>
        <w:tc>
          <w:tcPr>
            <w:tcW w:w="1418" w:type="dxa"/>
            <w:shd w:val="clear" w:color="auto" w:fill="E0DCCB" w:themeFill="accent4" w:themeFillTint="66"/>
          </w:tcPr>
          <w:p w:rsidR="002C2302" w:rsidRPr="00A02A2B" w:rsidRDefault="002C2302" w:rsidP="002C2302">
            <w:pPr>
              <w:pStyle w:val="Body"/>
              <w:spacing w:before="80"/>
              <w:ind w:left="34"/>
              <w:jc w:val="center"/>
              <w:rPr>
                <w:b/>
                <w:sz w:val="22"/>
              </w:rPr>
            </w:pPr>
            <w:r w:rsidRPr="00A02A2B">
              <w:rPr>
                <w:b/>
                <w:sz w:val="22"/>
              </w:rPr>
              <w:t>201</w:t>
            </w:r>
            <w:r>
              <w:rPr>
                <w:b/>
                <w:sz w:val="22"/>
              </w:rPr>
              <w:t>4</w:t>
            </w:r>
            <w:r w:rsidRPr="00A02A2B">
              <w:rPr>
                <w:b/>
                <w:sz w:val="22"/>
              </w:rPr>
              <w:br/>
              <w:t>$</w:t>
            </w:r>
          </w:p>
        </w:tc>
      </w:tr>
      <w:tr w:rsidR="002C2302" w:rsidRPr="00A02A2B" w:rsidTr="00974A8A">
        <w:tc>
          <w:tcPr>
            <w:tcW w:w="5529" w:type="dxa"/>
            <w:vAlign w:val="bottom"/>
          </w:tcPr>
          <w:p w:rsidR="002C2302" w:rsidRPr="00A02A2B" w:rsidRDefault="002C2302" w:rsidP="00974A8A">
            <w:pPr>
              <w:pStyle w:val="Body"/>
              <w:spacing w:before="80"/>
              <w:ind w:left="176"/>
              <w:rPr>
                <w:sz w:val="22"/>
              </w:rPr>
            </w:pPr>
            <w:r w:rsidRPr="00A02A2B">
              <w:rPr>
                <w:rFonts w:ascii="Arial" w:eastAsia="Times New Roman" w:hAnsi="Arial" w:cs="Arial"/>
                <w:kern w:val="28"/>
                <w:sz w:val="22"/>
                <w:lang w:eastAsia="en-AU"/>
              </w:rPr>
              <w:t>Cost recoup for site visits, audits and administration</w:t>
            </w:r>
          </w:p>
        </w:tc>
        <w:tc>
          <w:tcPr>
            <w:tcW w:w="1418" w:type="dxa"/>
            <w:tcBorders>
              <w:bottom w:val="single" w:sz="4" w:space="0" w:color="FFFFFF" w:themeColor="background1"/>
            </w:tcBorders>
            <w:shd w:val="clear" w:color="auto" w:fill="E0DCCB" w:themeFill="accent4" w:themeFillTint="66"/>
            <w:vAlign w:val="bottom"/>
          </w:tcPr>
          <w:p w:rsidR="002C2302" w:rsidRPr="00A02A2B" w:rsidRDefault="002C2302" w:rsidP="002C2302">
            <w:pPr>
              <w:pStyle w:val="Body"/>
              <w:spacing w:before="80"/>
              <w:ind w:left="0"/>
              <w:jc w:val="right"/>
              <w:rPr>
                <w:sz w:val="22"/>
              </w:rPr>
            </w:pPr>
            <w:r>
              <w:rPr>
                <w:rFonts w:ascii="Arial" w:eastAsia="Times New Roman" w:hAnsi="Arial" w:cs="Arial"/>
                <w:kern w:val="28"/>
                <w:sz w:val="22"/>
                <w:lang w:eastAsia="en-AU"/>
              </w:rPr>
              <w:t>20,435</w:t>
            </w:r>
          </w:p>
        </w:tc>
        <w:tc>
          <w:tcPr>
            <w:tcW w:w="1418" w:type="dxa"/>
            <w:tcBorders>
              <w:bottom w:val="single" w:sz="4" w:space="0" w:color="E0DCCB" w:themeColor="accent4" w:themeTint="66"/>
            </w:tcBorders>
            <w:vAlign w:val="bottom"/>
          </w:tcPr>
          <w:p w:rsidR="002C2302" w:rsidRPr="00A02A2B" w:rsidRDefault="002C2302" w:rsidP="002C2302">
            <w:pPr>
              <w:pStyle w:val="Body"/>
              <w:spacing w:before="80"/>
              <w:ind w:left="0"/>
              <w:jc w:val="right"/>
              <w:rPr>
                <w:sz w:val="22"/>
              </w:rPr>
            </w:pPr>
            <w:r w:rsidRPr="00A02A2B">
              <w:rPr>
                <w:rFonts w:ascii="Arial" w:eastAsia="Times New Roman" w:hAnsi="Arial" w:cs="Arial"/>
                <w:kern w:val="28"/>
                <w:sz w:val="22"/>
                <w:lang w:eastAsia="en-AU"/>
              </w:rPr>
              <w:t>87,670</w:t>
            </w:r>
          </w:p>
        </w:tc>
      </w:tr>
      <w:tr w:rsidR="002C2302" w:rsidRPr="00A02A2B" w:rsidTr="00974A8A">
        <w:tc>
          <w:tcPr>
            <w:tcW w:w="5529" w:type="dxa"/>
            <w:vAlign w:val="bottom"/>
          </w:tcPr>
          <w:p w:rsidR="002C2302" w:rsidRPr="00A02A2B" w:rsidRDefault="002C2302" w:rsidP="002C2302">
            <w:pPr>
              <w:pStyle w:val="Body"/>
              <w:spacing w:before="80"/>
              <w:ind w:left="0"/>
              <w:rPr>
                <w:sz w:val="22"/>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A02A2B" w:rsidRDefault="002C2302" w:rsidP="002C2302">
            <w:pPr>
              <w:pStyle w:val="Body"/>
              <w:spacing w:before="80"/>
              <w:ind w:left="0"/>
              <w:jc w:val="right"/>
              <w:rPr>
                <w:sz w:val="22"/>
              </w:rPr>
            </w:pPr>
            <w:r w:rsidRPr="00A02A2B">
              <w:rPr>
                <w:rFonts w:ascii="Arial" w:eastAsia="Times New Roman" w:hAnsi="Arial" w:cs="Arial"/>
                <w:b/>
                <w:kern w:val="28"/>
                <w:sz w:val="22"/>
                <w:lang w:eastAsia="en-AU"/>
              </w:rPr>
              <w:fldChar w:fldCharType="begin"/>
            </w:r>
            <w:r w:rsidRPr="00A02A2B">
              <w:rPr>
                <w:rFonts w:ascii="Arial" w:eastAsia="Times New Roman" w:hAnsi="Arial" w:cs="Arial"/>
                <w:b/>
                <w:kern w:val="28"/>
                <w:sz w:val="22"/>
                <w:lang w:eastAsia="en-AU"/>
              </w:rPr>
              <w:instrText xml:space="preserve"> =SUM(ABOVE) </w:instrText>
            </w:r>
            <w:r w:rsidRPr="00A02A2B">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20,435</w:t>
            </w:r>
            <w:r w:rsidRPr="00A02A2B">
              <w:rPr>
                <w:rFonts w:ascii="Arial" w:eastAsia="Times New Roman" w:hAnsi="Arial" w:cs="Arial"/>
                <w:b/>
                <w:kern w:val="28"/>
                <w:sz w:val="22"/>
                <w:lang w:eastAsia="en-AU"/>
              </w:rPr>
              <w:fldChar w:fldCharType="end"/>
            </w:r>
          </w:p>
        </w:tc>
        <w:tc>
          <w:tcPr>
            <w:tcW w:w="1418" w:type="dxa"/>
            <w:tcBorders>
              <w:top w:val="single" w:sz="4" w:space="0" w:color="E0DCCB" w:themeColor="accent4" w:themeTint="66"/>
              <w:bottom w:val="single" w:sz="4" w:space="0" w:color="B2A97E" w:themeColor="accent4"/>
            </w:tcBorders>
            <w:vAlign w:val="bottom"/>
          </w:tcPr>
          <w:p w:rsidR="002C2302" w:rsidRPr="00A02A2B" w:rsidRDefault="002C2302" w:rsidP="002C2302">
            <w:pPr>
              <w:pStyle w:val="Body"/>
              <w:spacing w:before="80"/>
              <w:ind w:left="0"/>
              <w:jc w:val="right"/>
              <w:rPr>
                <w:sz w:val="22"/>
              </w:rPr>
            </w:pPr>
            <w:r w:rsidRPr="00A02A2B">
              <w:rPr>
                <w:rFonts w:ascii="Arial" w:eastAsia="Times New Roman" w:hAnsi="Arial" w:cs="Arial"/>
                <w:b/>
                <w:kern w:val="28"/>
                <w:sz w:val="22"/>
                <w:lang w:eastAsia="en-AU"/>
              </w:rPr>
              <w:fldChar w:fldCharType="begin"/>
            </w:r>
            <w:r w:rsidRPr="00A02A2B">
              <w:rPr>
                <w:rFonts w:ascii="Arial" w:eastAsia="Times New Roman" w:hAnsi="Arial" w:cs="Arial"/>
                <w:b/>
                <w:kern w:val="28"/>
                <w:sz w:val="22"/>
                <w:lang w:eastAsia="en-AU"/>
              </w:rPr>
              <w:instrText xml:space="preserve"> =SUM(ABOVE) </w:instrText>
            </w:r>
            <w:r w:rsidRPr="00A02A2B">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87,670</w:t>
            </w:r>
            <w:r w:rsidRPr="00A02A2B">
              <w:rPr>
                <w:rFonts w:ascii="Arial" w:eastAsia="Times New Roman" w:hAnsi="Arial" w:cs="Arial"/>
                <w:b/>
                <w:kern w:val="28"/>
                <w:sz w:val="22"/>
                <w:lang w:eastAsia="en-AU"/>
              </w:rPr>
              <w:fldChar w:fldCharType="end"/>
            </w:r>
          </w:p>
        </w:tc>
      </w:tr>
    </w:tbl>
    <w:p w:rsidR="002C2302" w:rsidRDefault="002C2302" w:rsidP="00974A8A">
      <w:pPr>
        <w:pStyle w:val="Financialsheading3"/>
      </w:pPr>
      <w:bookmarkStart w:id="194" w:name="_Toc427745928"/>
      <w:proofErr w:type="gramStart"/>
      <w:r>
        <w:t>Note 12.</w:t>
      </w:r>
      <w:proofErr w:type="gramEnd"/>
      <w:r>
        <w:t xml:space="preserve"> </w:t>
      </w:r>
      <w:r w:rsidRPr="005D6BC7">
        <w:t>Net gain on disposal of non-current assets</w:t>
      </w:r>
      <w:bookmarkEnd w:id="194"/>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Tr="00974A8A">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493716" w:rsidTr="005243AD">
        <w:tc>
          <w:tcPr>
            <w:tcW w:w="5529" w:type="dxa"/>
          </w:tcPr>
          <w:p w:rsidR="002C2302" w:rsidRPr="00DD3B67" w:rsidRDefault="002C2302" w:rsidP="00974A8A">
            <w:pPr>
              <w:pStyle w:val="Body"/>
              <w:spacing w:before="80"/>
              <w:ind w:left="176"/>
              <w:rPr>
                <w:sz w:val="22"/>
              </w:rPr>
            </w:pPr>
            <w:r w:rsidRPr="00DD3B67">
              <w:rPr>
                <w:rFonts w:ascii="Arial" w:eastAsia="Times New Roman" w:hAnsi="Arial" w:cs="Arial"/>
                <w:kern w:val="28"/>
                <w:sz w:val="22"/>
                <w:u w:val="single"/>
                <w:lang w:eastAsia="en-AU"/>
              </w:rPr>
              <w:t>Proceeds from disposal of non-current assets</w:t>
            </w:r>
          </w:p>
        </w:tc>
        <w:tc>
          <w:tcPr>
            <w:tcW w:w="1418" w:type="dxa"/>
            <w:shd w:val="clear" w:color="auto" w:fill="E0DCCB" w:themeFill="accent4" w:themeFillTint="66"/>
          </w:tcPr>
          <w:p w:rsidR="002C2302" w:rsidRPr="00DD3B67" w:rsidRDefault="002C2302" w:rsidP="002C2302">
            <w:pPr>
              <w:pStyle w:val="Body"/>
              <w:spacing w:before="80"/>
              <w:ind w:left="0"/>
              <w:jc w:val="right"/>
              <w:rPr>
                <w:sz w:val="22"/>
              </w:rPr>
            </w:pPr>
          </w:p>
        </w:tc>
        <w:tc>
          <w:tcPr>
            <w:tcW w:w="1418" w:type="dxa"/>
          </w:tcPr>
          <w:p w:rsidR="002C2302" w:rsidRPr="00DD3B67" w:rsidRDefault="002C2302" w:rsidP="002C2302">
            <w:pPr>
              <w:pStyle w:val="Body"/>
              <w:spacing w:before="80"/>
              <w:ind w:left="0"/>
              <w:jc w:val="right"/>
              <w:rPr>
                <w:sz w:val="22"/>
              </w:rPr>
            </w:pPr>
          </w:p>
        </w:tc>
      </w:tr>
      <w:tr w:rsidR="002C2302" w:rsidRPr="00493716" w:rsidTr="005243AD">
        <w:tc>
          <w:tcPr>
            <w:tcW w:w="5529" w:type="dxa"/>
          </w:tcPr>
          <w:p w:rsidR="002C2302" w:rsidRPr="00DD3B67" w:rsidRDefault="002C2302" w:rsidP="00974A8A">
            <w:pPr>
              <w:pStyle w:val="Body"/>
              <w:spacing w:before="80"/>
              <w:ind w:left="176"/>
              <w:rPr>
                <w:sz w:val="22"/>
              </w:rPr>
            </w:pPr>
            <w:r w:rsidRPr="00DD3B67">
              <w:rPr>
                <w:rFonts w:ascii="Arial" w:eastAsia="Times New Roman" w:hAnsi="Arial" w:cs="Arial"/>
                <w:kern w:val="28"/>
                <w:sz w:val="22"/>
                <w:lang w:eastAsia="en-AU"/>
              </w:rPr>
              <w:t>Marine equipment</w:t>
            </w:r>
          </w:p>
        </w:tc>
        <w:tc>
          <w:tcPr>
            <w:tcW w:w="1418" w:type="dxa"/>
            <w:shd w:val="clear" w:color="auto" w:fill="E0DCCB" w:themeFill="accent4" w:themeFillTint="66"/>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100,000</w:t>
            </w:r>
          </w:p>
        </w:tc>
        <w:tc>
          <w:tcPr>
            <w:tcW w:w="1418" w:type="dxa"/>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w:t>
            </w:r>
          </w:p>
        </w:tc>
      </w:tr>
      <w:tr w:rsidR="002C2302" w:rsidRPr="00493716" w:rsidTr="005243AD">
        <w:tc>
          <w:tcPr>
            <w:tcW w:w="5529" w:type="dxa"/>
          </w:tcPr>
          <w:p w:rsidR="002C2302" w:rsidRPr="00DD3B67" w:rsidRDefault="002C2302" w:rsidP="00974A8A">
            <w:pPr>
              <w:pStyle w:val="Body"/>
              <w:spacing w:before="80"/>
              <w:ind w:left="176"/>
              <w:rPr>
                <w:sz w:val="22"/>
              </w:rPr>
            </w:pPr>
          </w:p>
        </w:tc>
        <w:tc>
          <w:tcPr>
            <w:tcW w:w="1418" w:type="dxa"/>
            <w:shd w:val="clear" w:color="auto" w:fill="E0DCCB" w:themeFill="accent4" w:themeFillTint="66"/>
          </w:tcPr>
          <w:p w:rsidR="002C2302" w:rsidRPr="00DD3B67" w:rsidRDefault="002C2302" w:rsidP="002C2302">
            <w:pPr>
              <w:pStyle w:val="Body"/>
              <w:spacing w:before="80"/>
              <w:ind w:left="0"/>
              <w:jc w:val="right"/>
              <w:rPr>
                <w:sz w:val="22"/>
              </w:rPr>
            </w:pPr>
          </w:p>
        </w:tc>
        <w:tc>
          <w:tcPr>
            <w:tcW w:w="1418" w:type="dxa"/>
          </w:tcPr>
          <w:p w:rsidR="002C2302" w:rsidRPr="00DD3B67" w:rsidRDefault="002C2302" w:rsidP="002C2302">
            <w:pPr>
              <w:pStyle w:val="Body"/>
              <w:spacing w:before="80"/>
              <w:ind w:left="0"/>
              <w:jc w:val="right"/>
              <w:rPr>
                <w:sz w:val="22"/>
              </w:rPr>
            </w:pPr>
          </w:p>
        </w:tc>
      </w:tr>
      <w:tr w:rsidR="002C2302" w:rsidRPr="00493716" w:rsidTr="005243AD">
        <w:tc>
          <w:tcPr>
            <w:tcW w:w="5529" w:type="dxa"/>
          </w:tcPr>
          <w:p w:rsidR="002C2302" w:rsidRPr="00DD3B67" w:rsidRDefault="002C2302" w:rsidP="00974A8A">
            <w:pPr>
              <w:pStyle w:val="Body"/>
              <w:spacing w:before="80"/>
              <w:ind w:left="176"/>
              <w:rPr>
                <w:sz w:val="22"/>
              </w:rPr>
            </w:pPr>
            <w:r>
              <w:rPr>
                <w:rFonts w:ascii="Arial" w:eastAsia="Times New Roman" w:hAnsi="Arial" w:cs="Arial"/>
                <w:kern w:val="28"/>
                <w:sz w:val="22"/>
                <w:u w:val="single"/>
                <w:lang w:eastAsia="en-AU"/>
              </w:rPr>
              <w:t>Carrying amount</w:t>
            </w:r>
            <w:r w:rsidRPr="00DD3B67">
              <w:rPr>
                <w:rFonts w:ascii="Arial" w:eastAsia="Times New Roman" w:hAnsi="Arial" w:cs="Arial"/>
                <w:kern w:val="28"/>
                <w:sz w:val="22"/>
                <w:u w:val="single"/>
                <w:lang w:eastAsia="en-AU"/>
              </w:rPr>
              <w:t xml:space="preserve"> of non-current assets</w:t>
            </w:r>
            <w:r>
              <w:rPr>
                <w:rFonts w:ascii="Arial" w:eastAsia="Times New Roman" w:hAnsi="Arial" w:cs="Arial"/>
                <w:kern w:val="28"/>
                <w:sz w:val="22"/>
                <w:u w:val="single"/>
                <w:lang w:eastAsia="en-AU"/>
              </w:rPr>
              <w:t xml:space="preserve"> disposed</w:t>
            </w:r>
          </w:p>
        </w:tc>
        <w:tc>
          <w:tcPr>
            <w:tcW w:w="1418" w:type="dxa"/>
            <w:shd w:val="clear" w:color="auto" w:fill="E0DCCB" w:themeFill="accent4" w:themeFillTint="66"/>
          </w:tcPr>
          <w:p w:rsidR="002C2302" w:rsidRPr="00DD3B67" w:rsidRDefault="002C2302" w:rsidP="002C2302">
            <w:pPr>
              <w:pStyle w:val="Body"/>
              <w:spacing w:before="80"/>
              <w:ind w:left="0"/>
              <w:jc w:val="right"/>
              <w:rPr>
                <w:sz w:val="22"/>
              </w:rPr>
            </w:pPr>
          </w:p>
        </w:tc>
        <w:tc>
          <w:tcPr>
            <w:tcW w:w="1418" w:type="dxa"/>
          </w:tcPr>
          <w:p w:rsidR="002C2302" w:rsidRPr="00DD3B67" w:rsidRDefault="002C2302" w:rsidP="002C2302">
            <w:pPr>
              <w:pStyle w:val="Body"/>
              <w:spacing w:before="80"/>
              <w:ind w:left="0"/>
              <w:jc w:val="right"/>
              <w:rPr>
                <w:sz w:val="22"/>
              </w:rPr>
            </w:pPr>
          </w:p>
        </w:tc>
      </w:tr>
      <w:tr w:rsidR="002C2302" w:rsidRPr="00493716" w:rsidTr="005243AD">
        <w:tc>
          <w:tcPr>
            <w:tcW w:w="5529" w:type="dxa"/>
          </w:tcPr>
          <w:p w:rsidR="002C2302" w:rsidRPr="00DD3B67" w:rsidRDefault="002C2302" w:rsidP="00974A8A">
            <w:pPr>
              <w:pStyle w:val="Body"/>
              <w:spacing w:before="80"/>
              <w:ind w:left="176"/>
              <w:rPr>
                <w:rFonts w:ascii="Arial" w:eastAsia="Times New Roman" w:hAnsi="Arial" w:cs="Arial"/>
                <w:kern w:val="28"/>
                <w:sz w:val="22"/>
                <w:lang w:eastAsia="en-AU"/>
              </w:rPr>
            </w:pPr>
            <w:r w:rsidRPr="00DD3B67">
              <w:rPr>
                <w:rFonts w:ascii="Arial" w:eastAsia="Times New Roman" w:hAnsi="Arial" w:cs="Arial"/>
                <w:kern w:val="28"/>
                <w:sz w:val="22"/>
                <w:lang w:eastAsia="en-AU"/>
              </w:rPr>
              <w:t>Marine equipment</w:t>
            </w:r>
          </w:p>
        </w:tc>
        <w:tc>
          <w:tcPr>
            <w:tcW w:w="1418" w:type="dxa"/>
            <w:tcBorders>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(90,865)</w:t>
            </w:r>
          </w:p>
        </w:tc>
        <w:tc>
          <w:tcPr>
            <w:tcW w:w="1418" w:type="dxa"/>
            <w:tcBorders>
              <w:bottom w:val="single" w:sz="4" w:space="0" w:color="E0DCCB" w:themeColor="accent4" w:themeTint="66"/>
            </w:tcBorders>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w:t>
            </w:r>
          </w:p>
        </w:tc>
      </w:tr>
      <w:tr w:rsidR="002C2302" w:rsidRPr="00493716" w:rsidTr="005243AD">
        <w:tc>
          <w:tcPr>
            <w:tcW w:w="5529" w:type="dxa"/>
          </w:tcPr>
          <w:p w:rsidR="002C2302" w:rsidRPr="00DD3B67" w:rsidRDefault="002C2302" w:rsidP="00974A8A">
            <w:pPr>
              <w:pStyle w:val="Body"/>
              <w:spacing w:before="80"/>
              <w:ind w:left="176"/>
              <w:rPr>
                <w:rFonts w:ascii="Arial" w:eastAsia="Times New Roman" w:hAnsi="Arial" w:cs="Arial"/>
                <w:kern w:val="28"/>
                <w:sz w:val="22"/>
                <w:lang w:eastAsia="en-AU"/>
              </w:rPr>
            </w:pPr>
            <w:r w:rsidRPr="00DD3B67">
              <w:rPr>
                <w:rFonts w:ascii="Arial" w:eastAsia="Times New Roman" w:hAnsi="Arial" w:cs="Arial"/>
                <w:b/>
                <w:kern w:val="28"/>
                <w:sz w:val="22"/>
                <w:lang w:eastAsia="en-AU"/>
              </w:rPr>
              <w:t>Net gain</w:t>
            </w:r>
          </w:p>
        </w:tc>
        <w:tc>
          <w:tcPr>
            <w:tcW w:w="1418" w:type="dxa"/>
            <w:tcBorders>
              <w:top w:val="single" w:sz="4" w:space="0" w:color="FFFFFF" w:themeColor="background1"/>
              <w:bottom w:val="single" w:sz="4" w:space="0" w:color="B2A97E" w:themeColor="accent4"/>
            </w:tcBorders>
            <w:shd w:val="clear" w:color="auto" w:fill="E0DCCB" w:themeFill="accent4" w:themeFillTint="66"/>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b/>
                <w:kern w:val="28"/>
                <w:sz w:val="22"/>
                <w:lang w:eastAsia="en-AU"/>
              </w:rPr>
              <w:t>9,135</w:t>
            </w:r>
          </w:p>
        </w:tc>
        <w:tc>
          <w:tcPr>
            <w:tcW w:w="1418" w:type="dxa"/>
            <w:tcBorders>
              <w:top w:val="single" w:sz="4" w:space="0" w:color="E0DCCB" w:themeColor="accent4" w:themeTint="66"/>
              <w:bottom w:val="single" w:sz="4" w:space="0" w:color="B2A97E" w:themeColor="accent4"/>
            </w:tcBorders>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b/>
                <w:kern w:val="28"/>
                <w:sz w:val="22"/>
                <w:lang w:eastAsia="en-AU"/>
              </w:rPr>
              <w:t>-</w:t>
            </w:r>
          </w:p>
        </w:tc>
      </w:tr>
    </w:tbl>
    <w:p w:rsidR="002C2302" w:rsidRDefault="002C2302" w:rsidP="00974A8A">
      <w:pPr>
        <w:pStyle w:val="Financialsheading3"/>
      </w:pPr>
      <w:bookmarkStart w:id="195" w:name="_Toc427745929"/>
      <w:proofErr w:type="gramStart"/>
      <w:r>
        <w:lastRenderedPageBreak/>
        <w:t>Note 13.</w:t>
      </w:r>
      <w:proofErr w:type="gramEnd"/>
      <w:r w:rsidRPr="005D6BC7">
        <w:t xml:space="preserve"> Income from State Government</w:t>
      </w:r>
      <w:bookmarkEnd w:id="195"/>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RPr="00DD3B67" w:rsidTr="00974A8A">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D3B67" w:rsidTr="00974A8A">
        <w:tc>
          <w:tcPr>
            <w:tcW w:w="5529" w:type="dxa"/>
            <w:vAlign w:val="bottom"/>
          </w:tcPr>
          <w:p w:rsidR="002C2302" w:rsidRPr="00DD3B67" w:rsidRDefault="002C2302" w:rsidP="00974A8A">
            <w:pPr>
              <w:pStyle w:val="Body"/>
              <w:spacing w:before="80"/>
              <w:ind w:left="176"/>
              <w:rPr>
                <w:sz w:val="22"/>
              </w:rPr>
            </w:pPr>
            <w:r w:rsidRPr="00DD3B67">
              <w:rPr>
                <w:rFonts w:ascii="Arial" w:eastAsia="Times New Roman" w:hAnsi="Arial" w:cs="Arial"/>
                <w:kern w:val="28"/>
                <w:sz w:val="22"/>
                <w:lang w:eastAsia="en-AU"/>
              </w:rPr>
              <w:t>Appropriation received during the period:</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vAlign w:val="bottom"/>
          </w:tcPr>
          <w:p w:rsidR="002C2302" w:rsidRPr="00DD3B67" w:rsidRDefault="002C2302" w:rsidP="002C2302">
            <w:pPr>
              <w:pStyle w:val="Body"/>
              <w:spacing w:before="80"/>
              <w:ind w:left="0"/>
              <w:jc w:val="right"/>
              <w:rPr>
                <w:sz w:val="22"/>
              </w:rPr>
            </w:pPr>
          </w:p>
        </w:tc>
      </w:tr>
      <w:tr w:rsidR="002C2302" w:rsidRPr="00DD3B67" w:rsidTr="00974A8A">
        <w:tc>
          <w:tcPr>
            <w:tcW w:w="5529" w:type="dxa"/>
            <w:vAlign w:val="bottom"/>
          </w:tcPr>
          <w:p w:rsidR="002C2302" w:rsidRPr="00DD3B67" w:rsidRDefault="002C2302" w:rsidP="00974A8A">
            <w:pPr>
              <w:pStyle w:val="Body"/>
              <w:spacing w:before="80"/>
              <w:ind w:left="176"/>
              <w:rPr>
                <w:sz w:val="22"/>
              </w:rPr>
            </w:pPr>
            <w:r w:rsidRPr="00DD3B67">
              <w:rPr>
                <w:rFonts w:ascii="Arial" w:eastAsia="Times New Roman" w:hAnsi="Arial" w:cs="Arial"/>
                <w:kern w:val="28"/>
                <w:sz w:val="22"/>
                <w:lang w:eastAsia="en-AU"/>
              </w:rPr>
              <w:t>Service appropriation</w:t>
            </w:r>
            <w:r w:rsidRPr="00DD3B67">
              <w:rPr>
                <w:rFonts w:ascii="Arial" w:eastAsia="Times New Roman" w:hAnsi="Arial" w:cs="Arial"/>
                <w:kern w:val="28"/>
                <w:sz w:val="22"/>
                <w:vertAlign w:val="superscript"/>
                <w:lang w:eastAsia="en-AU"/>
              </w:rPr>
              <w:t>(a)</w:t>
            </w:r>
          </w:p>
        </w:tc>
        <w:tc>
          <w:tcPr>
            <w:tcW w:w="1418"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14,</w:t>
            </w:r>
            <w:r>
              <w:rPr>
                <w:rFonts w:ascii="Arial" w:eastAsia="Times New Roman" w:hAnsi="Arial" w:cs="Arial"/>
                <w:kern w:val="28"/>
                <w:sz w:val="22"/>
                <w:lang w:eastAsia="en-AU"/>
              </w:rPr>
              <w:t>996</w:t>
            </w:r>
            <w:r w:rsidRPr="00DD3B67">
              <w:rPr>
                <w:rFonts w:ascii="Arial" w:eastAsia="Times New Roman" w:hAnsi="Arial" w:cs="Arial"/>
                <w:kern w:val="28"/>
                <w:sz w:val="22"/>
                <w:lang w:eastAsia="en-AU"/>
              </w:rPr>
              <w:t>,000</w:t>
            </w:r>
          </w:p>
        </w:tc>
        <w:tc>
          <w:tcPr>
            <w:tcW w:w="1418" w:type="dxa"/>
            <w:tcBorders>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14,533,000</w:t>
            </w:r>
          </w:p>
        </w:tc>
      </w:tr>
      <w:tr w:rsidR="002C2302" w:rsidRPr="00DD3B67" w:rsidTr="00974A8A">
        <w:tc>
          <w:tcPr>
            <w:tcW w:w="5529" w:type="dxa"/>
            <w:vAlign w:val="bottom"/>
          </w:tcPr>
          <w:p w:rsidR="002C2302" w:rsidRPr="00DD3B67" w:rsidRDefault="002C2302" w:rsidP="00974A8A">
            <w:pPr>
              <w:pStyle w:val="Body"/>
              <w:spacing w:before="80"/>
              <w:ind w:left="176"/>
              <w:rPr>
                <w:sz w:val="22"/>
              </w:rPr>
            </w:pPr>
          </w:p>
        </w:tc>
        <w:tc>
          <w:tcPr>
            <w:tcW w:w="1418" w:type="dxa"/>
            <w:tcBorders>
              <w:top w:val="single" w:sz="4" w:space="0" w:color="FFFFFF" w:themeColor="background1"/>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=SUM(ABOVE) </w:instrText>
            </w:r>
            <w:r w:rsidRPr="00DD3B67">
              <w:rPr>
                <w:rFonts w:ascii="Arial" w:eastAsia="Times New Roman" w:hAnsi="Arial" w:cs="Arial"/>
                <w:kern w:val="28"/>
                <w:sz w:val="22"/>
                <w:lang w:eastAsia="en-AU"/>
              </w:rPr>
              <w:fldChar w:fldCharType="separate"/>
            </w:r>
            <w:r>
              <w:rPr>
                <w:rFonts w:ascii="Arial" w:eastAsia="Times New Roman" w:hAnsi="Arial" w:cs="Arial"/>
                <w:noProof/>
                <w:kern w:val="28"/>
                <w:sz w:val="22"/>
                <w:lang w:eastAsia="en-AU"/>
              </w:rPr>
              <w:t>14,996,000</w:t>
            </w:r>
            <w:r w:rsidRPr="00DD3B67">
              <w:rPr>
                <w:rFonts w:ascii="Arial" w:eastAsia="Times New Roman" w:hAnsi="Arial" w:cs="Arial"/>
                <w:kern w:val="28"/>
                <w:sz w:val="22"/>
                <w:lang w:eastAsia="en-AU"/>
              </w:rPr>
              <w:fldChar w:fldCharType="end"/>
            </w:r>
          </w:p>
        </w:tc>
        <w:tc>
          <w:tcPr>
            <w:tcW w:w="1418" w:type="dxa"/>
            <w:tcBorders>
              <w:top w:val="single" w:sz="4" w:space="0" w:color="E0DCCB" w:themeColor="accent4" w:themeTint="66"/>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=SUM(ABOVE) </w:instrText>
            </w:r>
            <w:r w:rsidRPr="00DD3B67">
              <w:rPr>
                <w:rFonts w:ascii="Arial" w:eastAsia="Times New Roman" w:hAnsi="Arial" w:cs="Arial"/>
                <w:kern w:val="28"/>
                <w:sz w:val="22"/>
                <w:lang w:eastAsia="en-AU"/>
              </w:rPr>
              <w:fldChar w:fldCharType="separate"/>
            </w:r>
            <w:r w:rsidRPr="00DD3B67">
              <w:rPr>
                <w:rFonts w:ascii="Arial" w:eastAsia="Times New Roman" w:hAnsi="Arial" w:cs="Arial"/>
                <w:noProof/>
                <w:kern w:val="28"/>
                <w:sz w:val="22"/>
                <w:lang w:eastAsia="en-AU"/>
              </w:rPr>
              <w:t>14,533,000</w:t>
            </w:r>
            <w:r w:rsidRPr="00DD3B67">
              <w:rPr>
                <w:rFonts w:ascii="Arial" w:eastAsia="Times New Roman" w:hAnsi="Arial" w:cs="Arial"/>
                <w:kern w:val="28"/>
                <w:sz w:val="22"/>
                <w:lang w:eastAsia="en-AU"/>
              </w:rPr>
              <w:fldChar w:fldCharType="end"/>
            </w:r>
          </w:p>
        </w:tc>
      </w:tr>
      <w:tr w:rsidR="002C2302" w:rsidRPr="00DD3B67" w:rsidTr="00974A8A">
        <w:tc>
          <w:tcPr>
            <w:tcW w:w="5529" w:type="dxa"/>
            <w:vAlign w:val="bottom"/>
          </w:tcPr>
          <w:p w:rsidR="002C2302" w:rsidRPr="00DD3B67" w:rsidRDefault="002C2302" w:rsidP="00974A8A">
            <w:pPr>
              <w:pStyle w:val="Body"/>
              <w:spacing w:before="80"/>
              <w:ind w:left="176"/>
              <w:rPr>
                <w:sz w:val="22"/>
              </w:rPr>
            </w:pPr>
          </w:p>
        </w:tc>
        <w:tc>
          <w:tcPr>
            <w:tcW w:w="1418" w:type="dxa"/>
            <w:tcBorders>
              <w:top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tcBorders>
              <w:top w:val="single" w:sz="4" w:space="0" w:color="E0DCCB" w:themeColor="accent4" w:themeTint="66"/>
            </w:tcBorders>
            <w:vAlign w:val="bottom"/>
          </w:tcPr>
          <w:p w:rsidR="002C2302" w:rsidRPr="00DD3B67" w:rsidRDefault="002C2302" w:rsidP="002C2302">
            <w:pPr>
              <w:pStyle w:val="Body"/>
              <w:spacing w:before="80"/>
              <w:ind w:left="0"/>
              <w:jc w:val="right"/>
              <w:rPr>
                <w:sz w:val="22"/>
              </w:rPr>
            </w:pPr>
          </w:p>
        </w:tc>
      </w:tr>
      <w:tr w:rsidR="002C2302" w:rsidRPr="00DD3B67" w:rsidTr="00974A8A">
        <w:tc>
          <w:tcPr>
            <w:tcW w:w="5529" w:type="dxa"/>
            <w:vAlign w:val="bottom"/>
          </w:tcPr>
          <w:p w:rsidR="002C2302" w:rsidRPr="00DD3B67" w:rsidRDefault="002C2302" w:rsidP="00974A8A">
            <w:pPr>
              <w:pStyle w:val="Body"/>
              <w:spacing w:before="80"/>
              <w:ind w:left="176"/>
              <w:rPr>
                <w:sz w:val="22"/>
              </w:rPr>
            </w:pPr>
            <w:r w:rsidRPr="00DD3B67">
              <w:rPr>
                <w:rFonts w:ascii="Arial" w:eastAsia="Times New Roman" w:hAnsi="Arial" w:cs="Arial"/>
                <w:kern w:val="28"/>
                <w:sz w:val="22"/>
                <w:lang w:eastAsia="en-AU"/>
              </w:rPr>
              <w:t>Services received free of charge from other State government agencies during the period:</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vAlign w:val="bottom"/>
          </w:tcPr>
          <w:p w:rsidR="002C2302" w:rsidRPr="00DD3B67" w:rsidRDefault="002C2302" w:rsidP="002C2302">
            <w:pPr>
              <w:pStyle w:val="Body"/>
              <w:spacing w:before="80"/>
              <w:ind w:left="0"/>
              <w:jc w:val="right"/>
              <w:rPr>
                <w:sz w:val="22"/>
              </w:rPr>
            </w:pPr>
          </w:p>
        </w:tc>
      </w:tr>
      <w:tr w:rsidR="002C2302" w:rsidRPr="00DD3B67" w:rsidTr="00974A8A">
        <w:tc>
          <w:tcPr>
            <w:tcW w:w="5529" w:type="dxa"/>
            <w:vAlign w:val="bottom"/>
          </w:tcPr>
          <w:p w:rsidR="002C2302" w:rsidRPr="00DD3B67" w:rsidRDefault="002C2302" w:rsidP="00974A8A">
            <w:pPr>
              <w:pStyle w:val="Body"/>
              <w:spacing w:before="80"/>
              <w:ind w:left="176"/>
              <w:rPr>
                <w:sz w:val="22"/>
              </w:rPr>
            </w:pPr>
            <w:r w:rsidRPr="00DD3B67">
              <w:rPr>
                <w:rFonts w:ascii="Arial" w:eastAsia="Times New Roman" w:hAnsi="Arial" w:cs="Arial"/>
                <w:kern w:val="28"/>
                <w:sz w:val="22"/>
                <w:lang w:eastAsia="en-AU"/>
              </w:rPr>
              <w:t>State Solicitor’s Office</w:t>
            </w:r>
          </w:p>
        </w:tc>
        <w:tc>
          <w:tcPr>
            <w:tcW w:w="1418"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78,901</w:t>
            </w:r>
          </w:p>
        </w:tc>
        <w:tc>
          <w:tcPr>
            <w:tcW w:w="1418" w:type="dxa"/>
            <w:tcBorders>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100,144</w:t>
            </w:r>
          </w:p>
        </w:tc>
      </w:tr>
      <w:tr w:rsidR="002C2302" w:rsidRPr="00DD3B67" w:rsidTr="00974A8A">
        <w:tc>
          <w:tcPr>
            <w:tcW w:w="5529" w:type="dxa"/>
            <w:vAlign w:val="bottom"/>
          </w:tcPr>
          <w:p w:rsidR="002C2302" w:rsidRPr="00DD3B67" w:rsidRDefault="002C2302" w:rsidP="00974A8A">
            <w:pPr>
              <w:pStyle w:val="Body"/>
              <w:spacing w:before="80"/>
              <w:ind w:left="176"/>
              <w:rPr>
                <w:sz w:val="22"/>
              </w:rPr>
            </w:pPr>
          </w:p>
        </w:tc>
        <w:tc>
          <w:tcPr>
            <w:tcW w:w="1418" w:type="dxa"/>
            <w:tcBorders>
              <w:top w:val="single" w:sz="4" w:space="0" w:color="FFFFFF" w:themeColor="background1"/>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=SUM(ABOVE) </w:instrText>
            </w:r>
            <w:r w:rsidRPr="00DD3B67">
              <w:rPr>
                <w:rFonts w:ascii="Arial" w:eastAsia="Times New Roman" w:hAnsi="Arial" w:cs="Arial"/>
                <w:kern w:val="28"/>
                <w:sz w:val="22"/>
                <w:lang w:eastAsia="en-AU"/>
              </w:rPr>
              <w:fldChar w:fldCharType="separate"/>
            </w:r>
            <w:r>
              <w:rPr>
                <w:rFonts w:ascii="Arial" w:eastAsia="Times New Roman" w:hAnsi="Arial" w:cs="Arial"/>
                <w:noProof/>
                <w:kern w:val="28"/>
                <w:sz w:val="22"/>
                <w:lang w:eastAsia="en-AU"/>
              </w:rPr>
              <w:t>78,901</w:t>
            </w:r>
            <w:r w:rsidRPr="00DD3B67">
              <w:rPr>
                <w:rFonts w:ascii="Arial" w:eastAsia="Times New Roman" w:hAnsi="Arial" w:cs="Arial"/>
                <w:kern w:val="28"/>
                <w:sz w:val="22"/>
                <w:lang w:eastAsia="en-AU"/>
              </w:rPr>
              <w:fldChar w:fldCharType="end"/>
            </w:r>
          </w:p>
        </w:tc>
        <w:tc>
          <w:tcPr>
            <w:tcW w:w="1418" w:type="dxa"/>
            <w:tcBorders>
              <w:top w:val="single" w:sz="4" w:space="0" w:color="E0DCCB" w:themeColor="accent4" w:themeTint="66"/>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=SUM(ABOVE) </w:instrText>
            </w:r>
            <w:r w:rsidRPr="00DD3B67">
              <w:rPr>
                <w:rFonts w:ascii="Arial" w:eastAsia="Times New Roman" w:hAnsi="Arial" w:cs="Arial"/>
                <w:kern w:val="28"/>
                <w:sz w:val="22"/>
                <w:lang w:eastAsia="en-AU"/>
              </w:rPr>
              <w:fldChar w:fldCharType="separate"/>
            </w:r>
            <w:r w:rsidRPr="00DD3B67">
              <w:rPr>
                <w:rFonts w:ascii="Arial" w:eastAsia="Times New Roman" w:hAnsi="Arial" w:cs="Arial"/>
                <w:noProof/>
                <w:kern w:val="28"/>
                <w:sz w:val="22"/>
                <w:lang w:eastAsia="en-AU"/>
              </w:rPr>
              <w:t>100,144</w:t>
            </w:r>
            <w:r w:rsidRPr="00DD3B67">
              <w:rPr>
                <w:rFonts w:ascii="Arial" w:eastAsia="Times New Roman" w:hAnsi="Arial" w:cs="Arial"/>
                <w:kern w:val="28"/>
                <w:sz w:val="22"/>
                <w:lang w:eastAsia="en-AU"/>
              </w:rPr>
              <w:fldChar w:fldCharType="end"/>
            </w:r>
          </w:p>
        </w:tc>
      </w:tr>
      <w:tr w:rsidR="002C2302" w:rsidRPr="00DD3B67" w:rsidTr="00974A8A">
        <w:tc>
          <w:tcPr>
            <w:tcW w:w="5529" w:type="dxa"/>
          </w:tcPr>
          <w:p w:rsidR="002C2302" w:rsidRPr="00DD3B67" w:rsidRDefault="002C2302" w:rsidP="00974A8A">
            <w:pPr>
              <w:pStyle w:val="Body"/>
              <w:spacing w:before="80"/>
              <w:ind w:left="176"/>
              <w:rPr>
                <w:sz w:val="22"/>
              </w:rPr>
            </w:pPr>
            <w:r w:rsidRPr="00DD3B67">
              <w:rPr>
                <w:rFonts w:ascii="Arial" w:eastAsia="Times New Roman" w:hAnsi="Arial" w:cs="Arial"/>
                <w:kern w:val="28"/>
                <w:sz w:val="22"/>
                <w:lang w:eastAsia="en-AU"/>
              </w:rPr>
              <w:t>Royalties for Regions Fund:</w:t>
            </w:r>
          </w:p>
        </w:tc>
        <w:tc>
          <w:tcPr>
            <w:tcW w:w="1418" w:type="dxa"/>
            <w:tcBorders>
              <w:top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sz w:val="22"/>
              </w:rPr>
            </w:pPr>
          </w:p>
        </w:tc>
        <w:tc>
          <w:tcPr>
            <w:tcW w:w="1418" w:type="dxa"/>
            <w:tcBorders>
              <w:top w:val="single" w:sz="4" w:space="0" w:color="E0DCCB" w:themeColor="accent4" w:themeTint="66"/>
            </w:tcBorders>
          </w:tcPr>
          <w:p w:rsidR="002C2302" w:rsidRPr="00DD3B67" w:rsidRDefault="002C2302" w:rsidP="002C2302">
            <w:pPr>
              <w:pStyle w:val="Body"/>
              <w:spacing w:before="80"/>
              <w:ind w:left="0"/>
              <w:jc w:val="right"/>
              <w:rPr>
                <w:sz w:val="22"/>
              </w:rPr>
            </w:pPr>
          </w:p>
        </w:tc>
      </w:tr>
      <w:tr w:rsidR="002C2302" w:rsidRPr="00DD3B67" w:rsidTr="00974A8A">
        <w:tc>
          <w:tcPr>
            <w:tcW w:w="5529" w:type="dxa"/>
          </w:tcPr>
          <w:p w:rsidR="002C2302" w:rsidRPr="00DD3B67" w:rsidRDefault="002C2302" w:rsidP="00974A8A">
            <w:pPr>
              <w:pStyle w:val="Body"/>
              <w:spacing w:before="80"/>
              <w:ind w:left="176"/>
              <w:rPr>
                <w:sz w:val="22"/>
              </w:rPr>
            </w:pPr>
            <w:r w:rsidRPr="00DD3B67">
              <w:rPr>
                <w:rFonts w:ascii="Arial" w:eastAsia="Times New Roman" w:hAnsi="Arial" w:cs="Arial"/>
                <w:kern w:val="28"/>
                <w:sz w:val="22"/>
                <w:lang w:eastAsia="en-AU"/>
              </w:rPr>
              <w:t>Pilbara Cities</w:t>
            </w:r>
            <w:r w:rsidRPr="00DD3B67">
              <w:rPr>
                <w:rFonts w:ascii="Arial" w:eastAsia="Times New Roman" w:hAnsi="Arial" w:cs="Arial"/>
                <w:kern w:val="28"/>
                <w:sz w:val="22"/>
                <w:vertAlign w:val="superscript"/>
                <w:lang w:eastAsia="en-AU"/>
              </w:rPr>
              <w:t>(b)</w:t>
            </w:r>
          </w:p>
        </w:tc>
        <w:tc>
          <w:tcPr>
            <w:tcW w:w="1418" w:type="dxa"/>
            <w:tcBorders>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w:t>
            </w:r>
          </w:p>
        </w:tc>
        <w:tc>
          <w:tcPr>
            <w:tcW w:w="1418" w:type="dxa"/>
            <w:tcBorders>
              <w:bottom w:val="single" w:sz="4" w:space="0" w:color="E0DCCB" w:themeColor="accent4" w:themeTint="66"/>
            </w:tcBorders>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390,000</w:t>
            </w:r>
          </w:p>
        </w:tc>
      </w:tr>
      <w:tr w:rsidR="002C2302" w:rsidRPr="00DD3B67" w:rsidTr="00974A8A">
        <w:tc>
          <w:tcPr>
            <w:tcW w:w="5529" w:type="dxa"/>
            <w:vAlign w:val="bottom"/>
          </w:tcPr>
          <w:p w:rsidR="002C2302" w:rsidRPr="00DD3B67" w:rsidRDefault="002C2302" w:rsidP="002C2302">
            <w:pPr>
              <w:pStyle w:val="Body"/>
              <w:spacing w:before="80"/>
              <w:ind w:left="-108"/>
              <w:rPr>
                <w:sz w:val="22"/>
              </w:rPr>
            </w:pPr>
          </w:p>
        </w:tc>
        <w:tc>
          <w:tcPr>
            <w:tcW w:w="1418" w:type="dxa"/>
            <w:tcBorders>
              <w:top w:val="single" w:sz="4" w:space="0" w:color="FFFFFF" w:themeColor="background1"/>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w:t>
            </w:r>
          </w:p>
        </w:tc>
        <w:tc>
          <w:tcPr>
            <w:tcW w:w="1418" w:type="dxa"/>
            <w:tcBorders>
              <w:top w:val="single" w:sz="4" w:space="0" w:color="E0DCCB" w:themeColor="accent4" w:themeTint="66"/>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=SUM(ABOVE) </w:instrText>
            </w:r>
            <w:r w:rsidRPr="00DD3B67">
              <w:rPr>
                <w:rFonts w:ascii="Arial" w:eastAsia="Times New Roman" w:hAnsi="Arial" w:cs="Arial"/>
                <w:kern w:val="28"/>
                <w:sz w:val="22"/>
                <w:lang w:eastAsia="en-AU"/>
              </w:rPr>
              <w:fldChar w:fldCharType="separate"/>
            </w:r>
            <w:r w:rsidRPr="00DD3B67">
              <w:rPr>
                <w:rFonts w:ascii="Arial" w:eastAsia="Times New Roman" w:hAnsi="Arial" w:cs="Arial"/>
                <w:noProof/>
                <w:kern w:val="28"/>
                <w:sz w:val="22"/>
                <w:lang w:eastAsia="en-AU"/>
              </w:rPr>
              <w:t>390,000</w:t>
            </w:r>
            <w:r w:rsidRPr="00DD3B67">
              <w:rPr>
                <w:rFonts w:ascii="Arial" w:eastAsia="Times New Roman" w:hAnsi="Arial" w:cs="Arial"/>
                <w:kern w:val="28"/>
                <w:sz w:val="22"/>
                <w:lang w:eastAsia="en-AU"/>
              </w:rPr>
              <w:fldChar w:fldCharType="end"/>
            </w:r>
          </w:p>
        </w:tc>
      </w:tr>
      <w:tr w:rsidR="002C2302" w:rsidRPr="00DD3B67" w:rsidTr="00974A8A">
        <w:tc>
          <w:tcPr>
            <w:tcW w:w="5529" w:type="dxa"/>
            <w:vAlign w:val="bottom"/>
          </w:tcPr>
          <w:p w:rsidR="002C2302" w:rsidRPr="00DD3B67" w:rsidRDefault="002C2302" w:rsidP="002C2302">
            <w:pPr>
              <w:pStyle w:val="Body"/>
              <w:spacing w:before="80"/>
              <w:ind w:left="-108"/>
              <w:rPr>
                <w:sz w:val="22"/>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Pr>
                <w:rFonts w:ascii="Arial" w:eastAsia="Times New Roman" w:hAnsi="Arial" w:cs="Arial"/>
                <w:b/>
                <w:kern w:val="28"/>
                <w:sz w:val="22"/>
                <w:lang w:eastAsia="en-AU"/>
              </w:rPr>
              <w:t>15,074,901</w:t>
            </w:r>
          </w:p>
        </w:tc>
        <w:tc>
          <w:tcPr>
            <w:tcW w:w="1418"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kern w:val="28"/>
                <w:sz w:val="22"/>
                <w:lang w:eastAsia="en-AU"/>
              </w:rPr>
              <w:t>15,023,144</w:t>
            </w:r>
          </w:p>
        </w:tc>
      </w:tr>
    </w:tbl>
    <w:p w:rsidR="002C2302" w:rsidRPr="00DD3B67" w:rsidRDefault="002C2302" w:rsidP="008D4CEC">
      <w:pPr>
        <w:pStyle w:val="Body"/>
        <w:numPr>
          <w:ilvl w:val="0"/>
          <w:numId w:val="9"/>
        </w:numPr>
        <w:spacing w:before="200" w:after="0"/>
        <w:ind w:left="1843" w:hanging="425"/>
        <w:rPr>
          <w:sz w:val="22"/>
        </w:rPr>
      </w:pPr>
      <w:r w:rsidRPr="00DD3B67">
        <w:rPr>
          <w:sz w:val="22"/>
        </w:rPr>
        <w:t>Service appropriations fund the net cost of services delivered. Appropriation revenue comprises a cash component and a receivable (asset). The receivable (holding account) comprises the budgeted depreciation expense for the year and any agreed increase in leave liabilities during the year.</w:t>
      </w:r>
    </w:p>
    <w:p w:rsidR="002C2302" w:rsidRDefault="002C2302" w:rsidP="008D4CEC">
      <w:pPr>
        <w:pStyle w:val="Body"/>
        <w:numPr>
          <w:ilvl w:val="0"/>
          <w:numId w:val="9"/>
        </w:numPr>
        <w:spacing w:before="200" w:after="0"/>
        <w:ind w:left="1843" w:hanging="425"/>
        <w:rPr>
          <w:sz w:val="22"/>
        </w:rPr>
      </w:pPr>
      <w:r w:rsidRPr="00DD3B67">
        <w:rPr>
          <w:sz w:val="22"/>
        </w:rPr>
        <w:t xml:space="preserve">This is a sub-fund within the over-arching ‘Royalties for Regions Fund’. The recurrent funds </w:t>
      </w:r>
      <w:r>
        <w:rPr>
          <w:sz w:val="22"/>
        </w:rPr>
        <w:t>were</w:t>
      </w:r>
      <w:r w:rsidRPr="00DD3B67">
        <w:rPr>
          <w:sz w:val="22"/>
        </w:rPr>
        <w:t xml:space="preserve"> committed to projects and programs in WA regional areas.</w:t>
      </w:r>
      <w:r w:rsidR="005243AD">
        <w:rPr>
          <w:sz w:val="22"/>
        </w:rPr>
        <w:t xml:space="preserve"> This project concluded in December 2014.</w:t>
      </w:r>
    </w:p>
    <w:p w:rsidR="002C2302" w:rsidRDefault="002C2302" w:rsidP="00974A8A">
      <w:pPr>
        <w:pStyle w:val="Financialsheading3"/>
      </w:pPr>
      <w:bookmarkStart w:id="196" w:name="_Toc427745930"/>
      <w:proofErr w:type="gramStart"/>
      <w:r>
        <w:t>Note 14.</w:t>
      </w:r>
      <w:proofErr w:type="gramEnd"/>
      <w:r>
        <w:t xml:space="preserve"> </w:t>
      </w:r>
      <w:r w:rsidRPr="005D6BC7">
        <w:t>Restricted cash and cash equivalents</w:t>
      </w:r>
      <w:bookmarkEnd w:id="196"/>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RPr="00DD3B67" w:rsidTr="00974A8A">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D3B67" w:rsidTr="00974A8A">
        <w:tc>
          <w:tcPr>
            <w:tcW w:w="5529" w:type="dxa"/>
            <w:vAlign w:val="bottom"/>
          </w:tcPr>
          <w:p w:rsidR="002C2302" w:rsidRPr="00DD3B67" w:rsidRDefault="002C2302" w:rsidP="00127018">
            <w:pPr>
              <w:pStyle w:val="Body"/>
              <w:spacing w:before="80"/>
              <w:ind w:left="176"/>
              <w:rPr>
                <w:sz w:val="22"/>
              </w:rPr>
            </w:pPr>
            <w:r w:rsidRPr="00DD3B67">
              <w:rPr>
                <w:rFonts w:ascii="Arial" w:eastAsia="Times New Roman" w:hAnsi="Arial" w:cs="Arial"/>
                <w:kern w:val="28"/>
                <w:sz w:val="22"/>
                <w:u w:val="single"/>
                <w:lang w:eastAsia="en-AU"/>
              </w:rPr>
              <w:t>Current</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vAlign w:val="bottom"/>
          </w:tcPr>
          <w:p w:rsidR="002C2302" w:rsidRPr="00DD3B67" w:rsidRDefault="002C2302" w:rsidP="002C2302">
            <w:pPr>
              <w:pStyle w:val="Body"/>
              <w:spacing w:before="80"/>
              <w:ind w:left="0"/>
              <w:jc w:val="right"/>
              <w:rPr>
                <w:sz w:val="22"/>
              </w:rPr>
            </w:pPr>
          </w:p>
        </w:tc>
      </w:tr>
      <w:tr w:rsidR="002C2302" w:rsidRPr="00DD3B67" w:rsidTr="00974A8A">
        <w:tc>
          <w:tcPr>
            <w:tcW w:w="5529" w:type="dxa"/>
            <w:vAlign w:val="bottom"/>
          </w:tcPr>
          <w:p w:rsidR="002C2302" w:rsidRPr="00DD3B67" w:rsidRDefault="002C2302" w:rsidP="00127018">
            <w:pPr>
              <w:pStyle w:val="Body"/>
              <w:spacing w:before="80"/>
              <w:ind w:left="176"/>
              <w:rPr>
                <w:sz w:val="22"/>
              </w:rPr>
            </w:pPr>
            <w:r w:rsidRPr="00DD3B67">
              <w:rPr>
                <w:rFonts w:ascii="Arial" w:eastAsia="Times New Roman" w:hAnsi="Arial" w:cs="Arial"/>
                <w:kern w:val="28"/>
                <w:sz w:val="22"/>
                <w:lang w:eastAsia="en-AU"/>
              </w:rPr>
              <w:t>Royalties for Regions Fund</w:t>
            </w:r>
            <w:r w:rsidRPr="00DD3B67">
              <w:rPr>
                <w:rFonts w:ascii="Arial" w:eastAsia="Times New Roman" w:hAnsi="Arial" w:cs="Arial"/>
                <w:kern w:val="28"/>
                <w:sz w:val="22"/>
                <w:vertAlign w:val="superscript"/>
                <w:lang w:eastAsia="en-AU"/>
              </w:rPr>
              <w:t>(a)</w:t>
            </w:r>
          </w:p>
        </w:tc>
        <w:tc>
          <w:tcPr>
            <w:tcW w:w="1418"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w:t>
            </w:r>
          </w:p>
        </w:tc>
        <w:tc>
          <w:tcPr>
            <w:tcW w:w="1418" w:type="dxa"/>
            <w:tcBorders>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187,824</w:t>
            </w:r>
          </w:p>
        </w:tc>
      </w:tr>
      <w:tr w:rsidR="002C2302" w:rsidRPr="00DD3B67" w:rsidTr="00974A8A">
        <w:tc>
          <w:tcPr>
            <w:tcW w:w="5529" w:type="dxa"/>
            <w:vAlign w:val="bottom"/>
          </w:tcPr>
          <w:p w:rsidR="002C2302" w:rsidRPr="00DD3B67" w:rsidRDefault="002C2302" w:rsidP="00127018">
            <w:pPr>
              <w:pStyle w:val="Body"/>
              <w:spacing w:before="80"/>
              <w:ind w:left="176"/>
              <w:rPr>
                <w:sz w:val="22"/>
              </w:rPr>
            </w:pPr>
            <w:r w:rsidRPr="00DD3B67">
              <w:rPr>
                <w:rFonts w:ascii="Arial" w:eastAsia="Times New Roman" w:hAnsi="Arial" w:cs="Arial"/>
                <w:kern w:val="28"/>
                <w:sz w:val="22"/>
                <w:lang w:eastAsia="en-AU"/>
              </w:rPr>
              <w:t>Accrued salaries suspense account</w:t>
            </w:r>
            <w:r w:rsidRPr="00DD3B67">
              <w:rPr>
                <w:rFonts w:ascii="Arial" w:eastAsia="Times New Roman" w:hAnsi="Arial" w:cs="Arial"/>
                <w:kern w:val="28"/>
                <w:sz w:val="22"/>
                <w:vertAlign w:val="superscript"/>
                <w:lang w:eastAsia="en-AU"/>
              </w:rPr>
              <w:t>(b)</w:t>
            </w: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777E85" w:rsidRDefault="002C2302" w:rsidP="002C2302">
            <w:pPr>
              <w:pStyle w:val="Body"/>
              <w:spacing w:before="80"/>
              <w:ind w:left="0"/>
              <w:jc w:val="right"/>
              <w:rPr>
                <w:rFonts w:ascii="Arial" w:eastAsia="Times New Roman" w:hAnsi="Arial" w:cs="Arial"/>
                <w:noProof/>
                <w:kern w:val="28"/>
                <w:sz w:val="22"/>
                <w:lang w:eastAsia="en-AU"/>
              </w:rPr>
            </w:pPr>
            <w:r>
              <w:rPr>
                <w:rFonts w:ascii="Arial" w:eastAsia="Times New Roman" w:hAnsi="Arial" w:cs="Arial"/>
                <w:noProof/>
                <w:kern w:val="28"/>
                <w:sz w:val="22"/>
                <w:lang w:eastAsia="en-AU"/>
              </w:rPr>
              <w:t>354,067</w:t>
            </w:r>
          </w:p>
        </w:tc>
        <w:tc>
          <w:tcPr>
            <w:tcW w:w="1418"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rFonts w:ascii="Arial" w:eastAsia="Times New Roman" w:hAnsi="Arial" w:cs="Arial"/>
                <w:b/>
                <w:noProof/>
                <w:kern w:val="28"/>
                <w:sz w:val="22"/>
                <w:lang w:eastAsia="en-AU"/>
              </w:rPr>
            </w:pPr>
            <w:r>
              <w:rPr>
                <w:rFonts w:ascii="Arial" w:eastAsia="Times New Roman" w:hAnsi="Arial" w:cs="Arial"/>
                <w:kern w:val="28"/>
                <w:sz w:val="22"/>
                <w:lang w:eastAsia="en-AU"/>
              </w:rPr>
              <w:t>-</w:t>
            </w:r>
          </w:p>
        </w:tc>
      </w:tr>
      <w:tr w:rsidR="002C2302" w:rsidRPr="00DD3B67" w:rsidTr="00974A8A">
        <w:tc>
          <w:tcPr>
            <w:tcW w:w="5529" w:type="dxa"/>
            <w:vAlign w:val="bottom"/>
          </w:tcPr>
          <w:p w:rsidR="002C2302" w:rsidRPr="00DD3B67" w:rsidRDefault="002C2302" w:rsidP="00127018">
            <w:pPr>
              <w:pStyle w:val="Body"/>
              <w:spacing w:before="80"/>
              <w:ind w:left="176"/>
              <w:rPr>
                <w:sz w:val="22"/>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noProof/>
                <w:kern w:val="28"/>
                <w:sz w:val="22"/>
                <w:lang w:eastAsia="en-AU"/>
              </w:rPr>
              <w:fldChar w:fldCharType="begin"/>
            </w:r>
            <w:r w:rsidRPr="00DD3B67">
              <w:rPr>
                <w:rFonts w:ascii="Arial" w:eastAsia="Times New Roman" w:hAnsi="Arial" w:cs="Arial"/>
                <w:b/>
                <w:noProof/>
                <w:kern w:val="28"/>
                <w:sz w:val="22"/>
                <w:lang w:eastAsia="en-AU"/>
              </w:rPr>
              <w:instrText xml:space="preserve"> =SUM(ABOVE) </w:instrText>
            </w:r>
            <w:r w:rsidRPr="00DD3B67">
              <w:rPr>
                <w:rFonts w:ascii="Arial" w:eastAsia="Times New Roman" w:hAnsi="Arial" w:cs="Arial"/>
                <w:b/>
                <w:noProof/>
                <w:kern w:val="28"/>
                <w:sz w:val="22"/>
                <w:lang w:eastAsia="en-AU"/>
              </w:rPr>
              <w:fldChar w:fldCharType="separate"/>
            </w:r>
            <w:r>
              <w:rPr>
                <w:rFonts w:ascii="Arial" w:eastAsia="Times New Roman" w:hAnsi="Arial" w:cs="Arial"/>
                <w:b/>
                <w:noProof/>
                <w:kern w:val="28"/>
                <w:sz w:val="22"/>
                <w:lang w:eastAsia="en-AU"/>
              </w:rPr>
              <w:t>354,067</w:t>
            </w:r>
            <w:r w:rsidRPr="00DD3B67">
              <w:rPr>
                <w:rFonts w:ascii="Arial" w:eastAsia="Times New Roman" w:hAnsi="Arial" w:cs="Arial"/>
                <w:b/>
                <w:noProof/>
                <w:kern w:val="28"/>
                <w:sz w:val="22"/>
                <w:lang w:eastAsia="en-AU"/>
              </w:rPr>
              <w:fldChar w:fldCharType="end"/>
            </w:r>
          </w:p>
        </w:tc>
        <w:tc>
          <w:tcPr>
            <w:tcW w:w="1418"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noProof/>
                <w:kern w:val="28"/>
                <w:sz w:val="22"/>
                <w:lang w:eastAsia="en-AU"/>
              </w:rPr>
              <w:fldChar w:fldCharType="begin"/>
            </w:r>
            <w:r w:rsidRPr="00DD3B67">
              <w:rPr>
                <w:rFonts w:ascii="Arial" w:eastAsia="Times New Roman" w:hAnsi="Arial" w:cs="Arial"/>
                <w:b/>
                <w:noProof/>
                <w:kern w:val="28"/>
                <w:sz w:val="22"/>
                <w:lang w:eastAsia="en-AU"/>
              </w:rPr>
              <w:instrText xml:space="preserve"> =SUM(ABOVE) </w:instrText>
            </w:r>
            <w:r w:rsidRPr="00DD3B67">
              <w:rPr>
                <w:rFonts w:ascii="Arial" w:eastAsia="Times New Roman" w:hAnsi="Arial" w:cs="Arial"/>
                <w:b/>
                <w:noProof/>
                <w:kern w:val="28"/>
                <w:sz w:val="22"/>
                <w:lang w:eastAsia="en-AU"/>
              </w:rPr>
              <w:fldChar w:fldCharType="separate"/>
            </w:r>
            <w:r>
              <w:rPr>
                <w:rFonts w:ascii="Arial" w:eastAsia="Times New Roman" w:hAnsi="Arial" w:cs="Arial"/>
                <w:b/>
                <w:noProof/>
                <w:kern w:val="28"/>
                <w:sz w:val="22"/>
                <w:lang w:eastAsia="en-AU"/>
              </w:rPr>
              <w:t>187,824</w:t>
            </w:r>
            <w:r w:rsidRPr="00DD3B67">
              <w:rPr>
                <w:rFonts w:ascii="Arial" w:eastAsia="Times New Roman" w:hAnsi="Arial" w:cs="Arial"/>
                <w:b/>
                <w:noProof/>
                <w:kern w:val="28"/>
                <w:sz w:val="22"/>
                <w:lang w:eastAsia="en-AU"/>
              </w:rPr>
              <w:fldChar w:fldCharType="end"/>
            </w:r>
          </w:p>
        </w:tc>
      </w:tr>
      <w:tr w:rsidR="002C2302" w:rsidRPr="00DD3B67" w:rsidTr="00974A8A">
        <w:tc>
          <w:tcPr>
            <w:tcW w:w="5529" w:type="dxa"/>
            <w:vAlign w:val="bottom"/>
          </w:tcPr>
          <w:p w:rsidR="002C2302" w:rsidRPr="00DD3B67" w:rsidRDefault="002C2302" w:rsidP="00127018">
            <w:pPr>
              <w:pStyle w:val="Body"/>
              <w:spacing w:before="80"/>
              <w:ind w:left="176"/>
              <w:rPr>
                <w:sz w:val="22"/>
              </w:rPr>
            </w:pPr>
            <w:r w:rsidRPr="00DD3B67">
              <w:rPr>
                <w:rFonts w:ascii="Arial" w:eastAsia="Times New Roman" w:hAnsi="Arial" w:cs="Arial"/>
                <w:kern w:val="28"/>
                <w:sz w:val="22"/>
                <w:u w:val="single"/>
                <w:lang w:eastAsia="en-AU"/>
              </w:rPr>
              <w:t>Non-current</w:t>
            </w:r>
          </w:p>
        </w:tc>
        <w:tc>
          <w:tcPr>
            <w:tcW w:w="1418" w:type="dxa"/>
            <w:tcBorders>
              <w:top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tcBorders>
              <w:top w:val="single" w:sz="4" w:space="0" w:color="B2A97E" w:themeColor="accent4"/>
            </w:tcBorders>
            <w:vAlign w:val="bottom"/>
          </w:tcPr>
          <w:p w:rsidR="002C2302" w:rsidRPr="00DD3B67" w:rsidRDefault="002C2302" w:rsidP="002C2302">
            <w:pPr>
              <w:pStyle w:val="Body"/>
              <w:spacing w:before="80"/>
              <w:ind w:left="0"/>
              <w:jc w:val="right"/>
              <w:rPr>
                <w:sz w:val="22"/>
              </w:rPr>
            </w:pPr>
          </w:p>
        </w:tc>
      </w:tr>
      <w:tr w:rsidR="002C2302" w:rsidRPr="00DD3B67" w:rsidTr="00974A8A">
        <w:tc>
          <w:tcPr>
            <w:tcW w:w="5529" w:type="dxa"/>
            <w:vAlign w:val="bottom"/>
          </w:tcPr>
          <w:p w:rsidR="002C2302" w:rsidRPr="00DD3B67" w:rsidRDefault="002C2302" w:rsidP="00127018">
            <w:pPr>
              <w:pStyle w:val="Body"/>
              <w:spacing w:before="80"/>
              <w:ind w:left="176"/>
              <w:rPr>
                <w:rFonts w:ascii="Arial" w:eastAsia="Times New Roman" w:hAnsi="Arial" w:cs="Arial"/>
                <w:kern w:val="28"/>
                <w:sz w:val="22"/>
                <w:lang w:eastAsia="en-AU"/>
              </w:rPr>
            </w:pPr>
            <w:r w:rsidRPr="00DD3B67">
              <w:rPr>
                <w:rFonts w:ascii="Arial" w:eastAsia="Times New Roman" w:hAnsi="Arial" w:cs="Arial"/>
                <w:kern w:val="28"/>
                <w:sz w:val="22"/>
                <w:lang w:eastAsia="en-AU"/>
              </w:rPr>
              <w:t>Accrued salaries suspense account</w:t>
            </w:r>
            <w:r w:rsidRPr="00DD3B67">
              <w:rPr>
                <w:rFonts w:ascii="Arial" w:eastAsia="Times New Roman" w:hAnsi="Arial" w:cs="Arial"/>
                <w:kern w:val="28"/>
                <w:sz w:val="22"/>
                <w:vertAlign w:val="superscript"/>
                <w:lang w:eastAsia="en-AU"/>
              </w:rPr>
              <w:t>(b)</w:t>
            </w:r>
          </w:p>
        </w:tc>
        <w:tc>
          <w:tcPr>
            <w:tcW w:w="1418"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w:t>
            </w:r>
          </w:p>
        </w:tc>
        <w:tc>
          <w:tcPr>
            <w:tcW w:w="1418" w:type="dxa"/>
            <w:tcBorders>
              <w:bottom w:val="single" w:sz="4" w:space="0" w:color="E0DCCB" w:themeColor="accent4" w:themeTint="66"/>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322,771</w:t>
            </w:r>
          </w:p>
        </w:tc>
      </w:tr>
      <w:tr w:rsidR="002C2302" w:rsidRPr="00DD3B67" w:rsidTr="00974A8A">
        <w:tc>
          <w:tcPr>
            <w:tcW w:w="5529" w:type="dxa"/>
            <w:vAlign w:val="bottom"/>
          </w:tcPr>
          <w:p w:rsidR="002C2302" w:rsidRPr="00DD3B67" w:rsidRDefault="002C2302" w:rsidP="002C2302">
            <w:pPr>
              <w:pStyle w:val="Body"/>
              <w:spacing w:before="80"/>
              <w:ind w:left="-108"/>
              <w:rPr>
                <w:rFonts w:ascii="Arial" w:eastAsia="Times New Roman" w:hAnsi="Arial" w:cs="Arial"/>
                <w:kern w:val="28"/>
                <w:sz w:val="22"/>
                <w:lang w:eastAsia="en-AU"/>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b/>
                <w:kern w:val="28"/>
                <w:sz w:val="22"/>
                <w:lang w:eastAsia="en-AU"/>
              </w:rPr>
              <w:t>-</w:t>
            </w:r>
          </w:p>
        </w:tc>
        <w:tc>
          <w:tcPr>
            <w:tcW w:w="1418"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322,771</w:t>
            </w:r>
            <w:r w:rsidRPr="00DD3B67">
              <w:rPr>
                <w:rFonts w:ascii="Arial" w:eastAsia="Times New Roman" w:hAnsi="Arial" w:cs="Arial"/>
                <w:b/>
                <w:kern w:val="28"/>
                <w:sz w:val="22"/>
                <w:lang w:eastAsia="en-AU"/>
              </w:rPr>
              <w:fldChar w:fldCharType="end"/>
            </w:r>
          </w:p>
        </w:tc>
      </w:tr>
    </w:tbl>
    <w:p w:rsidR="002C2302" w:rsidRPr="00DD3B67" w:rsidRDefault="002C2302" w:rsidP="008D4CEC">
      <w:pPr>
        <w:pStyle w:val="Body"/>
        <w:numPr>
          <w:ilvl w:val="0"/>
          <w:numId w:val="10"/>
        </w:numPr>
        <w:spacing w:before="200" w:after="0"/>
        <w:ind w:left="1843" w:hanging="425"/>
        <w:rPr>
          <w:sz w:val="22"/>
        </w:rPr>
      </w:pPr>
      <w:r w:rsidRPr="00DD3B67">
        <w:rPr>
          <w:sz w:val="22"/>
        </w:rPr>
        <w:t>Unspent funds are committed to projects and programs in WA regional areas.</w:t>
      </w:r>
    </w:p>
    <w:p w:rsidR="002C2302" w:rsidRPr="00DD3B67" w:rsidRDefault="002C2302" w:rsidP="008D4CEC">
      <w:pPr>
        <w:pStyle w:val="Body"/>
        <w:numPr>
          <w:ilvl w:val="0"/>
          <w:numId w:val="10"/>
        </w:numPr>
        <w:spacing w:before="200" w:after="0"/>
        <w:ind w:left="1843" w:hanging="425"/>
        <w:rPr>
          <w:bCs/>
          <w:sz w:val="22"/>
        </w:rPr>
      </w:pPr>
      <w:r w:rsidRPr="00DD3B67">
        <w:rPr>
          <w:sz w:val="22"/>
        </w:rPr>
        <w:t xml:space="preserve">Funds held in the suspense account for the purpose of meeting the 27th pay in </w:t>
      </w:r>
      <w:r>
        <w:rPr>
          <w:sz w:val="22"/>
        </w:rPr>
        <w:t>2015</w:t>
      </w:r>
      <w:r w:rsidR="00127018">
        <w:rPr>
          <w:sz w:val="22"/>
        </w:rPr>
        <w:t>–</w:t>
      </w:r>
      <w:r>
        <w:rPr>
          <w:sz w:val="22"/>
        </w:rPr>
        <w:t>16.</w:t>
      </w:r>
      <w:r w:rsidRPr="00DD3B67">
        <w:rPr>
          <w:sz w:val="22"/>
        </w:rPr>
        <w:t xml:space="preserve"> </w:t>
      </w:r>
    </w:p>
    <w:p w:rsidR="00C34186" w:rsidRDefault="00C34186" w:rsidP="00127018">
      <w:pPr>
        <w:pStyle w:val="Financialsheading3"/>
      </w:pPr>
      <w:bookmarkStart w:id="197" w:name="_Toc427745931"/>
      <w:r>
        <w:br w:type="page"/>
      </w:r>
    </w:p>
    <w:p w:rsidR="002C2302" w:rsidRDefault="002C2302" w:rsidP="00127018">
      <w:pPr>
        <w:pStyle w:val="Financialsheading3"/>
      </w:pPr>
      <w:proofErr w:type="gramStart"/>
      <w:r>
        <w:lastRenderedPageBreak/>
        <w:t>Note 15.</w:t>
      </w:r>
      <w:proofErr w:type="gramEnd"/>
      <w:r>
        <w:t xml:space="preserve"> </w:t>
      </w:r>
      <w:r w:rsidRPr="005D6BC7">
        <w:t>Receivables</w:t>
      </w:r>
      <w:bookmarkEnd w:id="197"/>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RPr="00DD3B67" w:rsidTr="00127018">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D3B67" w:rsidTr="00127018">
        <w:tc>
          <w:tcPr>
            <w:tcW w:w="5529" w:type="dxa"/>
            <w:vAlign w:val="bottom"/>
          </w:tcPr>
          <w:p w:rsidR="002C2302" w:rsidRPr="00DD3B67" w:rsidRDefault="002C2302" w:rsidP="00127018">
            <w:pPr>
              <w:pStyle w:val="Body"/>
              <w:spacing w:before="80"/>
              <w:ind w:left="176"/>
              <w:rPr>
                <w:sz w:val="22"/>
              </w:rPr>
            </w:pPr>
            <w:r w:rsidRPr="00DD3B67">
              <w:rPr>
                <w:rFonts w:ascii="Arial" w:eastAsia="Times New Roman" w:hAnsi="Arial" w:cs="Arial"/>
                <w:kern w:val="28"/>
                <w:sz w:val="22"/>
                <w:u w:val="single"/>
                <w:lang w:eastAsia="en-AU"/>
              </w:rPr>
              <w:t>Current</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vAlign w:val="bottom"/>
          </w:tcPr>
          <w:p w:rsidR="002C2302" w:rsidRPr="00DD3B67" w:rsidRDefault="002C2302" w:rsidP="002C2302">
            <w:pPr>
              <w:pStyle w:val="Body"/>
              <w:spacing w:before="80"/>
              <w:ind w:left="0"/>
              <w:jc w:val="right"/>
              <w:rPr>
                <w:sz w:val="22"/>
              </w:rPr>
            </w:pPr>
          </w:p>
        </w:tc>
      </w:tr>
      <w:tr w:rsidR="002C2302" w:rsidRPr="00DD3B67" w:rsidTr="00127018">
        <w:tc>
          <w:tcPr>
            <w:tcW w:w="5529" w:type="dxa"/>
            <w:vAlign w:val="bottom"/>
          </w:tcPr>
          <w:p w:rsidR="002C2302" w:rsidRPr="00DD3B67" w:rsidRDefault="002C2302" w:rsidP="00127018">
            <w:pPr>
              <w:pStyle w:val="Body"/>
              <w:spacing w:before="80"/>
              <w:ind w:left="176"/>
              <w:rPr>
                <w:sz w:val="22"/>
              </w:rPr>
            </w:pPr>
            <w:r w:rsidRPr="00DD3B67">
              <w:rPr>
                <w:rFonts w:ascii="Arial" w:eastAsia="Times New Roman" w:hAnsi="Arial" w:cs="Arial"/>
                <w:kern w:val="28"/>
                <w:sz w:val="22"/>
                <w:lang w:eastAsia="en-AU"/>
              </w:rPr>
              <w:t>Receivables</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103,636</w:t>
            </w:r>
          </w:p>
        </w:tc>
        <w:tc>
          <w:tcPr>
            <w:tcW w:w="1418" w:type="dxa"/>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87,223</w:t>
            </w:r>
          </w:p>
        </w:tc>
      </w:tr>
      <w:tr w:rsidR="002C2302" w:rsidRPr="00DD3B67" w:rsidTr="00127018">
        <w:tc>
          <w:tcPr>
            <w:tcW w:w="5529" w:type="dxa"/>
            <w:vAlign w:val="bottom"/>
          </w:tcPr>
          <w:p w:rsidR="002C2302" w:rsidRPr="00DD3B67" w:rsidRDefault="002C2302" w:rsidP="00127018">
            <w:pPr>
              <w:pStyle w:val="Body"/>
              <w:spacing w:before="80"/>
              <w:ind w:left="176"/>
              <w:rPr>
                <w:rFonts w:ascii="Arial" w:eastAsia="Times New Roman" w:hAnsi="Arial" w:cs="Arial"/>
                <w:kern w:val="28"/>
                <w:sz w:val="22"/>
                <w:lang w:eastAsia="en-AU"/>
              </w:rPr>
            </w:pPr>
            <w:r w:rsidRPr="00DD3B67">
              <w:rPr>
                <w:rFonts w:ascii="Arial" w:eastAsia="Times New Roman" w:hAnsi="Arial" w:cs="Arial"/>
                <w:kern w:val="28"/>
                <w:sz w:val="22"/>
                <w:lang w:eastAsia="en-AU"/>
              </w:rPr>
              <w:t>GST receivable</w:t>
            </w:r>
          </w:p>
        </w:tc>
        <w:tc>
          <w:tcPr>
            <w:tcW w:w="1418"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23,892</w:t>
            </w:r>
          </w:p>
        </w:tc>
        <w:tc>
          <w:tcPr>
            <w:tcW w:w="1418" w:type="dxa"/>
            <w:tcBorders>
              <w:bottom w:val="single" w:sz="4" w:space="0" w:color="E0DCCB" w:themeColor="accent4" w:themeTint="66"/>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74,904</w:t>
            </w:r>
          </w:p>
        </w:tc>
      </w:tr>
      <w:tr w:rsidR="002C2302" w:rsidRPr="00DD3B67" w:rsidTr="00127018">
        <w:tc>
          <w:tcPr>
            <w:tcW w:w="5529" w:type="dxa"/>
            <w:vAlign w:val="bottom"/>
          </w:tcPr>
          <w:p w:rsidR="002C2302" w:rsidRPr="00DD3B67" w:rsidRDefault="002C2302" w:rsidP="002C2302">
            <w:pPr>
              <w:pStyle w:val="Body"/>
              <w:spacing w:before="80"/>
              <w:ind w:left="-108"/>
              <w:rPr>
                <w:rFonts w:ascii="Arial" w:eastAsia="Times New Roman" w:hAnsi="Arial" w:cs="Arial"/>
                <w:kern w:val="28"/>
                <w:sz w:val="22"/>
                <w:lang w:eastAsia="en-AU"/>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127,528</w:t>
            </w:r>
            <w:r w:rsidRPr="00DD3B67">
              <w:rPr>
                <w:rFonts w:ascii="Arial" w:eastAsia="Times New Roman" w:hAnsi="Arial" w:cs="Arial"/>
                <w:b/>
                <w:kern w:val="28"/>
                <w:sz w:val="22"/>
                <w:lang w:eastAsia="en-AU"/>
              </w:rPr>
              <w:fldChar w:fldCharType="end"/>
            </w:r>
          </w:p>
        </w:tc>
        <w:tc>
          <w:tcPr>
            <w:tcW w:w="1418"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 "#,##0" </w:instrText>
            </w:r>
            <w:r w:rsidRPr="00DD3B67">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162,127</w:t>
            </w:r>
            <w:r w:rsidRPr="00DD3B67">
              <w:rPr>
                <w:rFonts w:ascii="Arial" w:eastAsia="Times New Roman" w:hAnsi="Arial" w:cs="Arial"/>
                <w:b/>
                <w:kern w:val="28"/>
                <w:sz w:val="22"/>
                <w:lang w:eastAsia="en-AU"/>
              </w:rPr>
              <w:fldChar w:fldCharType="end"/>
            </w:r>
          </w:p>
        </w:tc>
      </w:tr>
    </w:tbl>
    <w:p w:rsidR="002C2302" w:rsidRPr="00DD3B67" w:rsidRDefault="002C2302" w:rsidP="00127018">
      <w:pPr>
        <w:pStyle w:val="Financialnotes"/>
        <w:spacing w:before="120"/>
      </w:pPr>
      <w:r w:rsidRPr="00DD3B67">
        <w:t>The Department does not hold any collateral or other credit enhancements as security for receivables.</w:t>
      </w:r>
    </w:p>
    <w:p w:rsidR="002C2302" w:rsidRDefault="002C2302" w:rsidP="00127018">
      <w:pPr>
        <w:pStyle w:val="Financialsheading3"/>
      </w:pPr>
      <w:bookmarkStart w:id="198" w:name="_Toc427745932"/>
      <w:proofErr w:type="gramStart"/>
      <w:r>
        <w:t>Note 16.</w:t>
      </w:r>
      <w:proofErr w:type="gramEnd"/>
      <w:r>
        <w:t xml:space="preserve"> </w:t>
      </w:r>
      <w:r w:rsidRPr="005D6BC7">
        <w:t>Amounts receivable for services (Holding Account)</w:t>
      </w:r>
      <w:bookmarkEnd w:id="198"/>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RPr="00DD3B67" w:rsidTr="00127018">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D3B67" w:rsidTr="00127018">
        <w:tc>
          <w:tcPr>
            <w:tcW w:w="5529" w:type="dxa"/>
            <w:vAlign w:val="bottom"/>
          </w:tcPr>
          <w:p w:rsidR="002C2302" w:rsidRPr="00DD3B67" w:rsidRDefault="002C2302" w:rsidP="00127018">
            <w:pPr>
              <w:pStyle w:val="Body"/>
              <w:spacing w:before="80"/>
              <w:ind w:left="176"/>
              <w:rPr>
                <w:sz w:val="22"/>
                <w:u w:val="single"/>
              </w:rPr>
            </w:pPr>
            <w:r w:rsidRPr="00DD3B67">
              <w:rPr>
                <w:rFonts w:ascii="Arial" w:eastAsia="Times New Roman" w:hAnsi="Arial" w:cs="Arial"/>
                <w:kern w:val="28"/>
                <w:sz w:val="22"/>
                <w:u w:val="single"/>
                <w:lang w:eastAsia="en-AU"/>
              </w:rPr>
              <w:t>Current</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vAlign w:val="bottom"/>
          </w:tcPr>
          <w:p w:rsidR="002C2302" w:rsidRPr="00DD3B67" w:rsidRDefault="002C2302" w:rsidP="002C2302">
            <w:pPr>
              <w:pStyle w:val="Body"/>
              <w:spacing w:before="80"/>
              <w:ind w:left="0"/>
              <w:jc w:val="right"/>
              <w:rPr>
                <w:sz w:val="22"/>
              </w:rPr>
            </w:pPr>
          </w:p>
        </w:tc>
      </w:tr>
      <w:tr w:rsidR="002C2302" w:rsidRPr="00DD3B67" w:rsidTr="00127018">
        <w:tc>
          <w:tcPr>
            <w:tcW w:w="5529" w:type="dxa"/>
            <w:vAlign w:val="bottom"/>
          </w:tcPr>
          <w:p w:rsidR="002C2302" w:rsidRPr="00DD3B67" w:rsidRDefault="002C2302" w:rsidP="00127018">
            <w:pPr>
              <w:pStyle w:val="Body"/>
              <w:spacing w:before="80"/>
              <w:ind w:left="176"/>
              <w:rPr>
                <w:sz w:val="22"/>
              </w:rPr>
            </w:pPr>
            <w:r w:rsidRPr="00DD3B67">
              <w:rPr>
                <w:rFonts w:ascii="Arial" w:eastAsia="Times New Roman" w:hAnsi="Arial" w:cs="Arial"/>
                <w:kern w:val="28"/>
                <w:sz w:val="22"/>
                <w:lang w:eastAsia="en-AU"/>
              </w:rPr>
              <w:t>Asset Replacement</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50,000</w:t>
            </w:r>
          </w:p>
        </w:tc>
        <w:tc>
          <w:tcPr>
            <w:tcW w:w="1418" w:type="dxa"/>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87,000</w:t>
            </w:r>
          </w:p>
        </w:tc>
      </w:tr>
      <w:tr w:rsidR="002C2302" w:rsidRPr="00DD3B67" w:rsidTr="00127018">
        <w:tc>
          <w:tcPr>
            <w:tcW w:w="5529" w:type="dxa"/>
            <w:vAlign w:val="bottom"/>
          </w:tcPr>
          <w:p w:rsidR="002C2302" w:rsidRPr="00DD3B67" w:rsidRDefault="002C2302" w:rsidP="00127018">
            <w:pPr>
              <w:pStyle w:val="Body"/>
              <w:spacing w:before="80"/>
              <w:ind w:left="176"/>
              <w:rPr>
                <w:rFonts w:ascii="Arial" w:eastAsia="Times New Roman" w:hAnsi="Arial" w:cs="Arial"/>
                <w:kern w:val="28"/>
                <w:sz w:val="22"/>
                <w:u w:val="single"/>
                <w:lang w:eastAsia="en-AU"/>
              </w:rPr>
            </w:pPr>
            <w:r w:rsidRPr="00DD3B67">
              <w:rPr>
                <w:rFonts w:ascii="Arial" w:eastAsia="Times New Roman" w:hAnsi="Arial" w:cs="Arial"/>
                <w:kern w:val="28"/>
                <w:sz w:val="22"/>
                <w:u w:val="single"/>
                <w:lang w:eastAsia="en-AU"/>
              </w:rPr>
              <w:t>Non-current</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p>
        </w:tc>
        <w:tc>
          <w:tcPr>
            <w:tcW w:w="1418" w:type="dxa"/>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p>
        </w:tc>
      </w:tr>
      <w:tr w:rsidR="002C2302" w:rsidRPr="00DD3B67" w:rsidTr="00127018">
        <w:tc>
          <w:tcPr>
            <w:tcW w:w="5529" w:type="dxa"/>
            <w:vAlign w:val="bottom"/>
          </w:tcPr>
          <w:p w:rsidR="002C2302" w:rsidRPr="00DD3B67" w:rsidRDefault="002C2302" w:rsidP="00127018">
            <w:pPr>
              <w:pStyle w:val="Body"/>
              <w:spacing w:before="80"/>
              <w:ind w:left="176"/>
              <w:rPr>
                <w:rFonts w:ascii="Arial" w:eastAsia="Times New Roman" w:hAnsi="Arial" w:cs="Arial"/>
                <w:kern w:val="28"/>
                <w:sz w:val="22"/>
                <w:lang w:eastAsia="en-AU"/>
              </w:rPr>
            </w:pPr>
            <w:r w:rsidRPr="00DD3B67">
              <w:rPr>
                <w:rFonts w:ascii="Arial" w:eastAsia="Times New Roman" w:hAnsi="Arial" w:cs="Arial"/>
                <w:kern w:val="28"/>
                <w:sz w:val="22"/>
                <w:lang w:eastAsia="en-AU"/>
              </w:rPr>
              <w:t>Leave Liability</w:t>
            </w:r>
          </w:p>
        </w:tc>
        <w:tc>
          <w:tcPr>
            <w:tcW w:w="1418"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544,000</w:t>
            </w:r>
          </w:p>
        </w:tc>
        <w:tc>
          <w:tcPr>
            <w:tcW w:w="1418" w:type="dxa"/>
            <w:tcBorders>
              <w:bottom w:val="single" w:sz="4" w:space="0" w:color="E0DCCB" w:themeColor="accent4" w:themeTint="66"/>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544,000</w:t>
            </w:r>
          </w:p>
        </w:tc>
      </w:tr>
      <w:tr w:rsidR="002C2302" w:rsidRPr="00DD3B67" w:rsidTr="00127018">
        <w:tc>
          <w:tcPr>
            <w:tcW w:w="5529" w:type="dxa"/>
            <w:vAlign w:val="bottom"/>
          </w:tcPr>
          <w:p w:rsidR="002C2302" w:rsidRPr="00DD3B67" w:rsidRDefault="002C2302" w:rsidP="002C2302">
            <w:pPr>
              <w:pStyle w:val="Body"/>
              <w:spacing w:before="80"/>
              <w:ind w:left="-108"/>
              <w:rPr>
                <w:rFonts w:ascii="Arial" w:eastAsia="Times New Roman" w:hAnsi="Arial" w:cs="Arial"/>
                <w:kern w:val="28"/>
                <w:sz w:val="22"/>
                <w:lang w:eastAsia="en-AU"/>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594,000</w:t>
            </w:r>
            <w:r w:rsidRPr="00DD3B67">
              <w:rPr>
                <w:rFonts w:ascii="Arial" w:eastAsia="Times New Roman" w:hAnsi="Arial" w:cs="Arial"/>
                <w:b/>
                <w:kern w:val="28"/>
                <w:sz w:val="22"/>
                <w:lang w:eastAsia="en-AU"/>
              </w:rPr>
              <w:fldChar w:fldCharType="end"/>
            </w:r>
          </w:p>
        </w:tc>
        <w:tc>
          <w:tcPr>
            <w:tcW w:w="1418"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sidRPr="00DD3B67">
              <w:rPr>
                <w:rFonts w:ascii="Arial" w:eastAsia="Times New Roman" w:hAnsi="Arial" w:cs="Arial"/>
                <w:b/>
                <w:noProof/>
                <w:kern w:val="28"/>
                <w:sz w:val="22"/>
                <w:lang w:eastAsia="en-AU"/>
              </w:rPr>
              <w:t>631,000</w:t>
            </w:r>
            <w:r w:rsidRPr="00DD3B67">
              <w:rPr>
                <w:rFonts w:ascii="Arial" w:eastAsia="Times New Roman" w:hAnsi="Arial" w:cs="Arial"/>
                <w:b/>
                <w:kern w:val="28"/>
                <w:sz w:val="22"/>
                <w:lang w:eastAsia="en-AU"/>
              </w:rPr>
              <w:fldChar w:fldCharType="end"/>
            </w:r>
          </w:p>
        </w:tc>
      </w:tr>
    </w:tbl>
    <w:p w:rsidR="002C2302" w:rsidRPr="00DD3B67" w:rsidRDefault="002C2302" w:rsidP="00127018">
      <w:pPr>
        <w:pStyle w:val="Financialnotes"/>
        <w:spacing w:before="120"/>
      </w:pPr>
      <w:proofErr w:type="gramStart"/>
      <w:r w:rsidRPr="00DD3B67">
        <w:t>Represents the non-cash component of service appropriations.</w:t>
      </w:r>
      <w:proofErr w:type="gramEnd"/>
      <w:r w:rsidRPr="00DD3B67">
        <w:t xml:space="preserve"> It is restricted in that it can only be used for asset replacement or payment of leave liability.</w:t>
      </w:r>
    </w:p>
    <w:p w:rsidR="002C2302" w:rsidRDefault="002C2302" w:rsidP="00127018">
      <w:pPr>
        <w:pStyle w:val="Financialsheading3"/>
      </w:pPr>
      <w:bookmarkStart w:id="199" w:name="_Toc427745933"/>
      <w:proofErr w:type="gramStart"/>
      <w:r>
        <w:t>Note 17.</w:t>
      </w:r>
      <w:proofErr w:type="gramEnd"/>
      <w:r>
        <w:t xml:space="preserve"> </w:t>
      </w:r>
      <w:r w:rsidRPr="005D6BC7">
        <w:t>Other assets</w:t>
      </w:r>
      <w:bookmarkEnd w:id="199"/>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Tr="00127018">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493716" w:rsidTr="00127018">
        <w:tc>
          <w:tcPr>
            <w:tcW w:w="5529" w:type="dxa"/>
            <w:vAlign w:val="bottom"/>
          </w:tcPr>
          <w:p w:rsidR="002C2302" w:rsidRPr="00DD3B67" w:rsidRDefault="002C2302" w:rsidP="00127018">
            <w:pPr>
              <w:pStyle w:val="Body"/>
              <w:spacing w:before="80"/>
              <w:ind w:left="176"/>
              <w:rPr>
                <w:sz w:val="22"/>
              </w:rPr>
            </w:pPr>
            <w:r w:rsidRPr="00DD3B67">
              <w:rPr>
                <w:rFonts w:ascii="Arial" w:eastAsia="Times New Roman" w:hAnsi="Arial" w:cs="Arial"/>
                <w:kern w:val="28"/>
                <w:sz w:val="22"/>
                <w:u w:val="single"/>
                <w:lang w:eastAsia="en-AU"/>
              </w:rPr>
              <w:t>Current</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vAlign w:val="bottom"/>
          </w:tcPr>
          <w:p w:rsidR="002C2302" w:rsidRPr="00DD3B67" w:rsidRDefault="002C2302" w:rsidP="002C2302">
            <w:pPr>
              <w:pStyle w:val="Body"/>
              <w:spacing w:before="80"/>
              <w:ind w:left="0"/>
              <w:jc w:val="right"/>
              <w:rPr>
                <w:sz w:val="22"/>
              </w:rPr>
            </w:pPr>
          </w:p>
        </w:tc>
      </w:tr>
      <w:tr w:rsidR="002C2302" w:rsidRPr="00493716" w:rsidTr="00127018">
        <w:tc>
          <w:tcPr>
            <w:tcW w:w="5529" w:type="dxa"/>
            <w:vAlign w:val="bottom"/>
          </w:tcPr>
          <w:p w:rsidR="002C2302" w:rsidRPr="00DD3B67" w:rsidRDefault="002C2302" w:rsidP="00127018">
            <w:pPr>
              <w:pStyle w:val="Body"/>
              <w:spacing w:before="80"/>
              <w:ind w:left="176"/>
              <w:rPr>
                <w:rFonts w:ascii="Arial" w:eastAsia="Times New Roman" w:hAnsi="Arial" w:cs="Arial"/>
                <w:kern w:val="28"/>
                <w:sz w:val="22"/>
                <w:lang w:eastAsia="en-AU"/>
              </w:rPr>
            </w:pPr>
            <w:r w:rsidRPr="00DD3B67">
              <w:rPr>
                <w:rFonts w:ascii="Arial" w:eastAsia="Times New Roman" w:hAnsi="Arial" w:cs="Arial"/>
                <w:kern w:val="28"/>
                <w:sz w:val="22"/>
                <w:lang w:eastAsia="en-AU"/>
              </w:rPr>
              <w:t>Prepayments</w:t>
            </w:r>
          </w:p>
        </w:tc>
        <w:tc>
          <w:tcPr>
            <w:tcW w:w="1418"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31,795</w:t>
            </w:r>
          </w:p>
        </w:tc>
        <w:tc>
          <w:tcPr>
            <w:tcW w:w="1418" w:type="dxa"/>
            <w:tcBorders>
              <w:bottom w:val="single" w:sz="4" w:space="0" w:color="E0DCCB" w:themeColor="accent4" w:themeTint="66"/>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2,376</w:t>
            </w:r>
          </w:p>
        </w:tc>
      </w:tr>
      <w:tr w:rsidR="002C2302" w:rsidRPr="00493716" w:rsidTr="00127018">
        <w:tc>
          <w:tcPr>
            <w:tcW w:w="5529" w:type="dxa"/>
            <w:vAlign w:val="bottom"/>
          </w:tcPr>
          <w:p w:rsidR="002C2302" w:rsidRPr="00DD3B67" w:rsidRDefault="002C2302" w:rsidP="00127018">
            <w:pPr>
              <w:pStyle w:val="Body"/>
              <w:spacing w:before="80"/>
              <w:ind w:left="176"/>
              <w:rPr>
                <w:rFonts w:ascii="Arial" w:eastAsia="Times New Roman" w:hAnsi="Arial" w:cs="Arial"/>
                <w:kern w:val="28"/>
                <w:sz w:val="22"/>
                <w:lang w:eastAsia="en-AU"/>
              </w:rPr>
            </w:pPr>
            <w:r w:rsidRPr="00DD3B67">
              <w:rPr>
                <w:rFonts w:ascii="Arial" w:eastAsia="Times New Roman" w:hAnsi="Arial" w:cs="Arial"/>
                <w:b/>
                <w:kern w:val="28"/>
                <w:sz w:val="22"/>
                <w:lang w:eastAsia="en-AU"/>
              </w:rPr>
              <w:t>Total current</w:t>
            </w: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31,795</w:t>
            </w:r>
            <w:r w:rsidRPr="00DD3B67">
              <w:rPr>
                <w:rFonts w:ascii="Arial" w:eastAsia="Times New Roman" w:hAnsi="Arial" w:cs="Arial"/>
                <w:b/>
                <w:kern w:val="28"/>
                <w:sz w:val="22"/>
                <w:lang w:eastAsia="en-AU"/>
              </w:rPr>
              <w:fldChar w:fldCharType="end"/>
            </w:r>
          </w:p>
        </w:tc>
        <w:tc>
          <w:tcPr>
            <w:tcW w:w="1418"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sidRPr="00DD3B67">
              <w:rPr>
                <w:rFonts w:ascii="Arial" w:eastAsia="Times New Roman" w:hAnsi="Arial" w:cs="Arial"/>
                <w:b/>
                <w:noProof/>
                <w:kern w:val="28"/>
                <w:sz w:val="22"/>
                <w:lang w:eastAsia="en-AU"/>
              </w:rPr>
              <w:t>2,376</w:t>
            </w:r>
            <w:r w:rsidRPr="00DD3B67">
              <w:rPr>
                <w:rFonts w:ascii="Arial" w:eastAsia="Times New Roman" w:hAnsi="Arial" w:cs="Arial"/>
                <w:b/>
                <w:kern w:val="28"/>
                <w:sz w:val="22"/>
                <w:lang w:eastAsia="en-AU"/>
              </w:rPr>
              <w:fldChar w:fldCharType="end"/>
            </w:r>
          </w:p>
        </w:tc>
      </w:tr>
    </w:tbl>
    <w:p w:rsidR="002C2302" w:rsidRPr="0097217C" w:rsidRDefault="002C2302" w:rsidP="00127018">
      <w:pPr>
        <w:pStyle w:val="Financialsheading3"/>
      </w:pPr>
      <w:bookmarkStart w:id="200" w:name="_Toc427745934"/>
      <w:proofErr w:type="gramStart"/>
      <w:r w:rsidRPr="0097217C">
        <w:t>Note 1</w:t>
      </w:r>
      <w:r>
        <w:t>8</w:t>
      </w:r>
      <w:r w:rsidRPr="0097217C">
        <w:t>.</w:t>
      </w:r>
      <w:proofErr w:type="gramEnd"/>
      <w:r w:rsidRPr="0097217C">
        <w:t xml:space="preserve"> Plant and equipment</w:t>
      </w:r>
      <w:bookmarkEnd w:id="200"/>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RPr="00DD3B67" w:rsidTr="00880C4F">
        <w:trPr>
          <w:tblHeader/>
        </w:trPr>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D3B67" w:rsidTr="00127018">
        <w:tc>
          <w:tcPr>
            <w:tcW w:w="5529" w:type="dxa"/>
          </w:tcPr>
          <w:p w:rsidR="002C2302" w:rsidRPr="00DD3B67" w:rsidRDefault="002C2302" w:rsidP="005D0E7C">
            <w:pPr>
              <w:pStyle w:val="Body"/>
              <w:spacing w:before="80"/>
              <w:ind w:left="176"/>
              <w:rPr>
                <w:sz w:val="22"/>
              </w:rPr>
            </w:pPr>
            <w:r w:rsidRPr="00DD3B67">
              <w:rPr>
                <w:rFonts w:ascii="Arial" w:eastAsia="Times New Roman" w:hAnsi="Arial" w:cs="Arial"/>
                <w:kern w:val="28"/>
                <w:sz w:val="22"/>
                <w:u w:val="single"/>
                <w:lang w:eastAsia="en-AU"/>
              </w:rPr>
              <w:t>Information technology</w:t>
            </w:r>
          </w:p>
        </w:tc>
        <w:tc>
          <w:tcPr>
            <w:tcW w:w="1418" w:type="dxa"/>
            <w:shd w:val="clear" w:color="auto" w:fill="E0DCCB" w:themeFill="accent4" w:themeFillTint="66"/>
          </w:tcPr>
          <w:p w:rsidR="002C2302" w:rsidRPr="00DD3B67" w:rsidRDefault="002C2302" w:rsidP="002C2302">
            <w:pPr>
              <w:pStyle w:val="Body"/>
              <w:spacing w:before="80"/>
              <w:ind w:left="0"/>
              <w:jc w:val="right"/>
              <w:rPr>
                <w:sz w:val="22"/>
              </w:rPr>
            </w:pPr>
          </w:p>
        </w:tc>
        <w:tc>
          <w:tcPr>
            <w:tcW w:w="1418" w:type="dxa"/>
          </w:tcPr>
          <w:p w:rsidR="002C2302" w:rsidRPr="00DD3B67" w:rsidRDefault="002C2302" w:rsidP="002C2302">
            <w:pPr>
              <w:pStyle w:val="Body"/>
              <w:spacing w:before="80"/>
              <w:ind w:left="0"/>
              <w:jc w:val="right"/>
              <w:rPr>
                <w:sz w:val="22"/>
              </w:rPr>
            </w:pPr>
          </w:p>
        </w:tc>
      </w:tr>
      <w:tr w:rsidR="002C2302" w:rsidRPr="00DD3B67" w:rsidTr="00127018">
        <w:tc>
          <w:tcPr>
            <w:tcW w:w="5529" w:type="dxa"/>
          </w:tcPr>
          <w:p w:rsidR="002C2302" w:rsidRPr="00DD3B67" w:rsidRDefault="002C2302" w:rsidP="005D0E7C">
            <w:pPr>
              <w:pStyle w:val="Body"/>
              <w:spacing w:before="80"/>
              <w:ind w:left="176"/>
              <w:rPr>
                <w:sz w:val="22"/>
              </w:rPr>
            </w:pPr>
            <w:r w:rsidRPr="00DD3B67">
              <w:rPr>
                <w:rFonts w:ascii="Arial" w:eastAsia="Times New Roman" w:hAnsi="Arial" w:cs="Arial"/>
                <w:kern w:val="28"/>
                <w:sz w:val="22"/>
                <w:lang w:eastAsia="en-AU"/>
              </w:rPr>
              <w:t>At cost</w:t>
            </w:r>
          </w:p>
        </w:tc>
        <w:tc>
          <w:tcPr>
            <w:tcW w:w="1418" w:type="dxa"/>
            <w:shd w:val="clear" w:color="auto" w:fill="E0DCCB" w:themeFill="accent4" w:themeFillTint="66"/>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164,804</w:t>
            </w:r>
          </w:p>
        </w:tc>
        <w:tc>
          <w:tcPr>
            <w:tcW w:w="1418" w:type="dxa"/>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157,827</w:t>
            </w:r>
          </w:p>
        </w:tc>
      </w:tr>
      <w:tr w:rsidR="002C2302" w:rsidRPr="00DD3B67" w:rsidTr="00127018">
        <w:tc>
          <w:tcPr>
            <w:tcW w:w="5529" w:type="dxa"/>
          </w:tcPr>
          <w:p w:rsidR="002C2302" w:rsidRPr="00DD3B67" w:rsidRDefault="002C2302" w:rsidP="005D0E7C">
            <w:pPr>
              <w:pStyle w:val="Body"/>
              <w:spacing w:before="80"/>
              <w:ind w:left="176"/>
              <w:rPr>
                <w:sz w:val="22"/>
              </w:rPr>
            </w:pPr>
            <w:r w:rsidRPr="00DD3B67">
              <w:rPr>
                <w:rFonts w:ascii="Arial" w:eastAsia="Times New Roman" w:hAnsi="Arial" w:cs="Arial"/>
                <w:kern w:val="28"/>
                <w:sz w:val="22"/>
                <w:lang w:eastAsia="en-AU"/>
              </w:rPr>
              <w:t>Accumulated depreciation</w:t>
            </w:r>
          </w:p>
        </w:tc>
        <w:tc>
          <w:tcPr>
            <w:tcW w:w="1418" w:type="dxa"/>
            <w:tcBorders>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w:t>
            </w:r>
            <w:r>
              <w:rPr>
                <w:rFonts w:ascii="Arial" w:eastAsia="Times New Roman" w:hAnsi="Arial" w:cs="Arial"/>
                <w:kern w:val="28"/>
                <w:sz w:val="22"/>
                <w:lang w:eastAsia="en-AU"/>
              </w:rPr>
              <w:t>92,434</w:t>
            </w:r>
            <w:r w:rsidRPr="00DD3B67">
              <w:rPr>
                <w:rFonts w:ascii="Arial" w:eastAsia="Times New Roman" w:hAnsi="Arial" w:cs="Arial"/>
                <w:kern w:val="28"/>
                <w:sz w:val="22"/>
                <w:lang w:eastAsia="en-AU"/>
              </w:rPr>
              <w:t>)</w:t>
            </w:r>
          </w:p>
        </w:tc>
        <w:tc>
          <w:tcPr>
            <w:tcW w:w="1418" w:type="dxa"/>
            <w:tcBorders>
              <w:bottom w:val="single" w:sz="4" w:space="0" w:color="E0DCCB" w:themeColor="accent4" w:themeTint="66"/>
            </w:tcBorders>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(56,766)</w:t>
            </w:r>
          </w:p>
        </w:tc>
      </w:tr>
      <w:tr w:rsidR="002C2302" w:rsidRPr="00DD3B67" w:rsidTr="00127018">
        <w:tc>
          <w:tcPr>
            <w:tcW w:w="5529" w:type="dxa"/>
          </w:tcPr>
          <w:p w:rsidR="002C2302" w:rsidRPr="00DD3B67" w:rsidRDefault="002C2302" w:rsidP="005D0E7C">
            <w:pPr>
              <w:pStyle w:val="Body"/>
              <w:spacing w:before="80"/>
              <w:ind w:left="176"/>
              <w:rPr>
                <w:sz w:val="22"/>
              </w:rPr>
            </w:pPr>
          </w:p>
        </w:tc>
        <w:tc>
          <w:tcPr>
            <w:tcW w:w="1418" w:type="dxa"/>
            <w:tcBorders>
              <w:top w:val="single" w:sz="4" w:space="0" w:color="FFFFFF" w:themeColor="background1"/>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=SUM(ABOVE) </w:instrText>
            </w:r>
            <w:r w:rsidRPr="00DD3B67">
              <w:rPr>
                <w:rFonts w:ascii="Arial" w:eastAsia="Times New Roman" w:hAnsi="Arial" w:cs="Arial"/>
                <w:kern w:val="28"/>
                <w:sz w:val="22"/>
                <w:lang w:eastAsia="en-AU"/>
              </w:rPr>
              <w:fldChar w:fldCharType="separate"/>
            </w:r>
            <w:r>
              <w:rPr>
                <w:rFonts w:ascii="Arial" w:eastAsia="Times New Roman" w:hAnsi="Arial" w:cs="Arial"/>
                <w:noProof/>
                <w:kern w:val="28"/>
                <w:sz w:val="22"/>
                <w:lang w:eastAsia="en-AU"/>
              </w:rPr>
              <w:t>72,370</w:t>
            </w:r>
            <w:r w:rsidRPr="00DD3B67">
              <w:rPr>
                <w:rFonts w:ascii="Arial" w:eastAsia="Times New Roman" w:hAnsi="Arial" w:cs="Arial"/>
                <w:kern w:val="28"/>
                <w:sz w:val="22"/>
                <w:lang w:eastAsia="en-AU"/>
              </w:rPr>
              <w:fldChar w:fldCharType="end"/>
            </w:r>
          </w:p>
        </w:tc>
        <w:tc>
          <w:tcPr>
            <w:tcW w:w="1418" w:type="dxa"/>
            <w:tcBorders>
              <w:top w:val="single" w:sz="4" w:space="0" w:color="E0DCCB" w:themeColor="accent4" w:themeTint="66"/>
              <w:bottom w:val="single" w:sz="4" w:space="0" w:color="E0DCCB" w:themeColor="accent4" w:themeTint="66"/>
            </w:tcBorders>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=SUM(ABOVE) </w:instrText>
            </w:r>
            <w:r w:rsidRPr="00DD3B67">
              <w:rPr>
                <w:rFonts w:ascii="Arial" w:eastAsia="Times New Roman" w:hAnsi="Arial" w:cs="Arial"/>
                <w:kern w:val="28"/>
                <w:sz w:val="22"/>
                <w:lang w:eastAsia="en-AU"/>
              </w:rPr>
              <w:fldChar w:fldCharType="separate"/>
            </w:r>
            <w:r w:rsidRPr="00DD3B67">
              <w:rPr>
                <w:rFonts w:ascii="Arial" w:eastAsia="Times New Roman" w:hAnsi="Arial" w:cs="Arial"/>
                <w:noProof/>
                <w:kern w:val="28"/>
                <w:sz w:val="22"/>
                <w:lang w:eastAsia="en-AU"/>
              </w:rPr>
              <w:t>101,061</w:t>
            </w:r>
            <w:r w:rsidRPr="00DD3B67">
              <w:rPr>
                <w:rFonts w:ascii="Arial" w:eastAsia="Times New Roman" w:hAnsi="Arial" w:cs="Arial"/>
                <w:kern w:val="28"/>
                <w:sz w:val="22"/>
                <w:lang w:eastAsia="en-AU"/>
              </w:rPr>
              <w:fldChar w:fldCharType="end"/>
            </w:r>
          </w:p>
        </w:tc>
      </w:tr>
      <w:tr w:rsidR="002C2302" w:rsidRPr="00DD3B67" w:rsidTr="00127018">
        <w:tc>
          <w:tcPr>
            <w:tcW w:w="5529" w:type="dxa"/>
          </w:tcPr>
          <w:p w:rsidR="002C2302" w:rsidRPr="00DD3B67" w:rsidRDefault="002C2302" w:rsidP="005D0E7C">
            <w:pPr>
              <w:pStyle w:val="Body"/>
              <w:spacing w:before="80"/>
              <w:ind w:left="176"/>
              <w:rPr>
                <w:sz w:val="22"/>
              </w:rPr>
            </w:pPr>
            <w:r w:rsidRPr="00DD3B67">
              <w:rPr>
                <w:rFonts w:ascii="Arial" w:eastAsia="Times New Roman" w:hAnsi="Arial" w:cs="Arial"/>
                <w:kern w:val="28"/>
                <w:sz w:val="22"/>
                <w:u w:val="single"/>
                <w:lang w:eastAsia="en-AU"/>
              </w:rPr>
              <w:t>Marine equipment</w:t>
            </w:r>
          </w:p>
        </w:tc>
        <w:tc>
          <w:tcPr>
            <w:tcW w:w="1418" w:type="dxa"/>
            <w:tcBorders>
              <w:top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sz w:val="22"/>
              </w:rPr>
            </w:pPr>
          </w:p>
        </w:tc>
        <w:tc>
          <w:tcPr>
            <w:tcW w:w="1418" w:type="dxa"/>
            <w:tcBorders>
              <w:top w:val="single" w:sz="4" w:space="0" w:color="E0DCCB" w:themeColor="accent4" w:themeTint="66"/>
            </w:tcBorders>
          </w:tcPr>
          <w:p w:rsidR="002C2302" w:rsidRPr="00DD3B67" w:rsidRDefault="002C2302" w:rsidP="002C2302">
            <w:pPr>
              <w:pStyle w:val="Body"/>
              <w:spacing w:before="80"/>
              <w:ind w:left="0"/>
              <w:jc w:val="right"/>
              <w:rPr>
                <w:sz w:val="22"/>
              </w:rPr>
            </w:pPr>
          </w:p>
        </w:tc>
      </w:tr>
      <w:tr w:rsidR="002C2302" w:rsidRPr="00DD3B67" w:rsidTr="00127018">
        <w:tc>
          <w:tcPr>
            <w:tcW w:w="5529" w:type="dxa"/>
          </w:tcPr>
          <w:p w:rsidR="002C2302" w:rsidRPr="00DD3B67" w:rsidRDefault="002C2302" w:rsidP="005D0E7C">
            <w:pPr>
              <w:pStyle w:val="Body"/>
              <w:spacing w:before="80"/>
              <w:ind w:left="176"/>
              <w:rPr>
                <w:sz w:val="22"/>
              </w:rPr>
            </w:pPr>
            <w:r w:rsidRPr="00DD3B67">
              <w:rPr>
                <w:rFonts w:ascii="Arial" w:eastAsia="Times New Roman" w:hAnsi="Arial" w:cs="Arial"/>
                <w:kern w:val="28"/>
                <w:sz w:val="22"/>
                <w:lang w:eastAsia="en-AU"/>
              </w:rPr>
              <w:t>At cost</w:t>
            </w:r>
          </w:p>
        </w:tc>
        <w:tc>
          <w:tcPr>
            <w:tcW w:w="1418" w:type="dxa"/>
            <w:shd w:val="clear" w:color="auto" w:fill="E0DCCB" w:themeFill="accent4" w:themeFillTint="66"/>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16,342</w:t>
            </w:r>
          </w:p>
        </w:tc>
        <w:tc>
          <w:tcPr>
            <w:tcW w:w="1418" w:type="dxa"/>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288,851</w:t>
            </w:r>
          </w:p>
        </w:tc>
      </w:tr>
      <w:tr w:rsidR="002C2302" w:rsidRPr="00DD3B67" w:rsidTr="00127018">
        <w:tc>
          <w:tcPr>
            <w:tcW w:w="5529" w:type="dxa"/>
          </w:tcPr>
          <w:p w:rsidR="002C2302" w:rsidRPr="00DD3B67" w:rsidRDefault="002C2302" w:rsidP="005D0E7C">
            <w:pPr>
              <w:pStyle w:val="Body"/>
              <w:spacing w:before="80"/>
              <w:ind w:left="176"/>
              <w:rPr>
                <w:sz w:val="22"/>
              </w:rPr>
            </w:pPr>
            <w:r w:rsidRPr="00DD3B67">
              <w:rPr>
                <w:rFonts w:ascii="Arial" w:eastAsia="Times New Roman" w:hAnsi="Arial" w:cs="Arial"/>
                <w:kern w:val="28"/>
                <w:sz w:val="22"/>
                <w:lang w:eastAsia="en-AU"/>
              </w:rPr>
              <w:t>Accumulated depreciation</w:t>
            </w:r>
          </w:p>
        </w:tc>
        <w:tc>
          <w:tcPr>
            <w:tcW w:w="1418" w:type="dxa"/>
            <w:tcBorders>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w:t>
            </w:r>
            <w:r>
              <w:rPr>
                <w:rFonts w:ascii="Arial" w:eastAsia="Times New Roman" w:hAnsi="Arial" w:cs="Arial"/>
                <w:kern w:val="28"/>
                <w:sz w:val="22"/>
                <w:lang w:eastAsia="en-AU"/>
              </w:rPr>
              <w:t>7,678</w:t>
            </w:r>
            <w:r w:rsidRPr="00DD3B67">
              <w:rPr>
                <w:rFonts w:ascii="Arial" w:eastAsia="Times New Roman" w:hAnsi="Arial" w:cs="Arial"/>
                <w:kern w:val="28"/>
                <w:sz w:val="22"/>
                <w:lang w:eastAsia="en-AU"/>
              </w:rPr>
              <w:t>)</w:t>
            </w:r>
          </w:p>
        </w:tc>
        <w:tc>
          <w:tcPr>
            <w:tcW w:w="1418" w:type="dxa"/>
            <w:tcBorders>
              <w:bottom w:val="single" w:sz="4" w:space="0" w:color="E0DCCB" w:themeColor="accent4" w:themeTint="66"/>
            </w:tcBorders>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(157,218)</w:t>
            </w:r>
          </w:p>
        </w:tc>
      </w:tr>
      <w:tr w:rsidR="002C2302" w:rsidRPr="00DD3B67" w:rsidTr="00127018">
        <w:tc>
          <w:tcPr>
            <w:tcW w:w="5529" w:type="dxa"/>
          </w:tcPr>
          <w:p w:rsidR="002C2302" w:rsidRPr="00DD3B67" w:rsidRDefault="002C2302" w:rsidP="005D0E7C">
            <w:pPr>
              <w:pStyle w:val="Body"/>
              <w:spacing w:before="80"/>
              <w:ind w:left="176"/>
              <w:rPr>
                <w:sz w:val="22"/>
              </w:rPr>
            </w:pPr>
          </w:p>
        </w:tc>
        <w:tc>
          <w:tcPr>
            <w:tcW w:w="1418" w:type="dxa"/>
            <w:tcBorders>
              <w:top w:val="single" w:sz="4" w:space="0" w:color="FFFFFF" w:themeColor="background1"/>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=SUM(ABOVE) </w:instrText>
            </w:r>
            <w:r w:rsidRPr="00DD3B67">
              <w:rPr>
                <w:rFonts w:ascii="Arial" w:eastAsia="Times New Roman" w:hAnsi="Arial" w:cs="Arial"/>
                <w:kern w:val="28"/>
                <w:sz w:val="22"/>
                <w:lang w:eastAsia="en-AU"/>
              </w:rPr>
              <w:fldChar w:fldCharType="separate"/>
            </w:r>
            <w:r>
              <w:rPr>
                <w:rFonts w:ascii="Arial" w:eastAsia="Times New Roman" w:hAnsi="Arial" w:cs="Arial"/>
                <w:noProof/>
                <w:kern w:val="28"/>
                <w:sz w:val="22"/>
                <w:lang w:eastAsia="en-AU"/>
              </w:rPr>
              <w:t>8,664</w:t>
            </w:r>
            <w:r w:rsidRPr="00DD3B67">
              <w:rPr>
                <w:rFonts w:ascii="Arial" w:eastAsia="Times New Roman" w:hAnsi="Arial" w:cs="Arial"/>
                <w:kern w:val="28"/>
                <w:sz w:val="22"/>
                <w:lang w:eastAsia="en-AU"/>
              </w:rPr>
              <w:fldChar w:fldCharType="end"/>
            </w:r>
          </w:p>
        </w:tc>
        <w:tc>
          <w:tcPr>
            <w:tcW w:w="1418" w:type="dxa"/>
            <w:tcBorders>
              <w:top w:val="single" w:sz="4" w:space="0" w:color="E0DCCB" w:themeColor="accent4" w:themeTint="66"/>
              <w:bottom w:val="single" w:sz="4" w:space="0" w:color="E0DCCB" w:themeColor="accent4" w:themeTint="66"/>
            </w:tcBorders>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=SUM(ABOVE) </w:instrText>
            </w:r>
            <w:r w:rsidRPr="00DD3B67">
              <w:rPr>
                <w:rFonts w:ascii="Arial" w:eastAsia="Times New Roman" w:hAnsi="Arial" w:cs="Arial"/>
                <w:kern w:val="28"/>
                <w:sz w:val="22"/>
                <w:lang w:eastAsia="en-AU"/>
              </w:rPr>
              <w:fldChar w:fldCharType="separate"/>
            </w:r>
            <w:r w:rsidRPr="00DD3B67">
              <w:rPr>
                <w:rFonts w:ascii="Arial" w:eastAsia="Times New Roman" w:hAnsi="Arial" w:cs="Arial"/>
                <w:noProof/>
                <w:kern w:val="28"/>
                <w:sz w:val="22"/>
                <w:lang w:eastAsia="en-AU"/>
              </w:rPr>
              <w:t>131,633</w:t>
            </w:r>
            <w:r w:rsidRPr="00DD3B67">
              <w:rPr>
                <w:rFonts w:ascii="Arial" w:eastAsia="Times New Roman" w:hAnsi="Arial" w:cs="Arial"/>
                <w:kern w:val="28"/>
                <w:sz w:val="22"/>
                <w:lang w:eastAsia="en-AU"/>
              </w:rPr>
              <w:fldChar w:fldCharType="end"/>
            </w:r>
          </w:p>
        </w:tc>
      </w:tr>
      <w:tr w:rsidR="002C2302" w:rsidRPr="0097217C" w:rsidTr="00127018">
        <w:tc>
          <w:tcPr>
            <w:tcW w:w="5529" w:type="dxa"/>
          </w:tcPr>
          <w:p w:rsidR="002C2302" w:rsidRPr="00DD3B67" w:rsidRDefault="002C2302" w:rsidP="005D0E7C">
            <w:pPr>
              <w:pStyle w:val="Body"/>
              <w:spacing w:before="80"/>
              <w:ind w:left="176"/>
              <w:rPr>
                <w:sz w:val="22"/>
              </w:rPr>
            </w:pPr>
            <w:r w:rsidRPr="00DD3B67">
              <w:rPr>
                <w:rFonts w:ascii="Arial" w:eastAsia="Times New Roman" w:hAnsi="Arial" w:cs="Arial"/>
                <w:kern w:val="28"/>
                <w:sz w:val="22"/>
                <w:u w:val="single"/>
                <w:lang w:eastAsia="en-AU"/>
              </w:rPr>
              <w:t>Other plant and equipment</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vAlign w:val="bottom"/>
          </w:tcPr>
          <w:p w:rsidR="002C2302" w:rsidRPr="00DD3B67" w:rsidRDefault="002C2302" w:rsidP="002C2302">
            <w:pPr>
              <w:pStyle w:val="Body"/>
              <w:spacing w:before="80"/>
              <w:ind w:left="0"/>
              <w:jc w:val="right"/>
              <w:rPr>
                <w:sz w:val="22"/>
              </w:rPr>
            </w:pPr>
          </w:p>
        </w:tc>
      </w:tr>
      <w:tr w:rsidR="002C2302" w:rsidRPr="0097217C" w:rsidTr="00127018">
        <w:tc>
          <w:tcPr>
            <w:tcW w:w="5529" w:type="dxa"/>
          </w:tcPr>
          <w:p w:rsidR="002C2302" w:rsidRPr="00DD3B67" w:rsidRDefault="002C2302" w:rsidP="005D0E7C">
            <w:pPr>
              <w:pStyle w:val="Body"/>
              <w:spacing w:before="80"/>
              <w:ind w:left="176"/>
              <w:rPr>
                <w:sz w:val="22"/>
              </w:rPr>
            </w:pPr>
            <w:r w:rsidRPr="00DD3B67">
              <w:rPr>
                <w:rFonts w:ascii="Arial" w:eastAsia="Times New Roman" w:hAnsi="Arial" w:cs="Arial"/>
                <w:kern w:val="28"/>
                <w:sz w:val="22"/>
                <w:lang w:eastAsia="en-AU"/>
              </w:rPr>
              <w:t>At cost</w:t>
            </w:r>
          </w:p>
        </w:tc>
        <w:tc>
          <w:tcPr>
            <w:tcW w:w="1418" w:type="dxa"/>
            <w:shd w:val="clear" w:color="auto" w:fill="E0DCCB" w:themeFill="accent4" w:themeFillTint="66"/>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117,092</w:t>
            </w:r>
          </w:p>
        </w:tc>
        <w:tc>
          <w:tcPr>
            <w:tcW w:w="1418" w:type="dxa"/>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101,163</w:t>
            </w:r>
          </w:p>
        </w:tc>
      </w:tr>
      <w:tr w:rsidR="002C2302" w:rsidRPr="0097217C" w:rsidTr="00127018">
        <w:tc>
          <w:tcPr>
            <w:tcW w:w="5529" w:type="dxa"/>
          </w:tcPr>
          <w:p w:rsidR="002C2302" w:rsidRPr="00DD3B67" w:rsidRDefault="002C2302" w:rsidP="005D0E7C">
            <w:pPr>
              <w:pStyle w:val="Body"/>
              <w:spacing w:before="80"/>
              <w:ind w:left="176"/>
              <w:rPr>
                <w:sz w:val="22"/>
              </w:rPr>
            </w:pPr>
            <w:r w:rsidRPr="00DD3B67">
              <w:rPr>
                <w:rFonts w:ascii="Arial" w:eastAsia="Times New Roman" w:hAnsi="Arial" w:cs="Arial"/>
                <w:kern w:val="28"/>
                <w:sz w:val="22"/>
                <w:lang w:eastAsia="en-AU"/>
              </w:rPr>
              <w:lastRenderedPageBreak/>
              <w:t>Accumulated depreciation</w:t>
            </w:r>
          </w:p>
        </w:tc>
        <w:tc>
          <w:tcPr>
            <w:tcW w:w="1418" w:type="dxa"/>
            <w:tcBorders>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w:t>
            </w:r>
            <w:r>
              <w:rPr>
                <w:rFonts w:ascii="Arial" w:eastAsia="Times New Roman" w:hAnsi="Arial" w:cs="Arial"/>
                <w:kern w:val="28"/>
                <w:sz w:val="22"/>
                <w:lang w:eastAsia="en-AU"/>
              </w:rPr>
              <w:t>35,852</w:t>
            </w:r>
            <w:r w:rsidRPr="00DD3B67">
              <w:rPr>
                <w:rFonts w:ascii="Arial" w:eastAsia="Times New Roman" w:hAnsi="Arial" w:cs="Arial"/>
                <w:kern w:val="28"/>
                <w:sz w:val="22"/>
                <w:lang w:eastAsia="en-AU"/>
              </w:rPr>
              <w:t>)</w:t>
            </w:r>
          </w:p>
        </w:tc>
        <w:tc>
          <w:tcPr>
            <w:tcW w:w="1418" w:type="dxa"/>
            <w:tcBorders>
              <w:bottom w:val="single" w:sz="4" w:space="0" w:color="E0DCCB" w:themeColor="accent4" w:themeTint="66"/>
            </w:tcBorders>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(20,347)</w:t>
            </w:r>
          </w:p>
        </w:tc>
      </w:tr>
      <w:tr w:rsidR="002C2302" w:rsidRPr="0097217C" w:rsidTr="00127018">
        <w:tc>
          <w:tcPr>
            <w:tcW w:w="5529" w:type="dxa"/>
          </w:tcPr>
          <w:p w:rsidR="002C2302" w:rsidRPr="00DD3B67" w:rsidRDefault="002C2302" w:rsidP="002C2302">
            <w:pPr>
              <w:pStyle w:val="Body"/>
              <w:spacing w:before="80"/>
              <w:ind w:left="-108"/>
              <w:rPr>
                <w:sz w:val="22"/>
              </w:rPr>
            </w:pPr>
          </w:p>
        </w:tc>
        <w:tc>
          <w:tcPr>
            <w:tcW w:w="1418" w:type="dxa"/>
            <w:tcBorders>
              <w:top w:val="single" w:sz="4" w:space="0" w:color="FFFFFF" w:themeColor="background1"/>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=SUM(ABOVE) </w:instrText>
            </w:r>
            <w:r w:rsidRPr="00DD3B67">
              <w:rPr>
                <w:rFonts w:ascii="Arial" w:eastAsia="Times New Roman" w:hAnsi="Arial" w:cs="Arial"/>
                <w:kern w:val="28"/>
                <w:sz w:val="22"/>
                <w:lang w:eastAsia="en-AU"/>
              </w:rPr>
              <w:fldChar w:fldCharType="separate"/>
            </w:r>
            <w:r>
              <w:rPr>
                <w:rFonts w:ascii="Arial" w:eastAsia="Times New Roman" w:hAnsi="Arial" w:cs="Arial"/>
                <w:noProof/>
                <w:kern w:val="28"/>
                <w:sz w:val="22"/>
                <w:lang w:eastAsia="en-AU"/>
              </w:rPr>
              <w:t>81,240</w:t>
            </w:r>
            <w:r w:rsidRPr="00DD3B67">
              <w:rPr>
                <w:rFonts w:ascii="Arial" w:eastAsia="Times New Roman" w:hAnsi="Arial" w:cs="Arial"/>
                <w:kern w:val="28"/>
                <w:sz w:val="22"/>
                <w:lang w:eastAsia="en-AU"/>
              </w:rPr>
              <w:fldChar w:fldCharType="end"/>
            </w:r>
          </w:p>
        </w:tc>
        <w:tc>
          <w:tcPr>
            <w:tcW w:w="1418" w:type="dxa"/>
            <w:tcBorders>
              <w:top w:val="single" w:sz="4" w:space="0" w:color="E0DCCB" w:themeColor="accent4" w:themeTint="66"/>
              <w:bottom w:val="single" w:sz="4" w:space="0" w:color="E0DCCB" w:themeColor="accent4" w:themeTint="66"/>
            </w:tcBorders>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=SUM(ABOVE) </w:instrText>
            </w:r>
            <w:r w:rsidRPr="00DD3B67">
              <w:rPr>
                <w:rFonts w:ascii="Arial" w:eastAsia="Times New Roman" w:hAnsi="Arial" w:cs="Arial"/>
                <w:kern w:val="28"/>
                <w:sz w:val="22"/>
                <w:lang w:eastAsia="en-AU"/>
              </w:rPr>
              <w:fldChar w:fldCharType="separate"/>
            </w:r>
            <w:r w:rsidRPr="00DD3B67">
              <w:rPr>
                <w:rFonts w:ascii="Arial" w:eastAsia="Times New Roman" w:hAnsi="Arial" w:cs="Arial"/>
                <w:noProof/>
                <w:kern w:val="28"/>
                <w:sz w:val="22"/>
                <w:lang w:eastAsia="en-AU"/>
              </w:rPr>
              <w:t>80,816</w:t>
            </w:r>
            <w:r w:rsidRPr="00DD3B67">
              <w:rPr>
                <w:rFonts w:ascii="Arial" w:eastAsia="Times New Roman" w:hAnsi="Arial" w:cs="Arial"/>
                <w:kern w:val="28"/>
                <w:sz w:val="22"/>
                <w:lang w:eastAsia="en-AU"/>
              </w:rPr>
              <w:fldChar w:fldCharType="end"/>
            </w:r>
          </w:p>
        </w:tc>
      </w:tr>
      <w:tr w:rsidR="002C2302" w:rsidRPr="0097217C" w:rsidTr="00127018">
        <w:tc>
          <w:tcPr>
            <w:tcW w:w="5529" w:type="dxa"/>
          </w:tcPr>
          <w:p w:rsidR="002C2302" w:rsidRPr="00DD3B67" w:rsidRDefault="002C2302" w:rsidP="002C2302">
            <w:pPr>
              <w:pStyle w:val="Body"/>
              <w:spacing w:before="80"/>
              <w:ind w:left="-108"/>
              <w:rPr>
                <w:sz w:val="22"/>
              </w:rPr>
            </w:pPr>
          </w:p>
        </w:tc>
        <w:tc>
          <w:tcPr>
            <w:tcW w:w="1418" w:type="dxa"/>
            <w:tcBorders>
              <w:top w:val="single" w:sz="4" w:space="0" w:color="FFFFFF" w:themeColor="background1"/>
              <w:bottom w:val="single" w:sz="4" w:space="0" w:color="B2A97E" w:themeColor="accent4"/>
            </w:tcBorders>
            <w:shd w:val="clear" w:color="auto" w:fill="E0DCCB" w:themeFill="accent4" w:themeFillTint="66"/>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b/>
                <w:kern w:val="28"/>
                <w:sz w:val="22"/>
                <w:lang w:eastAsia="en-AU"/>
              </w:rPr>
              <w:t>162,274</w:t>
            </w:r>
          </w:p>
        </w:tc>
        <w:tc>
          <w:tcPr>
            <w:tcW w:w="1418" w:type="dxa"/>
            <w:tcBorders>
              <w:top w:val="single" w:sz="4" w:space="0" w:color="E0DCCB" w:themeColor="accent4" w:themeTint="66"/>
              <w:bottom w:val="single" w:sz="4" w:space="0" w:color="B2A97E" w:themeColor="accent4"/>
            </w:tcBorders>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b/>
                <w:kern w:val="28"/>
                <w:sz w:val="22"/>
                <w:lang w:eastAsia="en-AU"/>
              </w:rPr>
              <w:t>313,510</w:t>
            </w:r>
          </w:p>
        </w:tc>
      </w:tr>
    </w:tbl>
    <w:p w:rsidR="002C2302" w:rsidRPr="005D6BC7" w:rsidRDefault="002C2302" w:rsidP="00B44358">
      <w:pPr>
        <w:pStyle w:val="Financialsheading4"/>
      </w:pPr>
      <w:r w:rsidRPr="005D6BC7">
        <w:t>Reconciliation of plant and equipment</w:t>
      </w:r>
    </w:p>
    <w:p w:rsidR="002C2302" w:rsidRPr="00DD3B67" w:rsidRDefault="002C2302" w:rsidP="005D0E7C">
      <w:pPr>
        <w:pStyle w:val="Financialnotes"/>
      </w:pPr>
      <w:r w:rsidRPr="00DD3B67">
        <w:t>Reconciliations of the carrying amounts of plant and equipment at the beginning and end of the reporting period are set out below.</w:t>
      </w:r>
    </w:p>
    <w:tbl>
      <w:tblPr>
        <w:tblStyle w:val="TableGrid"/>
        <w:tblW w:w="8364"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77"/>
        <w:gridCol w:w="1460"/>
        <w:gridCol w:w="1298"/>
        <w:gridCol w:w="65"/>
        <w:gridCol w:w="1399"/>
        <w:gridCol w:w="1165"/>
      </w:tblGrid>
      <w:tr w:rsidR="002C2302" w:rsidRPr="00DD3B67" w:rsidTr="009A7D13">
        <w:tc>
          <w:tcPr>
            <w:tcW w:w="2977" w:type="dxa"/>
          </w:tcPr>
          <w:p w:rsidR="002C2302" w:rsidRPr="00DD3B67" w:rsidRDefault="002C2302" w:rsidP="002C2302">
            <w:pPr>
              <w:pStyle w:val="Body"/>
              <w:spacing w:before="80"/>
              <w:ind w:left="34"/>
              <w:rPr>
                <w:sz w:val="22"/>
              </w:rPr>
            </w:pPr>
          </w:p>
        </w:tc>
        <w:tc>
          <w:tcPr>
            <w:tcW w:w="1460"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rFonts w:ascii="Arial" w:eastAsia="Times New Roman" w:hAnsi="Arial" w:cs="Arial"/>
                <w:b/>
                <w:kern w:val="28"/>
                <w:sz w:val="22"/>
                <w:lang w:eastAsia="en-AU"/>
              </w:rPr>
              <w:t>Information technology</w:t>
            </w:r>
            <w:r w:rsidRPr="00DD3B67">
              <w:rPr>
                <w:rFonts w:ascii="Arial" w:eastAsia="Times New Roman" w:hAnsi="Arial" w:cs="Arial"/>
                <w:b/>
                <w:kern w:val="28"/>
                <w:sz w:val="22"/>
                <w:lang w:eastAsia="en-AU"/>
              </w:rPr>
              <w:br/>
            </w:r>
          </w:p>
        </w:tc>
        <w:tc>
          <w:tcPr>
            <w:tcW w:w="1363" w:type="dxa"/>
            <w:gridSpan w:val="2"/>
            <w:shd w:val="clear" w:color="auto" w:fill="E0DCCB" w:themeFill="accent4" w:themeFillTint="66"/>
          </w:tcPr>
          <w:p w:rsidR="002C2302" w:rsidRPr="00DD3B67" w:rsidRDefault="002C2302" w:rsidP="002C2302">
            <w:pPr>
              <w:pStyle w:val="Body"/>
              <w:spacing w:before="80"/>
              <w:ind w:left="34"/>
              <w:jc w:val="center"/>
              <w:rPr>
                <w:b/>
                <w:sz w:val="22"/>
              </w:rPr>
            </w:pPr>
            <w:r w:rsidRPr="00DD3B67">
              <w:rPr>
                <w:rFonts w:ascii="Arial" w:eastAsia="Times New Roman" w:hAnsi="Arial" w:cs="Arial"/>
                <w:b/>
                <w:kern w:val="28"/>
                <w:sz w:val="22"/>
                <w:lang w:eastAsia="en-AU"/>
              </w:rPr>
              <w:t>Marine equipment</w:t>
            </w:r>
            <w:r w:rsidRPr="00DD3B67">
              <w:rPr>
                <w:rFonts w:ascii="Arial" w:eastAsia="Times New Roman" w:hAnsi="Arial" w:cs="Arial"/>
                <w:b/>
                <w:kern w:val="28"/>
                <w:sz w:val="22"/>
                <w:lang w:eastAsia="en-AU"/>
              </w:rPr>
              <w:br/>
            </w:r>
          </w:p>
        </w:tc>
        <w:tc>
          <w:tcPr>
            <w:tcW w:w="1399"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rFonts w:ascii="Arial" w:eastAsia="Times New Roman" w:hAnsi="Arial" w:cs="Arial"/>
                <w:b/>
                <w:kern w:val="28"/>
                <w:sz w:val="22"/>
                <w:lang w:eastAsia="en-AU"/>
              </w:rPr>
              <w:t>Other plant and equipment</w:t>
            </w:r>
          </w:p>
        </w:tc>
        <w:tc>
          <w:tcPr>
            <w:tcW w:w="1165"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rFonts w:ascii="Arial" w:eastAsia="Times New Roman" w:hAnsi="Arial" w:cs="Arial"/>
                <w:b/>
                <w:kern w:val="28"/>
                <w:sz w:val="22"/>
                <w:lang w:eastAsia="en-AU"/>
              </w:rPr>
              <w:t>Total</w:t>
            </w:r>
            <w:r w:rsidRPr="00DD3B67">
              <w:rPr>
                <w:b/>
                <w:sz w:val="22"/>
              </w:rPr>
              <w:br/>
            </w:r>
          </w:p>
        </w:tc>
      </w:tr>
      <w:tr w:rsidR="002C2302" w:rsidRPr="00DD3B67" w:rsidTr="009A7D13">
        <w:tc>
          <w:tcPr>
            <w:tcW w:w="2977" w:type="dxa"/>
          </w:tcPr>
          <w:p w:rsidR="002C2302" w:rsidRPr="00DD3B67" w:rsidRDefault="002C2302" w:rsidP="002C2302">
            <w:pPr>
              <w:pStyle w:val="Body"/>
              <w:spacing w:before="80"/>
              <w:ind w:left="34"/>
              <w:rPr>
                <w:sz w:val="22"/>
              </w:rPr>
            </w:pPr>
          </w:p>
        </w:tc>
        <w:tc>
          <w:tcPr>
            <w:tcW w:w="1460" w:type="dxa"/>
            <w:shd w:val="clear" w:color="auto" w:fill="E0DCCB" w:themeFill="accent4" w:themeFillTint="66"/>
          </w:tcPr>
          <w:p w:rsidR="002C2302" w:rsidRPr="00DD3B67" w:rsidRDefault="002C2302" w:rsidP="002C2302">
            <w:pPr>
              <w:pStyle w:val="Body"/>
              <w:spacing w:before="80"/>
              <w:ind w:left="34"/>
              <w:jc w:val="center"/>
              <w:rPr>
                <w:rFonts w:ascii="Arial" w:eastAsia="Times New Roman" w:hAnsi="Arial" w:cs="Arial"/>
                <w:b/>
                <w:kern w:val="28"/>
                <w:sz w:val="22"/>
                <w:lang w:eastAsia="en-AU"/>
              </w:rPr>
            </w:pPr>
            <w:r w:rsidRPr="00DD3B67">
              <w:rPr>
                <w:b/>
                <w:sz w:val="22"/>
              </w:rPr>
              <w:t>$</w:t>
            </w:r>
          </w:p>
        </w:tc>
        <w:tc>
          <w:tcPr>
            <w:tcW w:w="1363" w:type="dxa"/>
            <w:gridSpan w:val="2"/>
            <w:shd w:val="clear" w:color="auto" w:fill="E0DCCB" w:themeFill="accent4" w:themeFillTint="66"/>
          </w:tcPr>
          <w:p w:rsidR="002C2302" w:rsidRPr="00DD3B67" w:rsidRDefault="002C2302" w:rsidP="002C2302">
            <w:pPr>
              <w:pStyle w:val="Body"/>
              <w:spacing w:before="80"/>
              <w:ind w:left="34"/>
              <w:jc w:val="center"/>
              <w:rPr>
                <w:rFonts w:ascii="Arial" w:eastAsia="Times New Roman" w:hAnsi="Arial" w:cs="Arial"/>
                <w:b/>
                <w:kern w:val="28"/>
                <w:sz w:val="22"/>
                <w:lang w:eastAsia="en-AU"/>
              </w:rPr>
            </w:pPr>
            <w:r w:rsidRPr="00DD3B67">
              <w:rPr>
                <w:b/>
                <w:sz w:val="22"/>
              </w:rPr>
              <w:t>$</w:t>
            </w:r>
          </w:p>
        </w:tc>
        <w:tc>
          <w:tcPr>
            <w:tcW w:w="1399" w:type="dxa"/>
            <w:shd w:val="clear" w:color="auto" w:fill="E0DCCB" w:themeFill="accent4" w:themeFillTint="66"/>
          </w:tcPr>
          <w:p w:rsidR="002C2302" w:rsidRPr="00DD3B67" w:rsidRDefault="002C2302" w:rsidP="002C2302">
            <w:pPr>
              <w:pStyle w:val="Body"/>
              <w:spacing w:before="80"/>
              <w:ind w:left="34"/>
              <w:jc w:val="center"/>
              <w:rPr>
                <w:rFonts w:ascii="Arial" w:eastAsia="Times New Roman" w:hAnsi="Arial" w:cs="Arial"/>
                <w:b/>
                <w:kern w:val="28"/>
                <w:sz w:val="22"/>
                <w:lang w:eastAsia="en-AU"/>
              </w:rPr>
            </w:pPr>
            <w:r w:rsidRPr="00DD3B67">
              <w:rPr>
                <w:b/>
                <w:sz w:val="22"/>
              </w:rPr>
              <w:t>$</w:t>
            </w:r>
          </w:p>
        </w:tc>
        <w:tc>
          <w:tcPr>
            <w:tcW w:w="1165" w:type="dxa"/>
            <w:shd w:val="clear" w:color="auto" w:fill="E0DCCB" w:themeFill="accent4" w:themeFillTint="66"/>
          </w:tcPr>
          <w:p w:rsidR="002C2302" w:rsidRPr="00DD3B67" w:rsidRDefault="002C2302" w:rsidP="002C2302">
            <w:pPr>
              <w:pStyle w:val="Body"/>
              <w:spacing w:before="80"/>
              <w:ind w:left="34"/>
              <w:jc w:val="center"/>
              <w:rPr>
                <w:rFonts w:ascii="Arial" w:eastAsia="Times New Roman" w:hAnsi="Arial" w:cs="Arial"/>
                <w:b/>
                <w:kern w:val="28"/>
                <w:sz w:val="22"/>
                <w:lang w:eastAsia="en-AU"/>
              </w:rPr>
            </w:pPr>
            <w:r w:rsidRPr="00DD3B67">
              <w:rPr>
                <w:b/>
                <w:sz w:val="22"/>
              </w:rPr>
              <w:t>$</w:t>
            </w:r>
          </w:p>
        </w:tc>
      </w:tr>
      <w:tr w:rsidR="002C2302" w:rsidRPr="00DD3B67" w:rsidTr="009A7D13">
        <w:tc>
          <w:tcPr>
            <w:tcW w:w="2977" w:type="dxa"/>
          </w:tcPr>
          <w:p w:rsidR="002C2302" w:rsidRPr="00DD3B67" w:rsidRDefault="002C2302" w:rsidP="0056758B">
            <w:pPr>
              <w:pStyle w:val="Body"/>
              <w:spacing w:before="80"/>
              <w:ind w:left="176"/>
              <w:rPr>
                <w:b/>
                <w:sz w:val="22"/>
              </w:rPr>
            </w:pPr>
            <w:r w:rsidRPr="00DD3B67">
              <w:rPr>
                <w:rFonts w:ascii="Arial" w:eastAsia="Times New Roman" w:hAnsi="Arial" w:cs="Arial"/>
                <w:b/>
                <w:kern w:val="28"/>
                <w:sz w:val="22"/>
                <w:lang w:eastAsia="en-AU"/>
              </w:rPr>
              <w:t>201</w:t>
            </w:r>
            <w:r>
              <w:rPr>
                <w:rFonts w:ascii="Arial" w:eastAsia="Times New Roman" w:hAnsi="Arial" w:cs="Arial"/>
                <w:b/>
                <w:kern w:val="28"/>
                <w:sz w:val="22"/>
                <w:lang w:eastAsia="en-AU"/>
              </w:rPr>
              <w:t>5</w:t>
            </w:r>
          </w:p>
        </w:tc>
        <w:tc>
          <w:tcPr>
            <w:tcW w:w="1460" w:type="dxa"/>
            <w:shd w:val="clear" w:color="auto" w:fill="auto"/>
          </w:tcPr>
          <w:p w:rsidR="002C2302" w:rsidRPr="00DD3B67" w:rsidRDefault="002C2302" w:rsidP="002C2302">
            <w:pPr>
              <w:pStyle w:val="Body"/>
              <w:spacing w:before="80"/>
              <w:ind w:left="0"/>
              <w:jc w:val="right"/>
              <w:rPr>
                <w:sz w:val="22"/>
              </w:rPr>
            </w:pPr>
          </w:p>
        </w:tc>
        <w:tc>
          <w:tcPr>
            <w:tcW w:w="1363" w:type="dxa"/>
            <w:gridSpan w:val="2"/>
            <w:shd w:val="clear" w:color="auto" w:fill="auto"/>
          </w:tcPr>
          <w:p w:rsidR="002C2302" w:rsidRPr="00DD3B67" w:rsidRDefault="002C2302" w:rsidP="002C2302">
            <w:pPr>
              <w:pStyle w:val="Body"/>
              <w:spacing w:before="80"/>
              <w:ind w:left="0"/>
              <w:jc w:val="right"/>
              <w:rPr>
                <w:sz w:val="22"/>
              </w:rPr>
            </w:pPr>
          </w:p>
        </w:tc>
        <w:tc>
          <w:tcPr>
            <w:tcW w:w="1399" w:type="dxa"/>
            <w:shd w:val="clear" w:color="auto" w:fill="auto"/>
          </w:tcPr>
          <w:p w:rsidR="002C2302" w:rsidRPr="00DD3B67" w:rsidRDefault="002C2302" w:rsidP="002C2302">
            <w:pPr>
              <w:pStyle w:val="Body"/>
              <w:spacing w:before="80"/>
              <w:ind w:left="0"/>
              <w:jc w:val="right"/>
              <w:rPr>
                <w:sz w:val="22"/>
              </w:rPr>
            </w:pPr>
          </w:p>
        </w:tc>
        <w:tc>
          <w:tcPr>
            <w:tcW w:w="1165" w:type="dxa"/>
            <w:shd w:val="clear" w:color="auto" w:fill="E0DCCB" w:themeFill="accent4" w:themeFillTint="66"/>
          </w:tcPr>
          <w:p w:rsidR="002C2302" w:rsidRPr="00DD3B67" w:rsidRDefault="002C2302" w:rsidP="002C2302">
            <w:pPr>
              <w:pStyle w:val="Body"/>
              <w:spacing w:before="80"/>
              <w:ind w:left="0"/>
              <w:jc w:val="right"/>
              <w:rPr>
                <w:sz w:val="22"/>
              </w:rPr>
            </w:pPr>
          </w:p>
        </w:tc>
      </w:tr>
      <w:tr w:rsidR="002C2302" w:rsidRPr="00DD3B67" w:rsidTr="009A7D13">
        <w:tc>
          <w:tcPr>
            <w:tcW w:w="2977"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kern w:val="28"/>
                <w:sz w:val="22"/>
                <w:lang w:eastAsia="en-AU"/>
              </w:rPr>
              <w:t>Carrying amount at start of period</w:t>
            </w:r>
          </w:p>
        </w:tc>
        <w:tc>
          <w:tcPr>
            <w:tcW w:w="1460" w:type="dxa"/>
            <w:shd w:val="clear" w:color="auto" w:fill="auto"/>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sidRPr="00DD3B67">
              <w:rPr>
                <w:rFonts w:ascii="Arial" w:eastAsia="Times New Roman" w:hAnsi="Arial" w:cs="Arial"/>
                <w:b/>
                <w:noProof/>
                <w:kern w:val="28"/>
                <w:sz w:val="22"/>
                <w:lang w:eastAsia="en-AU"/>
              </w:rPr>
              <w:t>101,061</w:t>
            </w:r>
            <w:r w:rsidRPr="00DD3B67">
              <w:rPr>
                <w:rFonts w:ascii="Arial" w:eastAsia="Times New Roman" w:hAnsi="Arial" w:cs="Arial"/>
                <w:b/>
                <w:kern w:val="28"/>
                <w:sz w:val="22"/>
                <w:lang w:eastAsia="en-AU"/>
              </w:rPr>
              <w:fldChar w:fldCharType="end"/>
            </w:r>
          </w:p>
        </w:tc>
        <w:tc>
          <w:tcPr>
            <w:tcW w:w="1363" w:type="dxa"/>
            <w:gridSpan w:val="2"/>
            <w:shd w:val="clear" w:color="auto" w:fill="auto"/>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sidRPr="00DD3B67">
              <w:rPr>
                <w:rFonts w:ascii="Arial" w:eastAsia="Times New Roman" w:hAnsi="Arial" w:cs="Arial"/>
                <w:b/>
                <w:noProof/>
                <w:kern w:val="28"/>
                <w:sz w:val="22"/>
                <w:lang w:eastAsia="en-AU"/>
              </w:rPr>
              <w:t>131,633</w:t>
            </w:r>
            <w:r w:rsidRPr="00DD3B67">
              <w:rPr>
                <w:rFonts w:ascii="Arial" w:eastAsia="Times New Roman" w:hAnsi="Arial" w:cs="Arial"/>
                <w:b/>
                <w:kern w:val="28"/>
                <w:sz w:val="22"/>
                <w:lang w:eastAsia="en-AU"/>
              </w:rPr>
              <w:fldChar w:fldCharType="end"/>
            </w:r>
          </w:p>
        </w:tc>
        <w:tc>
          <w:tcPr>
            <w:tcW w:w="1399" w:type="dxa"/>
            <w:shd w:val="clear" w:color="auto" w:fill="auto"/>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sidRPr="00DD3B67">
              <w:rPr>
                <w:rFonts w:ascii="Arial" w:eastAsia="Times New Roman" w:hAnsi="Arial" w:cs="Arial"/>
                <w:b/>
                <w:noProof/>
                <w:kern w:val="28"/>
                <w:sz w:val="22"/>
                <w:lang w:eastAsia="en-AU"/>
              </w:rPr>
              <w:t>80,816</w:t>
            </w:r>
            <w:r w:rsidRPr="00DD3B67">
              <w:rPr>
                <w:rFonts w:ascii="Arial" w:eastAsia="Times New Roman" w:hAnsi="Arial" w:cs="Arial"/>
                <w:b/>
                <w:kern w:val="28"/>
                <w:sz w:val="22"/>
                <w:lang w:eastAsia="en-AU"/>
              </w:rPr>
              <w:fldChar w:fldCharType="end"/>
            </w:r>
          </w:p>
        </w:tc>
        <w:tc>
          <w:tcPr>
            <w:tcW w:w="1165" w:type="dxa"/>
            <w:shd w:val="clear" w:color="auto" w:fill="E0DCCB" w:themeFill="accent4" w:themeFillTint="66"/>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=SUM(LEFT) </w:instrText>
            </w:r>
            <w:r w:rsidRPr="00DD3B67">
              <w:rPr>
                <w:rFonts w:ascii="Arial" w:eastAsia="Times New Roman" w:hAnsi="Arial" w:cs="Arial"/>
                <w:kern w:val="28"/>
                <w:sz w:val="22"/>
                <w:lang w:eastAsia="en-AU"/>
              </w:rPr>
              <w:fldChar w:fldCharType="separate"/>
            </w:r>
            <w:r>
              <w:rPr>
                <w:rFonts w:ascii="Arial" w:eastAsia="Times New Roman" w:hAnsi="Arial" w:cs="Arial"/>
                <w:noProof/>
                <w:kern w:val="28"/>
                <w:sz w:val="22"/>
                <w:lang w:eastAsia="en-AU"/>
              </w:rPr>
              <w:t>313,510</w:t>
            </w:r>
            <w:r w:rsidRPr="00DD3B67">
              <w:rPr>
                <w:rFonts w:ascii="Arial" w:eastAsia="Times New Roman" w:hAnsi="Arial" w:cs="Arial"/>
                <w:kern w:val="28"/>
                <w:sz w:val="22"/>
                <w:lang w:eastAsia="en-AU"/>
              </w:rPr>
              <w:fldChar w:fldCharType="end"/>
            </w:r>
          </w:p>
        </w:tc>
      </w:tr>
      <w:tr w:rsidR="002C2302" w:rsidRPr="00DD3B67" w:rsidTr="009A7D13">
        <w:tc>
          <w:tcPr>
            <w:tcW w:w="2977"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kern w:val="28"/>
                <w:sz w:val="22"/>
                <w:lang w:eastAsia="en-AU"/>
              </w:rPr>
              <w:t>Additions</w:t>
            </w:r>
          </w:p>
        </w:tc>
        <w:tc>
          <w:tcPr>
            <w:tcW w:w="1460" w:type="dxa"/>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6,978</w:t>
            </w:r>
          </w:p>
        </w:tc>
        <w:tc>
          <w:tcPr>
            <w:tcW w:w="1363" w:type="dxa"/>
            <w:gridSpan w:val="2"/>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w:t>
            </w:r>
          </w:p>
        </w:tc>
        <w:tc>
          <w:tcPr>
            <w:tcW w:w="1399" w:type="dxa"/>
            <w:shd w:val="clear" w:color="auto" w:fill="auto"/>
            <w:vAlign w:val="bottom"/>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15,928</w:t>
            </w:r>
          </w:p>
        </w:tc>
        <w:tc>
          <w:tcPr>
            <w:tcW w:w="1165" w:type="dxa"/>
            <w:shd w:val="clear" w:color="auto" w:fill="E0DCCB" w:themeFill="accent4" w:themeFillTint="66"/>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22,906</w:t>
            </w:r>
          </w:p>
        </w:tc>
      </w:tr>
      <w:tr w:rsidR="002C2302" w:rsidRPr="00DD3B67" w:rsidTr="009A7D13">
        <w:tc>
          <w:tcPr>
            <w:tcW w:w="2977" w:type="dxa"/>
            <w:vAlign w:val="bottom"/>
          </w:tcPr>
          <w:p w:rsidR="002C2302" w:rsidRPr="00DD3B67" w:rsidRDefault="00880C4F" w:rsidP="0056758B">
            <w:pPr>
              <w:pStyle w:val="Body"/>
              <w:spacing w:before="80"/>
              <w:ind w:left="176"/>
              <w:rPr>
                <w:rFonts w:ascii="Arial" w:eastAsia="Times New Roman" w:hAnsi="Arial" w:cs="Arial"/>
                <w:kern w:val="28"/>
                <w:sz w:val="22"/>
                <w:lang w:eastAsia="en-AU"/>
              </w:rPr>
            </w:pPr>
            <w:r>
              <w:rPr>
                <w:rFonts w:ascii="Arial" w:eastAsia="Times New Roman" w:hAnsi="Arial" w:cs="Arial"/>
                <w:kern w:val="28"/>
                <w:sz w:val="22"/>
                <w:lang w:eastAsia="en-AU"/>
              </w:rPr>
              <w:t>D</w:t>
            </w:r>
            <w:r w:rsidR="002C2302">
              <w:rPr>
                <w:rFonts w:ascii="Arial" w:eastAsia="Times New Roman" w:hAnsi="Arial" w:cs="Arial"/>
                <w:kern w:val="28"/>
                <w:sz w:val="22"/>
                <w:lang w:eastAsia="en-AU"/>
              </w:rPr>
              <w:t>isposal</w:t>
            </w:r>
          </w:p>
        </w:tc>
        <w:tc>
          <w:tcPr>
            <w:tcW w:w="1460" w:type="dxa"/>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w:t>
            </w:r>
          </w:p>
        </w:tc>
        <w:tc>
          <w:tcPr>
            <w:tcW w:w="1363" w:type="dxa"/>
            <w:gridSpan w:val="2"/>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(90,865)</w:t>
            </w:r>
          </w:p>
        </w:tc>
        <w:tc>
          <w:tcPr>
            <w:tcW w:w="1399" w:type="dxa"/>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w:t>
            </w:r>
          </w:p>
        </w:tc>
        <w:tc>
          <w:tcPr>
            <w:tcW w:w="1165" w:type="dxa"/>
            <w:shd w:val="clear" w:color="auto" w:fill="E0DCCB" w:themeFill="accent4" w:themeFillTint="66"/>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(90,865)</w:t>
            </w:r>
          </w:p>
        </w:tc>
      </w:tr>
      <w:tr w:rsidR="002C2302" w:rsidRPr="00DD3B67" w:rsidTr="009A7D13">
        <w:tc>
          <w:tcPr>
            <w:tcW w:w="2977"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kern w:val="28"/>
                <w:sz w:val="22"/>
                <w:lang w:eastAsia="en-AU"/>
              </w:rPr>
              <w:t>Depreciation</w:t>
            </w:r>
          </w:p>
        </w:tc>
        <w:tc>
          <w:tcPr>
            <w:tcW w:w="1460" w:type="dxa"/>
            <w:tcBorders>
              <w:bottom w:val="single" w:sz="4" w:space="0" w:color="E0DCCB" w:themeColor="accent4" w:themeTint="66"/>
            </w:tcBorders>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w:t>
            </w:r>
            <w:r>
              <w:rPr>
                <w:rFonts w:ascii="Arial" w:eastAsia="Times New Roman" w:hAnsi="Arial" w:cs="Arial"/>
                <w:kern w:val="28"/>
                <w:sz w:val="22"/>
                <w:lang w:eastAsia="en-AU"/>
              </w:rPr>
              <w:t>35,669</w:t>
            </w:r>
            <w:r w:rsidRPr="00DD3B67">
              <w:rPr>
                <w:rFonts w:ascii="Arial" w:eastAsia="Times New Roman" w:hAnsi="Arial" w:cs="Arial"/>
                <w:kern w:val="28"/>
                <w:sz w:val="22"/>
                <w:lang w:eastAsia="en-AU"/>
              </w:rPr>
              <w:t>)</w:t>
            </w:r>
          </w:p>
        </w:tc>
        <w:tc>
          <w:tcPr>
            <w:tcW w:w="1363" w:type="dxa"/>
            <w:gridSpan w:val="2"/>
            <w:tcBorders>
              <w:bottom w:val="single" w:sz="4" w:space="0" w:color="E0DCCB" w:themeColor="accent4" w:themeTint="66"/>
            </w:tcBorders>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w:t>
            </w:r>
            <w:r>
              <w:rPr>
                <w:rFonts w:ascii="Arial" w:eastAsia="Times New Roman" w:hAnsi="Arial" w:cs="Arial"/>
                <w:kern w:val="28"/>
                <w:sz w:val="22"/>
                <w:lang w:eastAsia="en-AU"/>
              </w:rPr>
              <w:t>32,104</w:t>
            </w:r>
            <w:r w:rsidRPr="00DD3B67">
              <w:rPr>
                <w:rFonts w:ascii="Arial" w:eastAsia="Times New Roman" w:hAnsi="Arial" w:cs="Arial"/>
                <w:kern w:val="28"/>
                <w:sz w:val="22"/>
                <w:lang w:eastAsia="en-AU"/>
              </w:rPr>
              <w:t>)</w:t>
            </w:r>
          </w:p>
        </w:tc>
        <w:tc>
          <w:tcPr>
            <w:tcW w:w="1399" w:type="dxa"/>
            <w:tcBorders>
              <w:bottom w:val="single" w:sz="4" w:space="0" w:color="E0DCCB" w:themeColor="accent4" w:themeTint="66"/>
            </w:tcBorders>
            <w:shd w:val="clear" w:color="auto" w:fill="auto"/>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w:t>
            </w:r>
            <w:r>
              <w:rPr>
                <w:rFonts w:ascii="Arial" w:eastAsia="Times New Roman" w:hAnsi="Arial" w:cs="Arial"/>
                <w:kern w:val="28"/>
                <w:sz w:val="22"/>
                <w:lang w:eastAsia="en-AU"/>
              </w:rPr>
              <w:t>15,504</w:t>
            </w:r>
            <w:r w:rsidRPr="00DD3B67">
              <w:rPr>
                <w:rFonts w:ascii="Arial" w:eastAsia="Times New Roman" w:hAnsi="Arial" w:cs="Arial"/>
                <w:kern w:val="28"/>
                <w:sz w:val="22"/>
                <w:lang w:eastAsia="en-AU"/>
              </w:rPr>
              <w:t>)</w:t>
            </w:r>
          </w:p>
        </w:tc>
        <w:tc>
          <w:tcPr>
            <w:tcW w:w="1165" w:type="dxa"/>
            <w:tcBorders>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=SUM(left) </w:instrText>
            </w:r>
            <w:r w:rsidRPr="00DD3B67">
              <w:rPr>
                <w:rFonts w:ascii="Arial" w:eastAsia="Times New Roman" w:hAnsi="Arial" w:cs="Arial"/>
                <w:kern w:val="28"/>
                <w:sz w:val="22"/>
                <w:lang w:eastAsia="en-AU"/>
              </w:rPr>
              <w:fldChar w:fldCharType="separate"/>
            </w:r>
            <w:r>
              <w:rPr>
                <w:rFonts w:ascii="Arial" w:eastAsia="Times New Roman" w:hAnsi="Arial" w:cs="Arial"/>
                <w:noProof/>
                <w:kern w:val="28"/>
                <w:sz w:val="22"/>
                <w:lang w:eastAsia="en-AU"/>
              </w:rPr>
              <w:t>(83,277)</w:t>
            </w:r>
            <w:r w:rsidRPr="00DD3B67">
              <w:rPr>
                <w:rFonts w:ascii="Arial" w:eastAsia="Times New Roman" w:hAnsi="Arial" w:cs="Arial"/>
                <w:kern w:val="28"/>
                <w:sz w:val="22"/>
                <w:lang w:eastAsia="en-AU"/>
              </w:rPr>
              <w:fldChar w:fldCharType="end"/>
            </w:r>
          </w:p>
        </w:tc>
      </w:tr>
      <w:tr w:rsidR="002C2302" w:rsidRPr="00DD3B67" w:rsidTr="009A7D13">
        <w:tc>
          <w:tcPr>
            <w:tcW w:w="2977"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b/>
                <w:kern w:val="28"/>
                <w:sz w:val="22"/>
                <w:lang w:eastAsia="en-AU"/>
              </w:rPr>
              <w:t>Carrying amount at end of period</w:t>
            </w:r>
          </w:p>
        </w:tc>
        <w:tc>
          <w:tcPr>
            <w:tcW w:w="1460" w:type="dxa"/>
            <w:tcBorders>
              <w:top w:val="single" w:sz="4" w:space="0" w:color="E0DCCB" w:themeColor="accent4" w:themeTint="66"/>
              <w:bottom w:val="single" w:sz="4" w:space="0" w:color="B2A97E" w:themeColor="accent4"/>
            </w:tcBorders>
            <w:shd w:val="clear" w:color="auto" w:fill="auto"/>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72,370</w:t>
            </w:r>
            <w:r w:rsidRPr="00DD3B67">
              <w:rPr>
                <w:rFonts w:ascii="Arial" w:eastAsia="Times New Roman" w:hAnsi="Arial" w:cs="Arial"/>
                <w:b/>
                <w:kern w:val="28"/>
                <w:sz w:val="22"/>
                <w:lang w:eastAsia="en-AU"/>
              </w:rPr>
              <w:fldChar w:fldCharType="end"/>
            </w:r>
          </w:p>
        </w:tc>
        <w:tc>
          <w:tcPr>
            <w:tcW w:w="1363" w:type="dxa"/>
            <w:gridSpan w:val="2"/>
            <w:tcBorders>
              <w:top w:val="single" w:sz="4" w:space="0" w:color="E0DCCB" w:themeColor="accent4" w:themeTint="66"/>
              <w:bottom w:val="single" w:sz="4" w:space="0" w:color="B2A97E" w:themeColor="accent4"/>
            </w:tcBorders>
            <w:shd w:val="clear" w:color="auto" w:fill="auto"/>
            <w:vAlign w:val="bottom"/>
          </w:tcPr>
          <w:p w:rsidR="002C2302" w:rsidRPr="00DD3B67" w:rsidRDefault="002C2302" w:rsidP="002C2302">
            <w:pPr>
              <w:pStyle w:val="Body"/>
              <w:spacing w:before="80"/>
              <w:ind w:left="0"/>
              <w:jc w:val="right"/>
              <w:rPr>
                <w:sz w:val="22"/>
              </w:rPr>
            </w:pPr>
            <w:r>
              <w:rPr>
                <w:rFonts w:ascii="Arial" w:eastAsia="Times New Roman" w:hAnsi="Arial" w:cs="Arial"/>
                <w:b/>
                <w:kern w:val="28"/>
                <w:sz w:val="22"/>
                <w:lang w:eastAsia="en-AU"/>
              </w:rPr>
              <w:t>8,664</w:t>
            </w:r>
          </w:p>
        </w:tc>
        <w:tc>
          <w:tcPr>
            <w:tcW w:w="1399" w:type="dxa"/>
            <w:tcBorders>
              <w:top w:val="single" w:sz="4" w:space="0" w:color="E0DCCB" w:themeColor="accent4" w:themeTint="66"/>
              <w:bottom w:val="single" w:sz="4" w:space="0" w:color="B2A97E" w:themeColor="accent4"/>
            </w:tcBorders>
            <w:shd w:val="clear" w:color="auto" w:fill="auto"/>
            <w:vAlign w:val="bottom"/>
          </w:tcPr>
          <w:p w:rsidR="002C2302" w:rsidRPr="00DD3B67" w:rsidRDefault="002C2302" w:rsidP="002C2302">
            <w:pPr>
              <w:pStyle w:val="Body"/>
              <w:spacing w:before="80"/>
              <w:ind w:left="0"/>
              <w:jc w:val="right"/>
              <w:rPr>
                <w:sz w:val="22"/>
              </w:rPr>
            </w:pPr>
            <w:r>
              <w:rPr>
                <w:rFonts w:ascii="Arial" w:eastAsia="Times New Roman" w:hAnsi="Arial" w:cs="Arial"/>
                <w:b/>
                <w:kern w:val="28"/>
                <w:sz w:val="22"/>
                <w:lang w:eastAsia="en-AU"/>
              </w:rPr>
              <w:t>81,240</w:t>
            </w:r>
          </w:p>
        </w:tc>
        <w:tc>
          <w:tcPr>
            <w:tcW w:w="1165"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=SUM(left) </w:instrText>
            </w:r>
            <w:r w:rsidRPr="00DD3B67">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162,274</w:t>
            </w:r>
            <w:r w:rsidRPr="00DD3B67">
              <w:rPr>
                <w:rFonts w:ascii="Arial" w:eastAsia="Times New Roman" w:hAnsi="Arial" w:cs="Arial"/>
                <w:b/>
                <w:kern w:val="28"/>
                <w:sz w:val="22"/>
                <w:lang w:eastAsia="en-AU"/>
              </w:rPr>
              <w:fldChar w:fldCharType="end"/>
            </w:r>
          </w:p>
        </w:tc>
      </w:tr>
      <w:tr w:rsidR="002C2302" w:rsidRPr="00DD3B67" w:rsidTr="009A7D13">
        <w:tc>
          <w:tcPr>
            <w:tcW w:w="2977" w:type="dxa"/>
          </w:tcPr>
          <w:p w:rsidR="002C2302" w:rsidRPr="00DD3B67" w:rsidRDefault="002C2302" w:rsidP="0056758B">
            <w:pPr>
              <w:pStyle w:val="Body"/>
              <w:spacing w:before="80"/>
              <w:ind w:left="176"/>
              <w:rPr>
                <w:b/>
                <w:sz w:val="22"/>
              </w:rPr>
            </w:pPr>
            <w:r w:rsidRPr="00DD3B67">
              <w:rPr>
                <w:rFonts w:ascii="Arial" w:eastAsia="Times New Roman" w:hAnsi="Arial" w:cs="Arial"/>
                <w:b/>
                <w:kern w:val="28"/>
                <w:sz w:val="22"/>
                <w:lang w:eastAsia="en-AU"/>
              </w:rPr>
              <w:t>2014</w:t>
            </w:r>
          </w:p>
        </w:tc>
        <w:tc>
          <w:tcPr>
            <w:tcW w:w="1460" w:type="dxa"/>
            <w:tcBorders>
              <w:top w:val="single" w:sz="4" w:space="0" w:color="B2A97E" w:themeColor="accent4"/>
            </w:tcBorders>
            <w:shd w:val="clear" w:color="auto" w:fill="auto"/>
          </w:tcPr>
          <w:p w:rsidR="002C2302" w:rsidRPr="00DD3B67" w:rsidRDefault="002C2302" w:rsidP="002C2302">
            <w:pPr>
              <w:pStyle w:val="Body"/>
              <w:spacing w:before="80"/>
              <w:ind w:left="0"/>
              <w:jc w:val="right"/>
              <w:rPr>
                <w:sz w:val="22"/>
              </w:rPr>
            </w:pPr>
          </w:p>
        </w:tc>
        <w:tc>
          <w:tcPr>
            <w:tcW w:w="1298" w:type="dxa"/>
            <w:tcBorders>
              <w:top w:val="single" w:sz="4" w:space="0" w:color="B2A97E" w:themeColor="accent4"/>
            </w:tcBorders>
            <w:shd w:val="clear" w:color="auto" w:fill="auto"/>
          </w:tcPr>
          <w:p w:rsidR="002C2302" w:rsidRPr="00DD3B67" w:rsidRDefault="002C2302" w:rsidP="002C2302">
            <w:pPr>
              <w:pStyle w:val="Body"/>
              <w:spacing w:before="80"/>
              <w:ind w:left="0"/>
              <w:jc w:val="right"/>
              <w:rPr>
                <w:sz w:val="22"/>
              </w:rPr>
            </w:pPr>
          </w:p>
        </w:tc>
        <w:tc>
          <w:tcPr>
            <w:tcW w:w="1464" w:type="dxa"/>
            <w:gridSpan w:val="2"/>
            <w:tcBorders>
              <w:top w:val="single" w:sz="4" w:space="0" w:color="B2A97E" w:themeColor="accent4"/>
            </w:tcBorders>
            <w:shd w:val="clear" w:color="auto" w:fill="auto"/>
          </w:tcPr>
          <w:p w:rsidR="002C2302" w:rsidRPr="00DD3B67" w:rsidRDefault="002C2302" w:rsidP="002C2302">
            <w:pPr>
              <w:pStyle w:val="Body"/>
              <w:spacing w:before="80"/>
              <w:ind w:left="0"/>
              <w:jc w:val="right"/>
              <w:rPr>
                <w:sz w:val="22"/>
              </w:rPr>
            </w:pPr>
          </w:p>
        </w:tc>
        <w:tc>
          <w:tcPr>
            <w:tcW w:w="1165" w:type="dxa"/>
            <w:tcBorders>
              <w:top w:val="single" w:sz="4" w:space="0" w:color="B2A97E" w:themeColor="accent4"/>
            </w:tcBorders>
            <w:shd w:val="clear" w:color="auto" w:fill="E0DCCB" w:themeFill="accent4" w:themeFillTint="66"/>
          </w:tcPr>
          <w:p w:rsidR="002C2302" w:rsidRPr="00DD3B67" w:rsidRDefault="002C2302" w:rsidP="002C2302">
            <w:pPr>
              <w:pStyle w:val="Body"/>
              <w:spacing w:before="80"/>
              <w:ind w:left="0"/>
              <w:jc w:val="right"/>
              <w:rPr>
                <w:sz w:val="22"/>
              </w:rPr>
            </w:pPr>
          </w:p>
        </w:tc>
      </w:tr>
      <w:tr w:rsidR="002C2302" w:rsidRPr="00DD3B67" w:rsidTr="005D0E7C">
        <w:tc>
          <w:tcPr>
            <w:tcW w:w="2977"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kern w:val="28"/>
                <w:sz w:val="22"/>
                <w:lang w:eastAsia="en-AU"/>
              </w:rPr>
              <w:t>Carrying amount at start of period</w:t>
            </w:r>
          </w:p>
        </w:tc>
        <w:tc>
          <w:tcPr>
            <w:tcW w:w="1460" w:type="dxa"/>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89,100</w:t>
            </w:r>
          </w:p>
        </w:tc>
        <w:tc>
          <w:tcPr>
            <w:tcW w:w="1298" w:type="dxa"/>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187,811</w:t>
            </w:r>
          </w:p>
        </w:tc>
        <w:tc>
          <w:tcPr>
            <w:tcW w:w="1464" w:type="dxa"/>
            <w:gridSpan w:val="2"/>
            <w:shd w:val="clear" w:color="auto" w:fill="auto"/>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37,371</w:t>
            </w:r>
          </w:p>
        </w:tc>
        <w:tc>
          <w:tcPr>
            <w:tcW w:w="1165" w:type="dxa"/>
            <w:shd w:val="clear" w:color="auto" w:fill="E0DCCB" w:themeFill="accent4" w:themeFillTint="66"/>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=SUM(LEFT) </w:instrText>
            </w:r>
            <w:r w:rsidRPr="00DD3B67">
              <w:rPr>
                <w:rFonts w:ascii="Arial" w:eastAsia="Times New Roman" w:hAnsi="Arial" w:cs="Arial"/>
                <w:kern w:val="28"/>
                <w:sz w:val="22"/>
                <w:lang w:eastAsia="en-AU"/>
              </w:rPr>
              <w:fldChar w:fldCharType="separate"/>
            </w:r>
            <w:r w:rsidRPr="00DD3B67">
              <w:rPr>
                <w:rFonts w:ascii="Arial" w:eastAsia="Times New Roman" w:hAnsi="Arial" w:cs="Arial"/>
                <w:noProof/>
                <w:kern w:val="28"/>
                <w:sz w:val="22"/>
                <w:lang w:eastAsia="en-AU"/>
              </w:rPr>
              <w:t>314,282</w:t>
            </w:r>
            <w:r w:rsidRPr="00DD3B67">
              <w:rPr>
                <w:rFonts w:ascii="Arial" w:eastAsia="Times New Roman" w:hAnsi="Arial" w:cs="Arial"/>
                <w:kern w:val="28"/>
                <w:sz w:val="22"/>
                <w:lang w:eastAsia="en-AU"/>
              </w:rPr>
              <w:fldChar w:fldCharType="end"/>
            </w:r>
          </w:p>
        </w:tc>
      </w:tr>
      <w:tr w:rsidR="002C2302" w:rsidRPr="00DD3B67" w:rsidTr="005D0E7C">
        <w:tc>
          <w:tcPr>
            <w:tcW w:w="2977"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kern w:val="28"/>
                <w:sz w:val="22"/>
                <w:lang w:eastAsia="en-AU"/>
              </w:rPr>
              <w:t>Additions</w:t>
            </w:r>
          </w:p>
        </w:tc>
        <w:tc>
          <w:tcPr>
            <w:tcW w:w="1460" w:type="dxa"/>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43,374</w:t>
            </w:r>
          </w:p>
        </w:tc>
        <w:tc>
          <w:tcPr>
            <w:tcW w:w="1298" w:type="dxa"/>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w:t>
            </w:r>
          </w:p>
        </w:tc>
        <w:tc>
          <w:tcPr>
            <w:tcW w:w="1464" w:type="dxa"/>
            <w:gridSpan w:val="2"/>
            <w:shd w:val="clear" w:color="auto" w:fill="auto"/>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56,047</w:t>
            </w:r>
          </w:p>
        </w:tc>
        <w:tc>
          <w:tcPr>
            <w:tcW w:w="1165" w:type="dxa"/>
            <w:shd w:val="clear" w:color="auto" w:fill="E0DCCB" w:themeFill="accent4" w:themeFillTint="66"/>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99,421</w:t>
            </w:r>
          </w:p>
        </w:tc>
      </w:tr>
      <w:tr w:rsidR="002C2302" w:rsidRPr="00DD3B67" w:rsidTr="009A7D13">
        <w:tc>
          <w:tcPr>
            <w:tcW w:w="2977"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kern w:val="28"/>
                <w:sz w:val="22"/>
                <w:lang w:eastAsia="en-AU"/>
              </w:rPr>
              <w:t>Depreciation</w:t>
            </w:r>
          </w:p>
        </w:tc>
        <w:tc>
          <w:tcPr>
            <w:tcW w:w="1460" w:type="dxa"/>
            <w:tcBorders>
              <w:bottom w:val="single" w:sz="4" w:space="0" w:color="E0DCCB" w:themeColor="accent4" w:themeTint="66"/>
            </w:tcBorders>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(31,413)</w:t>
            </w:r>
          </w:p>
        </w:tc>
        <w:tc>
          <w:tcPr>
            <w:tcW w:w="1298" w:type="dxa"/>
            <w:tcBorders>
              <w:bottom w:val="single" w:sz="4" w:space="0" w:color="E0DCCB" w:themeColor="accent4" w:themeTint="66"/>
            </w:tcBorders>
            <w:shd w:val="clear" w:color="auto" w:fill="auto"/>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(56,178)</w:t>
            </w:r>
          </w:p>
        </w:tc>
        <w:tc>
          <w:tcPr>
            <w:tcW w:w="1464" w:type="dxa"/>
            <w:gridSpan w:val="2"/>
            <w:tcBorders>
              <w:bottom w:val="single" w:sz="4" w:space="0" w:color="E0DCCB" w:themeColor="accent4" w:themeTint="66"/>
            </w:tcBorders>
            <w:shd w:val="clear" w:color="auto" w:fill="auto"/>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(12,602)</w:t>
            </w:r>
          </w:p>
        </w:tc>
        <w:tc>
          <w:tcPr>
            <w:tcW w:w="1165" w:type="dxa"/>
            <w:tcBorders>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fldChar w:fldCharType="begin"/>
            </w:r>
            <w:r w:rsidRPr="00DD3B67">
              <w:rPr>
                <w:rFonts w:ascii="Arial" w:eastAsia="Times New Roman" w:hAnsi="Arial" w:cs="Arial"/>
                <w:kern w:val="28"/>
                <w:sz w:val="22"/>
                <w:lang w:eastAsia="en-AU"/>
              </w:rPr>
              <w:instrText xml:space="preserve"> =SUM(left) </w:instrText>
            </w:r>
            <w:r w:rsidRPr="00DD3B67">
              <w:rPr>
                <w:rFonts w:ascii="Arial" w:eastAsia="Times New Roman" w:hAnsi="Arial" w:cs="Arial"/>
                <w:kern w:val="28"/>
                <w:sz w:val="22"/>
                <w:lang w:eastAsia="en-AU"/>
              </w:rPr>
              <w:fldChar w:fldCharType="separate"/>
            </w:r>
            <w:r w:rsidRPr="00DD3B67">
              <w:rPr>
                <w:rFonts w:ascii="Arial" w:eastAsia="Times New Roman" w:hAnsi="Arial" w:cs="Arial"/>
                <w:noProof/>
                <w:kern w:val="28"/>
                <w:sz w:val="22"/>
                <w:lang w:eastAsia="en-AU"/>
              </w:rPr>
              <w:t>(100,193)</w:t>
            </w:r>
            <w:r w:rsidRPr="00DD3B67">
              <w:rPr>
                <w:rFonts w:ascii="Arial" w:eastAsia="Times New Roman" w:hAnsi="Arial" w:cs="Arial"/>
                <w:kern w:val="28"/>
                <w:sz w:val="22"/>
                <w:lang w:eastAsia="en-AU"/>
              </w:rPr>
              <w:fldChar w:fldCharType="end"/>
            </w:r>
          </w:p>
        </w:tc>
      </w:tr>
      <w:tr w:rsidR="002C2302" w:rsidRPr="00DD3B67" w:rsidTr="009A7D13">
        <w:tc>
          <w:tcPr>
            <w:tcW w:w="2977"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b/>
                <w:kern w:val="28"/>
                <w:sz w:val="22"/>
                <w:lang w:eastAsia="en-AU"/>
              </w:rPr>
              <w:t>Carrying amount at end of period</w:t>
            </w:r>
          </w:p>
        </w:tc>
        <w:tc>
          <w:tcPr>
            <w:tcW w:w="1460" w:type="dxa"/>
            <w:tcBorders>
              <w:top w:val="single" w:sz="4" w:space="0" w:color="E0DCCB" w:themeColor="accent4" w:themeTint="66"/>
              <w:bottom w:val="single" w:sz="4" w:space="0" w:color="B2A97E" w:themeColor="accent4"/>
            </w:tcBorders>
            <w:shd w:val="clear" w:color="auto" w:fill="auto"/>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sidRPr="00DD3B67">
              <w:rPr>
                <w:rFonts w:ascii="Arial" w:eastAsia="Times New Roman" w:hAnsi="Arial" w:cs="Arial"/>
                <w:b/>
                <w:noProof/>
                <w:kern w:val="28"/>
                <w:sz w:val="22"/>
                <w:lang w:eastAsia="en-AU"/>
              </w:rPr>
              <w:t>101,061</w:t>
            </w:r>
            <w:r w:rsidRPr="00DD3B67">
              <w:rPr>
                <w:rFonts w:ascii="Arial" w:eastAsia="Times New Roman" w:hAnsi="Arial" w:cs="Arial"/>
                <w:b/>
                <w:kern w:val="28"/>
                <w:sz w:val="22"/>
                <w:lang w:eastAsia="en-AU"/>
              </w:rPr>
              <w:fldChar w:fldCharType="end"/>
            </w:r>
          </w:p>
        </w:tc>
        <w:tc>
          <w:tcPr>
            <w:tcW w:w="1298" w:type="dxa"/>
            <w:tcBorders>
              <w:top w:val="single" w:sz="4" w:space="0" w:color="E0DCCB" w:themeColor="accent4" w:themeTint="66"/>
              <w:bottom w:val="single" w:sz="4" w:space="0" w:color="B2A97E" w:themeColor="accent4"/>
            </w:tcBorders>
            <w:shd w:val="clear" w:color="auto" w:fill="auto"/>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sidRPr="00DD3B67">
              <w:rPr>
                <w:rFonts w:ascii="Arial" w:eastAsia="Times New Roman" w:hAnsi="Arial" w:cs="Arial"/>
                <w:b/>
                <w:noProof/>
                <w:kern w:val="28"/>
                <w:sz w:val="22"/>
                <w:lang w:eastAsia="en-AU"/>
              </w:rPr>
              <w:t>131,633</w:t>
            </w:r>
            <w:r w:rsidRPr="00DD3B67">
              <w:rPr>
                <w:rFonts w:ascii="Arial" w:eastAsia="Times New Roman" w:hAnsi="Arial" w:cs="Arial"/>
                <w:b/>
                <w:kern w:val="28"/>
                <w:sz w:val="22"/>
                <w:lang w:eastAsia="en-AU"/>
              </w:rPr>
              <w:fldChar w:fldCharType="end"/>
            </w:r>
          </w:p>
        </w:tc>
        <w:tc>
          <w:tcPr>
            <w:tcW w:w="1464" w:type="dxa"/>
            <w:gridSpan w:val="2"/>
            <w:tcBorders>
              <w:top w:val="single" w:sz="4" w:space="0" w:color="E0DCCB" w:themeColor="accent4" w:themeTint="66"/>
              <w:bottom w:val="single" w:sz="4" w:space="0" w:color="B2A97E" w:themeColor="accent4"/>
            </w:tcBorders>
            <w:shd w:val="clear" w:color="auto" w:fill="auto"/>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sidRPr="00DD3B67">
              <w:rPr>
                <w:rFonts w:ascii="Arial" w:eastAsia="Times New Roman" w:hAnsi="Arial" w:cs="Arial"/>
                <w:b/>
                <w:noProof/>
                <w:kern w:val="28"/>
                <w:sz w:val="22"/>
                <w:lang w:eastAsia="en-AU"/>
              </w:rPr>
              <w:t>80,816</w:t>
            </w:r>
            <w:r w:rsidRPr="00DD3B67">
              <w:rPr>
                <w:rFonts w:ascii="Arial" w:eastAsia="Times New Roman" w:hAnsi="Arial" w:cs="Arial"/>
                <w:b/>
                <w:kern w:val="28"/>
                <w:sz w:val="22"/>
                <w:lang w:eastAsia="en-AU"/>
              </w:rPr>
              <w:fldChar w:fldCharType="end"/>
            </w:r>
          </w:p>
        </w:tc>
        <w:tc>
          <w:tcPr>
            <w:tcW w:w="1165"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=SUM(left) </w:instrText>
            </w:r>
            <w:r w:rsidRPr="00DD3B67">
              <w:rPr>
                <w:rFonts w:ascii="Arial" w:eastAsia="Times New Roman" w:hAnsi="Arial" w:cs="Arial"/>
                <w:b/>
                <w:kern w:val="28"/>
                <w:sz w:val="22"/>
                <w:lang w:eastAsia="en-AU"/>
              </w:rPr>
              <w:fldChar w:fldCharType="separate"/>
            </w:r>
            <w:r w:rsidRPr="00DD3B67">
              <w:rPr>
                <w:rFonts w:ascii="Arial" w:eastAsia="Times New Roman" w:hAnsi="Arial" w:cs="Arial"/>
                <w:b/>
                <w:noProof/>
                <w:kern w:val="28"/>
                <w:sz w:val="22"/>
                <w:lang w:eastAsia="en-AU"/>
              </w:rPr>
              <w:t>313,510</w:t>
            </w:r>
            <w:r w:rsidRPr="00DD3B67">
              <w:rPr>
                <w:rFonts w:ascii="Arial" w:eastAsia="Times New Roman" w:hAnsi="Arial" w:cs="Arial"/>
                <w:b/>
                <w:kern w:val="28"/>
                <w:sz w:val="22"/>
                <w:lang w:eastAsia="en-AU"/>
              </w:rPr>
              <w:fldChar w:fldCharType="end"/>
            </w:r>
          </w:p>
        </w:tc>
      </w:tr>
    </w:tbl>
    <w:p w:rsidR="009A7D13" w:rsidRDefault="009A7D13" w:rsidP="009A7D13">
      <w:pPr>
        <w:pStyle w:val="Body"/>
      </w:pPr>
    </w:p>
    <w:p w:rsidR="002C2302" w:rsidRDefault="002C2302" w:rsidP="0056758B">
      <w:pPr>
        <w:pStyle w:val="Financialsheading3"/>
      </w:pPr>
      <w:bookmarkStart w:id="201" w:name="_Toc427745935"/>
      <w:proofErr w:type="gramStart"/>
      <w:r>
        <w:t>No</w:t>
      </w:r>
      <w:r w:rsidRPr="00D81BC8">
        <w:t>te 1</w:t>
      </w:r>
      <w:r>
        <w:t>9</w:t>
      </w:r>
      <w:r w:rsidRPr="00D81BC8">
        <w:t>.</w:t>
      </w:r>
      <w:proofErr w:type="gramEnd"/>
      <w:r w:rsidRPr="00D81BC8">
        <w:t xml:space="preserve"> Intangible assets</w:t>
      </w:r>
      <w:bookmarkEnd w:id="201"/>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RPr="00DD3B67" w:rsidTr="0056758B">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D3B67" w:rsidTr="0056758B">
        <w:tc>
          <w:tcPr>
            <w:tcW w:w="5529"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kern w:val="28"/>
                <w:sz w:val="22"/>
                <w:u w:val="single"/>
                <w:lang w:eastAsia="en-AU"/>
              </w:rPr>
              <w:t>Computer software</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vAlign w:val="bottom"/>
          </w:tcPr>
          <w:p w:rsidR="002C2302" w:rsidRPr="00DD3B67" w:rsidRDefault="002C2302" w:rsidP="002C2302">
            <w:pPr>
              <w:pStyle w:val="Body"/>
              <w:spacing w:before="80"/>
              <w:ind w:left="0"/>
              <w:jc w:val="right"/>
              <w:rPr>
                <w:sz w:val="22"/>
              </w:rPr>
            </w:pPr>
          </w:p>
        </w:tc>
      </w:tr>
      <w:tr w:rsidR="002C2302" w:rsidRPr="00DD3B67" w:rsidTr="0056758B">
        <w:tc>
          <w:tcPr>
            <w:tcW w:w="5529"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kern w:val="28"/>
                <w:sz w:val="22"/>
                <w:lang w:eastAsia="en-AU"/>
              </w:rPr>
              <w:t>At cost</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390,525</w:t>
            </w:r>
          </w:p>
        </w:tc>
        <w:tc>
          <w:tcPr>
            <w:tcW w:w="1418" w:type="dxa"/>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292,658</w:t>
            </w:r>
          </w:p>
        </w:tc>
      </w:tr>
      <w:tr w:rsidR="002C2302" w:rsidRPr="00DD3B67" w:rsidTr="0056758B">
        <w:tc>
          <w:tcPr>
            <w:tcW w:w="5529" w:type="dxa"/>
            <w:vAlign w:val="bottom"/>
          </w:tcPr>
          <w:p w:rsidR="002C2302" w:rsidRPr="00DD3B67" w:rsidRDefault="002C2302" w:rsidP="0056758B">
            <w:pPr>
              <w:pStyle w:val="Body"/>
              <w:spacing w:before="80"/>
              <w:ind w:left="176"/>
              <w:rPr>
                <w:rFonts w:ascii="Arial" w:eastAsia="Times New Roman" w:hAnsi="Arial" w:cs="Arial"/>
                <w:kern w:val="28"/>
                <w:sz w:val="22"/>
                <w:lang w:eastAsia="en-AU"/>
              </w:rPr>
            </w:pPr>
            <w:r w:rsidRPr="00DD3B67">
              <w:rPr>
                <w:rFonts w:ascii="Arial" w:eastAsia="Times New Roman" w:hAnsi="Arial" w:cs="Arial"/>
                <w:kern w:val="28"/>
                <w:sz w:val="22"/>
                <w:lang w:eastAsia="en-AU"/>
              </w:rPr>
              <w:t>Accumulated amortisation</w:t>
            </w:r>
          </w:p>
        </w:tc>
        <w:tc>
          <w:tcPr>
            <w:tcW w:w="1418"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w:t>
            </w:r>
            <w:r>
              <w:rPr>
                <w:rFonts w:ascii="Arial" w:eastAsia="Times New Roman" w:hAnsi="Arial" w:cs="Arial"/>
                <w:kern w:val="28"/>
                <w:sz w:val="22"/>
                <w:lang w:eastAsia="en-AU"/>
              </w:rPr>
              <w:t>234,768</w:t>
            </w:r>
            <w:r w:rsidRPr="00DD3B67">
              <w:rPr>
                <w:rFonts w:ascii="Arial" w:eastAsia="Times New Roman" w:hAnsi="Arial" w:cs="Arial"/>
                <w:kern w:val="28"/>
                <w:sz w:val="22"/>
                <w:lang w:eastAsia="en-AU"/>
              </w:rPr>
              <w:t>)</w:t>
            </w:r>
          </w:p>
        </w:tc>
        <w:tc>
          <w:tcPr>
            <w:tcW w:w="1418" w:type="dxa"/>
            <w:tcBorders>
              <w:bottom w:val="single" w:sz="4" w:space="0" w:color="E0DCCB" w:themeColor="accent4" w:themeTint="66"/>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(137,825)</w:t>
            </w:r>
          </w:p>
        </w:tc>
      </w:tr>
      <w:tr w:rsidR="002C2302" w:rsidRPr="00DD3B67" w:rsidTr="0056758B">
        <w:tc>
          <w:tcPr>
            <w:tcW w:w="5529" w:type="dxa"/>
            <w:vAlign w:val="bottom"/>
          </w:tcPr>
          <w:p w:rsidR="002C2302" w:rsidRPr="00DD3B67" w:rsidRDefault="002C2302" w:rsidP="002C2302">
            <w:pPr>
              <w:pStyle w:val="Body"/>
              <w:spacing w:before="80"/>
              <w:ind w:left="-108"/>
              <w:rPr>
                <w:rFonts w:ascii="Arial" w:eastAsia="Times New Roman" w:hAnsi="Arial" w:cs="Arial"/>
                <w:kern w:val="28"/>
                <w:sz w:val="22"/>
                <w:lang w:eastAsia="en-AU"/>
              </w:rPr>
            </w:pP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155,757</w:t>
            </w:r>
            <w:r w:rsidRPr="00DD3B67">
              <w:rPr>
                <w:rFonts w:ascii="Arial" w:eastAsia="Times New Roman" w:hAnsi="Arial" w:cs="Arial"/>
                <w:b/>
                <w:kern w:val="28"/>
                <w:sz w:val="22"/>
                <w:lang w:eastAsia="en-AU"/>
              </w:rPr>
              <w:fldChar w:fldCharType="end"/>
            </w:r>
          </w:p>
        </w:tc>
        <w:tc>
          <w:tcPr>
            <w:tcW w:w="1418"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sidRPr="00DD3B67">
              <w:rPr>
                <w:rFonts w:ascii="Arial" w:eastAsia="Times New Roman" w:hAnsi="Arial" w:cs="Arial"/>
                <w:b/>
                <w:noProof/>
                <w:kern w:val="28"/>
                <w:sz w:val="22"/>
                <w:lang w:eastAsia="en-AU"/>
              </w:rPr>
              <w:t>154,833</w:t>
            </w:r>
            <w:r w:rsidRPr="00DD3B67">
              <w:rPr>
                <w:rFonts w:ascii="Arial" w:eastAsia="Times New Roman" w:hAnsi="Arial" w:cs="Arial"/>
                <w:b/>
                <w:kern w:val="28"/>
                <w:sz w:val="22"/>
                <w:lang w:eastAsia="en-AU"/>
              </w:rPr>
              <w:fldChar w:fldCharType="end"/>
            </w:r>
          </w:p>
        </w:tc>
      </w:tr>
    </w:tbl>
    <w:p w:rsidR="002C2302" w:rsidRPr="00DD3B67" w:rsidRDefault="002C2302" w:rsidP="0056758B">
      <w:pPr>
        <w:pStyle w:val="Financialsheading4"/>
      </w:pPr>
      <w:r w:rsidRPr="00DD3B67">
        <w:t>Reconciliations</w:t>
      </w:r>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RPr="00DD3B67" w:rsidTr="0056758B">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D3B67" w:rsidTr="0056758B">
        <w:tc>
          <w:tcPr>
            <w:tcW w:w="5529"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kern w:val="28"/>
                <w:sz w:val="22"/>
                <w:u w:val="single"/>
                <w:lang w:eastAsia="en-AU"/>
              </w:rPr>
              <w:t>Computer software</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vAlign w:val="bottom"/>
          </w:tcPr>
          <w:p w:rsidR="002C2302" w:rsidRPr="00DD3B67" w:rsidRDefault="002C2302" w:rsidP="002C2302">
            <w:pPr>
              <w:pStyle w:val="Body"/>
              <w:spacing w:before="80"/>
              <w:ind w:left="0"/>
              <w:jc w:val="right"/>
              <w:rPr>
                <w:sz w:val="22"/>
              </w:rPr>
            </w:pPr>
          </w:p>
        </w:tc>
      </w:tr>
      <w:tr w:rsidR="002C2302" w:rsidRPr="00DD3B67" w:rsidTr="0056758B">
        <w:tc>
          <w:tcPr>
            <w:tcW w:w="5529" w:type="dxa"/>
            <w:vAlign w:val="bottom"/>
          </w:tcPr>
          <w:p w:rsidR="002C2302" w:rsidRPr="00DD3B67" w:rsidRDefault="002C2302" w:rsidP="0056758B">
            <w:pPr>
              <w:pStyle w:val="Body"/>
              <w:spacing w:before="80"/>
              <w:ind w:left="176"/>
              <w:rPr>
                <w:sz w:val="22"/>
              </w:rPr>
            </w:pPr>
            <w:r w:rsidRPr="00DD3B67">
              <w:rPr>
                <w:rFonts w:ascii="Arial" w:eastAsia="Times New Roman" w:hAnsi="Arial" w:cs="Arial"/>
                <w:kern w:val="28"/>
                <w:sz w:val="22"/>
                <w:lang w:eastAsia="en-AU"/>
              </w:rPr>
              <w:t>Carrying amount at start of period</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r>
              <w:rPr>
                <w:rFonts w:ascii="Arial" w:eastAsia="Times New Roman" w:hAnsi="Arial" w:cs="Arial"/>
                <w:kern w:val="28"/>
                <w:sz w:val="22"/>
                <w:lang w:eastAsia="en-AU"/>
              </w:rPr>
              <w:t>154,833</w:t>
            </w:r>
          </w:p>
        </w:tc>
        <w:tc>
          <w:tcPr>
            <w:tcW w:w="1418" w:type="dxa"/>
            <w:vAlign w:val="bottom"/>
          </w:tcPr>
          <w:p w:rsidR="002C2302" w:rsidRPr="00DD3B67" w:rsidRDefault="002C2302" w:rsidP="002C2302">
            <w:pPr>
              <w:pStyle w:val="Body"/>
              <w:spacing w:before="80"/>
              <w:ind w:left="0"/>
              <w:jc w:val="right"/>
              <w:rPr>
                <w:sz w:val="22"/>
              </w:rPr>
            </w:pPr>
            <w:r w:rsidRPr="00DD3B67">
              <w:rPr>
                <w:rFonts w:ascii="Arial" w:eastAsia="Times New Roman" w:hAnsi="Arial" w:cs="Arial"/>
                <w:kern w:val="28"/>
                <w:sz w:val="22"/>
                <w:lang w:eastAsia="en-AU"/>
              </w:rPr>
              <w:t>203,971</w:t>
            </w:r>
          </w:p>
        </w:tc>
      </w:tr>
      <w:tr w:rsidR="002C2302" w:rsidRPr="00DD3B67" w:rsidTr="0056758B">
        <w:tc>
          <w:tcPr>
            <w:tcW w:w="5529" w:type="dxa"/>
            <w:vAlign w:val="bottom"/>
          </w:tcPr>
          <w:p w:rsidR="002C2302" w:rsidRPr="00DD3B67" w:rsidRDefault="002C2302" w:rsidP="0056758B">
            <w:pPr>
              <w:pStyle w:val="Body"/>
              <w:spacing w:before="80"/>
              <w:ind w:left="176"/>
              <w:rPr>
                <w:rFonts w:ascii="Arial" w:eastAsia="Times New Roman" w:hAnsi="Arial" w:cs="Arial"/>
                <w:kern w:val="28"/>
                <w:sz w:val="22"/>
                <w:lang w:eastAsia="en-AU"/>
              </w:rPr>
            </w:pPr>
            <w:r w:rsidRPr="00DD3B67">
              <w:rPr>
                <w:rFonts w:ascii="Arial" w:eastAsia="Times New Roman" w:hAnsi="Arial" w:cs="Arial"/>
                <w:kern w:val="28"/>
                <w:sz w:val="22"/>
                <w:lang w:eastAsia="en-AU"/>
              </w:rPr>
              <w:t>Additions</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114,967</w:t>
            </w:r>
          </w:p>
        </w:tc>
        <w:tc>
          <w:tcPr>
            <w:tcW w:w="1418" w:type="dxa"/>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52,713</w:t>
            </w:r>
          </w:p>
        </w:tc>
      </w:tr>
      <w:tr w:rsidR="002C2302" w:rsidRPr="00DD3B67" w:rsidTr="0056758B">
        <w:tc>
          <w:tcPr>
            <w:tcW w:w="5529" w:type="dxa"/>
            <w:vAlign w:val="bottom"/>
          </w:tcPr>
          <w:p w:rsidR="002C2302" w:rsidRPr="00DD3B67" w:rsidRDefault="002C2302" w:rsidP="0056758B">
            <w:pPr>
              <w:pStyle w:val="Body"/>
              <w:spacing w:before="80"/>
              <w:ind w:left="176"/>
              <w:rPr>
                <w:rFonts w:ascii="Arial" w:eastAsia="Times New Roman" w:hAnsi="Arial" w:cs="Arial"/>
                <w:kern w:val="28"/>
                <w:sz w:val="22"/>
                <w:lang w:eastAsia="en-AU"/>
              </w:rPr>
            </w:pPr>
            <w:r w:rsidRPr="00DD3B67">
              <w:rPr>
                <w:rFonts w:ascii="Arial" w:eastAsia="Times New Roman" w:hAnsi="Arial" w:cs="Arial"/>
                <w:kern w:val="28"/>
                <w:sz w:val="22"/>
                <w:lang w:eastAsia="en-AU"/>
              </w:rPr>
              <w:t>Amortisation expense</w:t>
            </w:r>
          </w:p>
        </w:tc>
        <w:tc>
          <w:tcPr>
            <w:tcW w:w="1418"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w:t>
            </w:r>
            <w:r>
              <w:rPr>
                <w:rFonts w:ascii="Arial" w:eastAsia="Times New Roman" w:hAnsi="Arial" w:cs="Arial"/>
                <w:kern w:val="28"/>
                <w:sz w:val="22"/>
                <w:lang w:eastAsia="en-AU"/>
              </w:rPr>
              <w:t>114,043</w:t>
            </w:r>
            <w:r w:rsidRPr="00DD3B67">
              <w:rPr>
                <w:rFonts w:ascii="Arial" w:eastAsia="Times New Roman" w:hAnsi="Arial" w:cs="Arial"/>
                <w:kern w:val="28"/>
                <w:sz w:val="22"/>
                <w:lang w:eastAsia="en-AU"/>
              </w:rPr>
              <w:t>)</w:t>
            </w:r>
          </w:p>
        </w:tc>
        <w:tc>
          <w:tcPr>
            <w:tcW w:w="1418" w:type="dxa"/>
            <w:tcBorders>
              <w:bottom w:val="single" w:sz="4" w:space="0" w:color="E0DCCB" w:themeColor="accent4" w:themeTint="66"/>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kern w:val="28"/>
                <w:sz w:val="22"/>
                <w:lang w:eastAsia="en-AU"/>
              </w:rPr>
              <w:t>(101,851)</w:t>
            </w:r>
          </w:p>
        </w:tc>
      </w:tr>
      <w:tr w:rsidR="002C2302" w:rsidRPr="00DD3B67" w:rsidTr="0056758B">
        <w:tc>
          <w:tcPr>
            <w:tcW w:w="5529" w:type="dxa"/>
            <w:vAlign w:val="bottom"/>
          </w:tcPr>
          <w:p w:rsidR="002C2302" w:rsidRPr="00DD3B67" w:rsidRDefault="002C2302" w:rsidP="0056758B">
            <w:pPr>
              <w:pStyle w:val="Body"/>
              <w:spacing w:before="80"/>
              <w:ind w:left="176"/>
              <w:rPr>
                <w:rFonts w:ascii="Arial" w:eastAsia="Times New Roman" w:hAnsi="Arial" w:cs="Arial"/>
                <w:kern w:val="28"/>
                <w:sz w:val="22"/>
                <w:lang w:eastAsia="en-AU"/>
              </w:rPr>
            </w:pPr>
            <w:r w:rsidRPr="00DD3B67">
              <w:rPr>
                <w:rFonts w:ascii="Arial" w:eastAsia="Times New Roman" w:hAnsi="Arial" w:cs="Arial"/>
                <w:b/>
                <w:kern w:val="28"/>
                <w:sz w:val="22"/>
                <w:lang w:eastAsia="en-AU"/>
              </w:rPr>
              <w:lastRenderedPageBreak/>
              <w:t>Carrying amount at end of period</w:t>
            </w: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ascii="Arial" w:eastAsia="Times New Roman" w:hAnsi="Arial" w:cs="Arial"/>
                <w:b/>
                <w:kern w:val="28"/>
                <w:sz w:val="22"/>
                <w:lang w:eastAsia="en-AU"/>
              </w:rPr>
              <w:fldChar w:fldCharType="begin"/>
            </w:r>
            <w:r>
              <w:rPr>
                <w:rFonts w:ascii="Arial" w:eastAsia="Times New Roman" w:hAnsi="Arial" w:cs="Arial"/>
                <w:b/>
                <w:kern w:val="28"/>
                <w:sz w:val="22"/>
                <w:lang w:eastAsia="en-AU"/>
              </w:rPr>
              <w:instrText xml:space="preserve"> =SUM(ABOVE) </w:instrText>
            </w:r>
            <w:r>
              <w:rPr>
                <w:rFonts w:ascii="Arial" w:eastAsia="Times New Roman" w:hAnsi="Arial" w:cs="Arial"/>
                <w:b/>
                <w:kern w:val="28"/>
                <w:sz w:val="22"/>
                <w:lang w:eastAsia="en-AU"/>
              </w:rPr>
              <w:fldChar w:fldCharType="separate"/>
            </w:r>
            <w:r>
              <w:rPr>
                <w:rFonts w:ascii="Arial" w:eastAsia="Times New Roman" w:hAnsi="Arial" w:cs="Arial"/>
                <w:b/>
                <w:noProof/>
                <w:kern w:val="28"/>
                <w:sz w:val="22"/>
                <w:lang w:eastAsia="en-AU"/>
              </w:rPr>
              <w:t>(155,757)</w:t>
            </w:r>
            <w:r>
              <w:rPr>
                <w:rFonts w:ascii="Arial" w:eastAsia="Times New Roman" w:hAnsi="Arial" w:cs="Arial"/>
                <w:b/>
                <w:kern w:val="28"/>
                <w:sz w:val="22"/>
                <w:lang w:eastAsia="en-AU"/>
              </w:rPr>
              <w:fldChar w:fldCharType="end"/>
            </w:r>
          </w:p>
        </w:tc>
        <w:tc>
          <w:tcPr>
            <w:tcW w:w="1418"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ascii="Arial" w:eastAsia="Times New Roman" w:hAnsi="Arial" w:cs="Arial"/>
                <w:b/>
                <w:kern w:val="28"/>
                <w:sz w:val="22"/>
                <w:lang w:eastAsia="en-AU"/>
              </w:rPr>
              <w:fldChar w:fldCharType="begin"/>
            </w:r>
            <w:r w:rsidRPr="00DD3B67">
              <w:rPr>
                <w:rFonts w:ascii="Arial" w:eastAsia="Times New Roman" w:hAnsi="Arial" w:cs="Arial"/>
                <w:b/>
                <w:kern w:val="28"/>
                <w:sz w:val="22"/>
                <w:lang w:eastAsia="en-AU"/>
              </w:rPr>
              <w:instrText xml:space="preserve"> =SUM(ABOVE) </w:instrText>
            </w:r>
            <w:r w:rsidRPr="00DD3B67">
              <w:rPr>
                <w:rFonts w:ascii="Arial" w:eastAsia="Times New Roman" w:hAnsi="Arial" w:cs="Arial"/>
                <w:b/>
                <w:kern w:val="28"/>
                <w:sz w:val="22"/>
                <w:lang w:eastAsia="en-AU"/>
              </w:rPr>
              <w:fldChar w:fldCharType="separate"/>
            </w:r>
            <w:r w:rsidRPr="00DD3B67">
              <w:rPr>
                <w:rFonts w:ascii="Arial" w:eastAsia="Times New Roman" w:hAnsi="Arial" w:cs="Arial"/>
                <w:b/>
                <w:noProof/>
                <w:kern w:val="28"/>
                <w:sz w:val="22"/>
                <w:lang w:eastAsia="en-AU"/>
              </w:rPr>
              <w:t>154,833</w:t>
            </w:r>
            <w:r w:rsidRPr="00DD3B67">
              <w:rPr>
                <w:rFonts w:ascii="Arial" w:eastAsia="Times New Roman" w:hAnsi="Arial" w:cs="Arial"/>
                <w:b/>
                <w:kern w:val="28"/>
                <w:sz w:val="22"/>
                <w:lang w:eastAsia="en-AU"/>
              </w:rPr>
              <w:fldChar w:fldCharType="end"/>
            </w:r>
          </w:p>
        </w:tc>
      </w:tr>
    </w:tbl>
    <w:p w:rsidR="002C2302" w:rsidRDefault="002C2302" w:rsidP="007607A4">
      <w:pPr>
        <w:pStyle w:val="Financialsheading3"/>
      </w:pPr>
      <w:bookmarkStart w:id="202" w:name="_Toc264275271"/>
      <w:bookmarkStart w:id="203" w:name="_Toc264895163"/>
      <w:bookmarkStart w:id="204" w:name="_Toc265493283"/>
      <w:bookmarkStart w:id="205" w:name="_Toc268084794"/>
      <w:bookmarkStart w:id="206" w:name="_Toc278880950"/>
      <w:bookmarkStart w:id="207" w:name="_Toc317079410"/>
      <w:bookmarkStart w:id="208" w:name="_Toc317590672"/>
      <w:bookmarkStart w:id="209" w:name="_Toc427745936"/>
      <w:proofErr w:type="gramStart"/>
      <w:r w:rsidRPr="005D6BC7">
        <w:t xml:space="preserve">Note </w:t>
      </w:r>
      <w:r>
        <w:t>20</w:t>
      </w:r>
      <w:r w:rsidRPr="005D6BC7">
        <w:t>.</w:t>
      </w:r>
      <w:proofErr w:type="gramEnd"/>
      <w:r w:rsidRPr="005D6BC7">
        <w:t xml:space="preserve"> Impairment of assets</w:t>
      </w:r>
      <w:bookmarkEnd w:id="202"/>
      <w:bookmarkEnd w:id="203"/>
      <w:bookmarkEnd w:id="204"/>
      <w:bookmarkEnd w:id="205"/>
      <w:bookmarkEnd w:id="206"/>
      <w:bookmarkEnd w:id="207"/>
      <w:bookmarkEnd w:id="208"/>
      <w:bookmarkEnd w:id="209"/>
    </w:p>
    <w:p w:rsidR="002C2302" w:rsidRPr="00DD3B67" w:rsidRDefault="002C2302" w:rsidP="007607A4">
      <w:pPr>
        <w:pStyle w:val="Financialnotes"/>
      </w:pPr>
      <w:r w:rsidRPr="00DD3B67">
        <w:t>There were no indications of impairment to plant and equipment or intangible assets at 30 June 201</w:t>
      </w:r>
      <w:r>
        <w:t>5</w:t>
      </w:r>
      <w:r w:rsidRPr="00DD3B67">
        <w:t>.</w:t>
      </w:r>
    </w:p>
    <w:p w:rsidR="002C2302" w:rsidRPr="00DD3B67" w:rsidRDefault="002C2302" w:rsidP="007607A4">
      <w:pPr>
        <w:pStyle w:val="Financialnotes"/>
      </w:pPr>
      <w:r w:rsidRPr="00DD3B67">
        <w:t>The Department held no goodwill or intangible assets with an indefinite useful life during the reporting period. At the end of the reporting period there were no intangible assets not yet available for use.</w:t>
      </w:r>
    </w:p>
    <w:p w:rsidR="002C2302" w:rsidRPr="00DD3B67" w:rsidRDefault="002C2302" w:rsidP="007607A4">
      <w:pPr>
        <w:pStyle w:val="Financialnotes"/>
      </w:pPr>
      <w:r w:rsidRPr="00DD3B67">
        <w:t>All surplus assets at 30 June 201</w:t>
      </w:r>
      <w:r>
        <w:t>5</w:t>
      </w:r>
      <w:r w:rsidRPr="00DD3B67">
        <w:t xml:space="preserve"> have either been classified as assets held for sale or written-off.</w:t>
      </w:r>
    </w:p>
    <w:p w:rsidR="002C2302" w:rsidRDefault="002C2302" w:rsidP="007607A4">
      <w:pPr>
        <w:pStyle w:val="Financialsheading3"/>
      </w:pPr>
      <w:bookmarkStart w:id="210" w:name="_Toc427745937"/>
      <w:proofErr w:type="gramStart"/>
      <w:r>
        <w:t>No</w:t>
      </w:r>
      <w:r w:rsidRPr="00D81BC8">
        <w:t xml:space="preserve">te </w:t>
      </w:r>
      <w:r>
        <w:t>21</w:t>
      </w:r>
      <w:r w:rsidRPr="00D81BC8">
        <w:t>.</w:t>
      </w:r>
      <w:proofErr w:type="gramEnd"/>
      <w:r w:rsidRPr="00D81BC8">
        <w:t xml:space="preserve"> </w:t>
      </w:r>
      <w:r>
        <w:t>Payables</w:t>
      </w:r>
      <w:bookmarkEnd w:id="210"/>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Tr="007607A4">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81BC8" w:rsidTr="007607A4">
        <w:tc>
          <w:tcPr>
            <w:tcW w:w="5529" w:type="dxa"/>
            <w:vAlign w:val="bottom"/>
          </w:tcPr>
          <w:p w:rsidR="002C2302" w:rsidRPr="00DD3B67" w:rsidRDefault="002C2302" w:rsidP="007607A4">
            <w:pPr>
              <w:pStyle w:val="Body"/>
              <w:spacing w:before="80"/>
              <w:ind w:left="176"/>
              <w:rPr>
                <w:sz w:val="22"/>
              </w:rPr>
            </w:pPr>
            <w:r w:rsidRPr="00DD3B67">
              <w:rPr>
                <w:sz w:val="22"/>
                <w:u w:val="single"/>
              </w:rPr>
              <w:t>Current</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8" w:type="dxa"/>
            <w:vAlign w:val="bottom"/>
          </w:tcPr>
          <w:p w:rsidR="002C2302" w:rsidRPr="00DD3B67" w:rsidRDefault="002C2302" w:rsidP="002C2302">
            <w:pPr>
              <w:pStyle w:val="Body"/>
              <w:spacing w:before="80"/>
              <w:ind w:left="0"/>
              <w:jc w:val="right"/>
              <w:rPr>
                <w:sz w:val="22"/>
              </w:rPr>
            </w:pPr>
          </w:p>
        </w:tc>
      </w:tr>
      <w:tr w:rsidR="002C2302" w:rsidRPr="00D81BC8" w:rsidTr="007607A4">
        <w:tc>
          <w:tcPr>
            <w:tcW w:w="5529" w:type="dxa"/>
            <w:vAlign w:val="bottom"/>
          </w:tcPr>
          <w:p w:rsidR="002C2302" w:rsidRPr="00DD3B67" w:rsidRDefault="002C2302" w:rsidP="007607A4">
            <w:pPr>
              <w:pStyle w:val="Body"/>
              <w:spacing w:before="80"/>
              <w:ind w:left="176"/>
              <w:rPr>
                <w:sz w:val="22"/>
              </w:rPr>
            </w:pPr>
            <w:r w:rsidRPr="00DD3B67">
              <w:rPr>
                <w:sz w:val="22"/>
              </w:rPr>
              <w:t>Accrued expenses</w:t>
            </w:r>
          </w:p>
        </w:tc>
        <w:tc>
          <w:tcPr>
            <w:tcW w:w="1418" w:type="dxa"/>
            <w:shd w:val="clear" w:color="auto" w:fill="E0DCCB" w:themeFill="accent4" w:themeFillTint="66"/>
            <w:vAlign w:val="bottom"/>
          </w:tcPr>
          <w:p w:rsidR="002C2302" w:rsidRPr="00DD3B67" w:rsidRDefault="002C2302" w:rsidP="002C2302">
            <w:pPr>
              <w:pStyle w:val="Body"/>
              <w:spacing w:before="80"/>
              <w:ind w:left="0"/>
              <w:jc w:val="right"/>
              <w:rPr>
                <w:sz w:val="22"/>
              </w:rPr>
            </w:pPr>
            <w:r>
              <w:rPr>
                <w:sz w:val="22"/>
              </w:rPr>
              <w:t>74,562</w:t>
            </w:r>
          </w:p>
        </w:tc>
        <w:tc>
          <w:tcPr>
            <w:tcW w:w="1418" w:type="dxa"/>
            <w:vAlign w:val="bottom"/>
          </w:tcPr>
          <w:p w:rsidR="002C2302" w:rsidRPr="00DD3B67" w:rsidRDefault="002C2302" w:rsidP="002C2302">
            <w:pPr>
              <w:pStyle w:val="Body"/>
              <w:spacing w:before="80"/>
              <w:ind w:left="0"/>
              <w:jc w:val="right"/>
              <w:rPr>
                <w:sz w:val="22"/>
              </w:rPr>
            </w:pPr>
            <w:r w:rsidRPr="00DD3B67">
              <w:rPr>
                <w:sz w:val="22"/>
              </w:rPr>
              <w:t>668,657</w:t>
            </w:r>
          </w:p>
        </w:tc>
      </w:tr>
      <w:tr w:rsidR="002C2302" w:rsidRPr="00D81BC8" w:rsidTr="007607A4">
        <w:tc>
          <w:tcPr>
            <w:tcW w:w="5529" w:type="dxa"/>
            <w:vAlign w:val="bottom"/>
          </w:tcPr>
          <w:p w:rsidR="002C2302" w:rsidRPr="00DD3B67" w:rsidRDefault="002C2302" w:rsidP="007607A4">
            <w:pPr>
              <w:pStyle w:val="Body"/>
              <w:spacing w:before="80"/>
              <w:ind w:left="176"/>
              <w:rPr>
                <w:rFonts w:ascii="Arial" w:eastAsia="Times New Roman" w:hAnsi="Arial" w:cs="Arial"/>
                <w:kern w:val="28"/>
                <w:sz w:val="22"/>
                <w:lang w:eastAsia="en-AU"/>
              </w:rPr>
            </w:pPr>
            <w:r w:rsidRPr="00DD3B67">
              <w:rPr>
                <w:sz w:val="22"/>
              </w:rPr>
              <w:t>Accrued salaries</w:t>
            </w:r>
          </w:p>
        </w:tc>
        <w:tc>
          <w:tcPr>
            <w:tcW w:w="1418"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sz w:val="22"/>
              </w:rPr>
              <w:t>349,081</w:t>
            </w:r>
          </w:p>
        </w:tc>
        <w:tc>
          <w:tcPr>
            <w:tcW w:w="1418" w:type="dxa"/>
            <w:tcBorders>
              <w:bottom w:val="single" w:sz="4" w:space="0" w:color="E0DCCB" w:themeColor="accent4" w:themeTint="66"/>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sz w:val="22"/>
              </w:rPr>
              <w:t>305,459</w:t>
            </w:r>
          </w:p>
        </w:tc>
      </w:tr>
      <w:tr w:rsidR="002C2302" w:rsidRPr="00D81BC8" w:rsidTr="007607A4">
        <w:tc>
          <w:tcPr>
            <w:tcW w:w="5529" w:type="dxa"/>
            <w:vAlign w:val="bottom"/>
          </w:tcPr>
          <w:p w:rsidR="002C2302" w:rsidRPr="00DD3B67" w:rsidRDefault="002C2302" w:rsidP="007607A4">
            <w:pPr>
              <w:pStyle w:val="Body"/>
              <w:spacing w:before="80"/>
              <w:ind w:left="176"/>
              <w:rPr>
                <w:rFonts w:ascii="Arial" w:eastAsia="Times New Roman" w:hAnsi="Arial" w:cs="Arial"/>
                <w:kern w:val="28"/>
                <w:sz w:val="22"/>
                <w:lang w:eastAsia="en-AU"/>
              </w:rPr>
            </w:pPr>
            <w:r w:rsidRPr="00DD3B67">
              <w:rPr>
                <w:b/>
                <w:sz w:val="22"/>
              </w:rPr>
              <w:t>Total current</w:t>
            </w: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b/>
                <w:sz w:val="22"/>
              </w:rPr>
              <w:fldChar w:fldCharType="begin"/>
            </w:r>
            <w:r w:rsidRPr="00DD3B67">
              <w:rPr>
                <w:b/>
                <w:sz w:val="22"/>
              </w:rPr>
              <w:instrText xml:space="preserve"> =SUM(ABOVE) </w:instrText>
            </w:r>
            <w:r w:rsidRPr="00DD3B67">
              <w:rPr>
                <w:b/>
                <w:sz w:val="22"/>
              </w:rPr>
              <w:fldChar w:fldCharType="separate"/>
            </w:r>
            <w:r>
              <w:rPr>
                <w:b/>
                <w:noProof/>
                <w:sz w:val="22"/>
              </w:rPr>
              <w:t>423,643</w:t>
            </w:r>
            <w:r w:rsidRPr="00DD3B67">
              <w:rPr>
                <w:b/>
                <w:sz w:val="22"/>
              </w:rPr>
              <w:fldChar w:fldCharType="end"/>
            </w:r>
          </w:p>
        </w:tc>
        <w:tc>
          <w:tcPr>
            <w:tcW w:w="1418"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b/>
                <w:sz w:val="22"/>
              </w:rPr>
              <w:fldChar w:fldCharType="begin"/>
            </w:r>
            <w:r w:rsidRPr="00DD3B67">
              <w:rPr>
                <w:b/>
                <w:sz w:val="22"/>
              </w:rPr>
              <w:instrText xml:space="preserve"> =SUM(ABOVE) </w:instrText>
            </w:r>
            <w:r w:rsidRPr="00DD3B67">
              <w:rPr>
                <w:b/>
                <w:sz w:val="22"/>
              </w:rPr>
              <w:fldChar w:fldCharType="separate"/>
            </w:r>
            <w:r w:rsidRPr="00DD3B67">
              <w:rPr>
                <w:b/>
                <w:noProof/>
                <w:sz w:val="22"/>
              </w:rPr>
              <w:t>974,116</w:t>
            </w:r>
            <w:r w:rsidRPr="00DD3B67">
              <w:rPr>
                <w:b/>
                <w:sz w:val="22"/>
              </w:rPr>
              <w:fldChar w:fldCharType="end"/>
            </w:r>
          </w:p>
        </w:tc>
      </w:tr>
    </w:tbl>
    <w:p w:rsidR="002C2302" w:rsidRPr="0097217C" w:rsidRDefault="002C2302" w:rsidP="007607A4">
      <w:pPr>
        <w:pStyle w:val="Financialsheading3"/>
      </w:pPr>
      <w:bookmarkStart w:id="211" w:name="_Toc427745938"/>
      <w:proofErr w:type="gramStart"/>
      <w:r w:rsidRPr="0097217C">
        <w:t xml:space="preserve">Note </w:t>
      </w:r>
      <w:r>
        <w:t>22</w:t>
      </w:r>
      <w:r w:rsidRPr="0097217C">
        <w:t>.</w:t>
      </w:r>
      <w:proofErr w:type="gramEnd"/>
      <w:r w:rsidRPr="0097217C">
        <w:t xml:space="preserve"> P</w:t>
      </w:r>
      <w:r>
        <w:t>rovisions</w:t>
      </w:r>
      <w:bookmarkEnd w:id="211"/>
    </w:p>
    <w:tbl>
      <w:tblPr>
        <w:tblStyle w:val="TableGrid"/>
        <w:tblW w:w="8366"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75"/>
        <w:gridCol w:w="1476"/>
        <w:gridCol w:w="1415"/>
      </w:tblGrid>
      <w:tr w:rsidR="002C2302" w:rsidRPr="00DD3B67" w:rsidTr="00DD380D">
        <w:trPr>
          <w:tblHeader/>
        </w:trPr>
        <w:tc>
          <w:tcPr>
            <w:tcW w:w="5475" w:type="dxa"/>
          </w:tcPr>
          <w:p w:rsidR="002C2302" w:rsidRPr="00DD3B67" w:rsidRDefault="002C2302" w:rsidP="002C2302">
            <w:pPr>
              <w:pStyle w:val="Body"/>
              <w:spacing w:before="80"/>
              <w:ind w:left="34"/>
              <w:rPr>
                <w:sz w:val="22"/>
              </w:rPr>
            </w:pPr>
          </w:p>
        </w:tc>
        <w:tc>
          <w:tcPr>
            <w:tcW w:w="1476"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5"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D3B67" w:rsidTr="007607A4">
        <w:tc>
          <w:tcPr>
            <w:tcW w:w="5475" w:type="dxa"/>
            <w:vAlign w:val="bottom"/>
          </w:tcPr>
          <w:p w:rsidR="002C2302" w:rsidRPr="00DD3B67" w:rsidRDefault="002C2302" w:rsidP="007607A4">
            <w:pPr>
              <w:pStyle w:val="Body"/>
              <w:spacing w:before="80"/>
              <w:ind w:left="176"/>
              <w:rPr>
                <w:sz w:val="22"/>
              </w:rPr>
            </w:pPr>
            <w:r w:rsidRPr="00DD3B67">
              <w:rPr>
                <w:sz w:val="22"/>
                <w:u w:val="single"/>
              </w:rPr>
              <w:t>Current</w:t>
            </w:r>
          </w:p>
        </w:tc>
        <w:tc>
          <w:tcPr>
            <w:tcW w:w="1476"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5" w:type="dxa"/>
            <w:vAlign w:val="bottom"/>
          </w:tcPr>
          <w:p w:rsidR="002C2302" w:rsidRPr="00DD3B67" w:rsidRDefault="002C2302" w:rsidP="002C2302">
            <w:pPr>
              <w:pStyle w:val="Body"/>
              <w:spacing w:before="80"/>
              <w:ind w:left="0"/>
              <w:jc w:val="right"/>
              <w:rPr>
                <w:sz w:val="22"/>
              </w:rPr>
            </w:pPr>
          </w:p>
        </w:tc>
      </w:tr>
      <w:tr w:rsidR="002C2302" w:rsidRPr="00DD3B67" w:rsidTr="007607A4">
        <w:tc>
          <w:tcPr>
            <w:tcW w:w="5475" w:type="dxa"/>
            <w:vAlign w:val="bottom"/>
          </w:tcPr>
          <w:p w:rsidR="002C2302" w:rsidRPr="00DD3B67" w:rsidRDefault="002C2302" w:rsidP="007607A4">
            <w:pPr>
              <w:pStyle w:val="Body"/>
              <w:spacing w:before="80"/>
              <w:ind w:left="176"/>
              <w:rPr>
                <w:sz w:val="22"/>
              </w:rPr>
            </w:pPr>
            <w:r w:rsidRPr="00DD3B67">
              <w:rPr>
                <w:i/>
                <w:sz w:val="22"/>
              </w:rPr>
              <w:t>Employee benefits provision</w:t>
            </w:r>
          </w:p>
        </w:tc>
        <w:tc>
          <w:tcPr>
            <w:tcW w:w="1476"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5" w:type="dxa"/>
            <w:vAlign w:val="bottom"/>
          </w:tcPr>
          <w:p w:rsidR="002C2302" w:rsidRPr="00DD3B67" w:rsidRDefault="002C2302" w:rsidP="002C2302">
            <w:pPr>
              <w:pStyle w:val="Body"/>
              <w:spacing w:before="80"/>
              <w:ind w:left="0"/>
              <w:jc w:val="right"/>
              <w:rPr>
                <w:sz w:val="22"/>
              </w:rPr>
            </w:pPr>
          </w:p>
        </w:tc>
      </w:tr>
      <w:tr w:rsidR="002C2302" w:rsidRPr="00DD3B67" w:rsidTr="007607A4">
        <w:tc>
          <w:tcPr>
            <w:tcW w:w="5475" w:type="dxa"/>
            <w:vAlign w:val="bottom"/>
          </w:tcPr>
          <w:p w:rsidR="002C2302" w:rsidRPr="00DD3B67" w:rsidRDefault="002C2302" w:rsidP="007607A4">
            <w:pPr>
              <w:pStyle w:val="Body"/>
              <w:spacing w:before="80"/>
              <w:ind w:left="176"/>
              <w:rPr>
                <w:sz w:val="22"/>
              </w:rPr>
            </w:pPr>
            <w:r w:rsidRPr="00DD3B67">
              <w:rPr>
                <w:sz w:val="22"/>
              </w:rPr>
              <w:t>Annual leave</w:t>
            </w:r>
            <w:r w:rsidRPr="00DD3B67">
              <w:rPr>
                <w:sz w:val="22"/>
                <w:vertAlign w:val="superscript"/>
              </w:rPr>
              <w:t>(a)(c)</w:t>
            </w:r>
          </w:p>
        </w:tc>
        <w:tc>
          <w:tcPr>
            <w:tcW w:w="1476" w:type="dxa"/>
            <w:shd w:val="clear" w:color="auto" w:fill="E0DCCB" w:themeFill="accent4" w:themeFillTint="66"/>
            <w:vAlign w:val="bottom"/>
          </w:tcPr>
          <w:p w:rsidR="002C2302" w:rsidRPr="00DD3B67" w:rsidRDefault="002C2302" w:rsidP="002C2302">
            <w:pPr>
              <w:pStyle w:val="Body"/>
              <w:spacing w:before="80"/>
              <w:ind w:left="0"/>
              <w:jc w:val="right"/>
              <w:rPr>
                <w:sz w:val="22"/>
              </w:rPr>
            </w:pPr>
            <w:r>
              <w:rPr>
                <w:sz w:val="22"/>
              </w:rPr>
              <w:t>531,840</w:t>
            </w:r>
          </w:p>
        </w:tc>
        <w:tc>
          <w:tcPr>
            <w:tcW w:w="1415" w:type="dxa"/>
            <w:vAlign w:val="bottom"/>
          </w:tcPr>
          <w:p w:rsidR="002C2302" w:rsidRPr="00DD3B67" w:rsidRDefault="002C2302" w:rsidP="002C2302">
            <w:pPr>
              <w:pStyle w:val="Body"/>
              <w:spacing w:before="80"/>
              <w:ind w:left="0"/>
              <w:jc w:val="right"/>
              <w:rPr>
                <w:sz w:val="22"/>
              </w:rPr>
            </w:pPr>
            <w:r w:rsidRPr="00DD3B67">
              <w:rPr>
                <w:sz w:val="22"/>
              </w:rPr>
              <w:t>651,527</w:t>
            </w:r>
          </w:p>
        </w:tc>
      </w:tr>
      <w:tr w:rsidR="002C2302" w:rsidRPr="00DD3B67" w:rsidTr="007607A4">
        <w:tc>
          <w:tcPr>
            <w:tcW w:w="5475" w:type="dxa"/>
            <w:vAlign w:val="bottom"/>
          </w:tcPr>
          <w:p w:rsidR="002C2302" w:rsidRPr="00DD3B67" w:rsidRDefault="002C2302" w:rsidP="007607A4">
            <w:pPr>
              <w:pStyle w:val="Body"/>
              <w:spacing w:before="80"/>
              <w:ind w:left="176"/>
              <w:rPr>
                <w:sz w:val="22"/>
              </w:rPr>
            </w:pPr>
            <w:r w:rsidRPr="00DD3B67">
              <w:rPr>
                <w:sz w:val="22"/>
              </w:rPr>
              <w:t>Long service leave</w:t>
            </w:r>
            <w:r w:rsidRPr="00DD3B67">
              <w:rPr>
                <w:sz w:val="22"/>
                <w:vertAlign w:val="superscript"/>
              </w:rPr>
              <w:t>(b)(c)</w:t>
            </w:r>
          </w:p>
        </w:tc>
        <w:tc>
          <w:tcPr>
            <w:tcW w:w="1476"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Pr>
                <w:sz w:val="22"/>
              </w:rPr>
              <w:t>1,302,915</w:t>
            </w:r>
          </w:p>
        </w:tc>
        <w:tc>
          <w:tcPr>
            <w:tcW w:w="1415" w:type="dxa"/>
            <w:tcBorders>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sz w:val="22"/>
              </w:rPr>
              <w:t>1,343,308</w:t>
            </w:r>
          </w:p>
        </w:tc>
      </w:tr>
      <w:tr w:rsidR="002C2302" w:rsidRPr="00DD3B67" w:rsidTr="007607A4">
        <w:tc>
          <w:tcPr>
            <w:tcW w:w="5475" w:type="dxa"/>
            <w:vAlign w:val="bottom"/>
          </w:tcPr>
          <w:p w:rsidR="002C2302" w:rsidRPr="00DD3B67" w:rsidRDefault="002C2302" w:rsidP="007607A4">
            <w:pPr>
              <w:pStyle w:val="Body"/>
              <w:spacing w:before="80"/>
              <w:ind w:left="176"/>
              <w:rPr>
                <w:sz w:val="22"/>
              </w:rPr>
            </w:pPr>
          </w:p>
        </w:tc>
        <w:tc>
          <w:tcPr>
            <w:tcW w:w="1476" w:type="dxa"/>
            <w:tcBorders>
              <w:top w:val="single" w:sz="4" w:space="0" w:color="FFFFFF" w:themeColor="background1"/>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sidRPr="00DD3B67">
              <w:rPr>
                <w:sz w:val="22"/>
              </w:rPr>
              <w:fldChar w:fldCharType="begin"/>
            </w:r>
            <w:r w:rsidRPr="00DD3B67">
              <w:rPr>
                <w:sz w:val="22"/>
              </w:rPr>
              <w:instrText xml:space="preserve"> =SUM(ABOVE) </w:instrText>
            </w:r>
            <w:r w:rsidRPr="00DD3B67">
              <w:rPr>
                <w:sz w:val="22"/>
              </w:rPr>
              <w:fldChar w:fldCharType="separate"/>
            </w:r>
            <w:r>
              <w:rPr>
                <w:noProof/>
                <w:sz w:val="22"/>
              </w:rPr>
              <w:t>1,834,755</w:t>
            </w:r>
            <w:r w:rsidRPr="00DD3B67">
              <w:rPr>
                <w:sz w:val="22"/>
              </w:rPr>
              <w:fldChar w:fldCharType="end"/>
            </w:r>
          </w:p>
        </w:tc>
        <w:tc>
          <w:tcPr>
            <w:tcW w:w="1415" w:type="dxa"/>
            <w:tcBorders>
              <w:top w:val="single" w:sz="4" w:space="0" w:color="E0DCCB" w:themeColor="accent4" w:themeTint="66"/>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sz w:val="22"/>
              </w:rPr>
              <w:fldChar w:fldCharType="begin"/>
            </w:r>
            <w:r w:rsidRPr="00DD3B67">
              <w:rPr>
                <w:sz w:val="22"/>
              </w:rPr>
              <w:instrText xml:space="preserve"> =SUM(ABOVE) </w:instrText>
            </w:r>
            <w:r w:rsidRPr="00DD3B67">
              <w:rPr>
                <w:sz w:val="22"/>
              </w:rPr>
              <w:fldChar w:fldCharType="separate"/>
            </w:r>
            <w:r w:rsidRPr="00DD3B67">
              <w:rPr>
                <w:noProof/>
                <w:sz w:val="22"/>
              </w:rPr>
              <w:t>1,994,835</w:t>
            </w:r>
            <w:r w:rsidRPr="00DD3B67">
              <w:rPr>
                <w:sz w:val="22"/>
              </w:rPr>
              <w:fldChar w:fldCharType="end"/>
            </w:r>
          </w:p>
        </w:tc>
      </w:tr>
      <w:tr w:rsidR="002C2302" w:rsidRPr="00DD3B67" w:rsidTr="007607A4">
        <w:tc>
          <w:tcPr>
            <w:tcW w:w="5475" w:type="dxa"/>
            <w:vAlign w:val="bottom"/>
          </w:tcPr>
          <w:p w:rsidR="002C2302" w:rsidRPr="00DD3B67" w:rsidRDefault="002C2302" w:rsidP="007607A4">
            <w:pPr>
              <w:pStyle w:val="Body"/>
              <w:spacing w:before="80"/>
              <w:ind w:left="176"/>
              <w:rPr>
                <w:sz w:val="22"/>
              </w:rPr>
            </w:pPr>
            <w:r w:rsidRPr="00DD3B67">
              <w:rPr>
                <w:i/>
                <w:sz w:val="22"/>
              </w:rPr>
              <w:t>Other provisions</w:t>
            </w:r>
          </w:p>
        </w:tc>
        <w:tc>
          <w:tcPr>
            <w:tcW w:w="1476" w:type="dxa"/>
            <w:tcBorders>
              <w:top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5" w:type="dxa"/>
            <w:tcBorders>
              <w:top w:val="single" w:sz="4" w:space="0" w:color="E0DCCB" w:themeColor="accent4" w:themeTint="66"/>
            </w:tcBorders>
            <w:vAlign w:val="bottom"/>
          </w:tcPr>
          <w:p w:rsidR="002C2302" w:rsidRPr="00DD3B67" w:rsidRDefault="002C2302" w:rsidP="002C2302">
            <w:pPr>
              <w:pStyle w:val="Body"/>
              <w:spacing w:before="80"/>
              <w:ind w:left="0"/>
              <w:jc w:val="right"/>
              <w:rPr>
                <w:sz w:val="22"/>
              </w:rPr>
            </w:pPr>
          </w:p>
        </w:tc>
      </w:tr>
      <w:tr w:rsidR="002C2302" w:rsidRPr="00DD3B67" w:rsidTr="007607A4">
        <w:tc>
          <w:tcPr>
            <w:tcW w:w="5475" w:type="dxa"/>
            <w:vAlign w:val="bottom"/>
          </w:tcPr>
          <w:p w:rsidR="002C2302" w:rsidRPr="00DD3B67" w:rsidRDefault="002C2302" w:rsidP="007607A4">
            <w:pPr>
              <w:pStyle w:val="Body"/>
              <w:spacing w:before="80"/>
              <w:ind w:left="176"/>
              <w:rPr>
                <w:sz w:val="22"/>
              </w:rPr>
            </w:pPr>
            <w:r w:rsidRPr="00DD3B67">
              <w:rPr>
                <w:sz w:val="22"/>
              </w:rPr>
              <w:t>Employment on-costs</w:t>
            </w:r>
            <w:r w:rsidRPr="00DD3B67">
              <w:rPr>
                <w:sz w:val="22"/>
                <w:vertAlign w:val="superscript"/>
              </w:rPr>
              <w:t>(d)</w:t>
            </w:r>
          </w:p>
        </w:tc>
        <w:tc>
          <w:tcPr>
            <w:tcW w:w="1476"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Pr>
                <w:sz w:val="22"/>
              </w:rPr>
              <w:t>16,756</w:t>
            </w:r>
          </w:p>
        </w:tc>
        <w:tc>
          <w:tcPr>
            <w:tcW w:w="1415" w:type="dxa"/>
            <w:tcBorders>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sz w:val="22"/>
              </w:rPr>
              <w:t>18,218</w:t>
            </w:r>
          </w:p>
        </w:tc>
      </w:tr>
      <w:tr w:rsidR="002C2302" w:rsidRPr="00DD3B67" w:rsidTr="007607A4">
        <w:tc>
          <w:tcPr>
            <w:tcW w:w="5475" w:type="dxa"/>
            <w:vAlign w:val="bottom"/>
          </w:tcPr>
          <w:p w:rsidR="002C2302" w:rsidRPr="00DD3B67" w:rsidRDefault="002C2302" w:rsidP="007607A4">
            <w:pPr>
              <w:pStyle w:val="Body"/>
              <w:spacing w:before="80"/>
              <w:ind w:left="176"/>
              <w:rPr>
                <w:sz w:val="22"/>
              </w:rPr>
            </w:pPr>
          </w:p>
        </w:tc>
        <w:tc>
          <w:tcPr>
            <w:tcW w:w="1476" w:type="dxa"/>
            <w:tcBorders>
              <w:top w:val="single" w:sz="4" w:space="0" w:color="FFFFFF" w:themeColor="background1"/>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sidRPr="00DD3B67">
              <w:rPr>
                <w:sz w:val="22"/>
              </w:rPr>
              <w:fldChar w:fldCharType="begin"/>
            </w:r>
            <w:r w:rsidRPr="00DD3B67">
              <w:rPr>
                <w:sz w:val="22"/>
              </w:rPr>
              <w:instrText xml:space="preserve"> =SUM(ABOVE) </w:instrText>
            </w:r>
            <w:r w:rsidRPr="00DD3B67">
              <w:rPr>
                <w:sz w:val="22"/>
              </w:rPr>
              <w:fldChar w:fldCharType="separate"/>
            </w:r>
            <w:r>
              <w:rPr>
                <w:noProof/>
                <w:sz w:val="22"/>
              </w:rPr>
              <w:t>16,756</w:t>
            </w:r>
            <w:r w:rsidRPr="00DD3B67">
              <w:rPr>
                <w:sz w:val="22"/>
              </w:rPr>
              <w:fldChar w:fldCharType="end"/>
            </w:r>
          </w:p>
        </w:tc>
        <w:tc>
          <w:tcPr>
            <w:tcW w:w="1415" w:type="dxa"/>
            <w:tcBorders>
              <w:top w:val="single" w:sz="4" w:space="0" w:color="E0DCCB" w:themeColor="accent4" w:themeTint="66"/>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sz w:val="22"/>
              </w:rPr>
              <w:fldChar w:fldCharType="begin"/>
            </w:r>
            <w:r w:rsidRPr="00DD3B67">
              <w:rPr>
                <w:sz w:val="22"/>
              </w:rPr>
              <w:instrText xml:space="preserve"> =SUM(ABOVE) </w:instrText>
            </w:r>
            <w:r w:rsidRPr="00DD3B67">
              <w:rPr>
                <w:sz w:val="22"/>
              </w:rPr>
              <w:fldChar w:fldCharType="separate"/>
            </w:r>
            <w:r w:rsidRPr="00DD3B67">
              <w:rPr>
                <w:noProof/>
                <w:sz w:val="22"/>
              </w:rPr>
              <w:t>18,218</w:t>
            </w:r>
            <w:r w:rsidRPr="00DD3B67">
              <w:rPr>
                <w:sz w:val="22"/>
              </w:rPr>
              <w:fldChar w:fldCharType="end"/>
            </w:r>
          </w:p>
        </w:tc>
      </w:tr>
      <w:tr w:rsidR="002C2302" w:rsidRPr="00DD3B67" w:rsidTr="007607A4">
        <w:tc>
          <w:tcPr>
            <w:tcW w:w="5475" w:type="dxa"/>
            <w:vAlign w:val="bottom"/>
          </w:tcPr>
          <w:p w:rsidR="002C2302" w:rsidRPr="00DD3B67" w:rsidRDefault="002C2302" w:rsidP="007607A4">
            <w:pPr>
              <w:pStyle w:val="Body"/>
              <w:spacing w:before="80"/>
              <w:ind w:left="176"/>
              <w:rPr>
                <w:sz w:val="22"/>
              </w:rPr>
            </w:pPr>
          </w:p>
        </w:tc>
        <w:tc>
          <w:tcPr>
            <w:tcW w:w="1476"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Pr>
                <w:b/>
                <w:sz w:val="22"/>
              </w:rPr>
              <w:t>1,851,511</w:t>
            </w:r>
          </w:p>
        </w:tc>
        <w:tc>
          <w:tcPr>
            <w:tcW w:w="1415"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sz w:val="22"/>
              </w:rPr>
            </w:pPr>
            <w:r w:rsidRPr="00DD3B67">
              <w:rPr>
                <w:b/>
                <w:sz w:val="22"/>
              </w:rPr>
              <w:t>2,013,053</w:t>
            </w:r>
          </w:p>
        </w:tc>
      </w:tr>
    </w:tbl>
    <w:p w:rsidR="00AF1407" w:rsidRDefault="00AF1407"/>
    <w:tbl>
      <w:tblPr>
        <w:tblStyle w:val="TableGrid"/>
        <w:tblW w:w="8366"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475"/>
        <w:gridCol w:w="1476"/>
        <w:gridCol w:w="1415"/>
      </w:tblGrid>
      <w:tr w:rsidR="00AF1407" w:rsidRPr="00DD3B67" w:rsidTr="000A0087">
        <w:tc>
          <w:tcPr>
            <w:tcW w:w="5475" w:type="dxa"/>
            <w:vAlign w:val="bottom"/>
          </w:tcPr>
          <w:p w:rsidR="00AF1407" w:rsidRPr="00DD3B67" w:rsidRDefault="00AF1407" w:rsidP="007607A4">
            <w:pPr>
              <w:pStyle w:val="Body"/>
              <w:spacing w:before="80"/>
              <w:ind w:left="176"/>
              <w:rPr>
                <w:sz w:val="22"/>
              </w:rPr>
            </w:pPr>
            <w:r w:rsidRPr="00DD3B67">
              <w:rPr>
                <w:sz w:val="22"/>
                <w:u w:val="single"/>
              </w:rPr>
              <w:t>Non-current</w:t>
            </w:r>
          </w:p>
        </w:tc>
        <w:tc>
          <w:tcPr>
            <w:tcW w:w="1476" w:type="dxa"/>
            <w:shd w:val="clear" w:color="auto" w:fill="E0DCCB" w:themeFill="accent4" w:themeFillTint="66"/>
          </w:tcPr>
          <w:p w:rsidR="00AF1407" w:rsidRPr="00DD3B67" w:rsidRDefault="00AF1407" w:rsidP="000A0087">
            <w:pPr>
              <w:pStyle w:val="Body"/>
              <w:spacing w:before="80"/>
              <w:ind w:left="34"/>
              <w:jc w:val="center"/>
              <w:rPr>
                <w:b/>
                <w:sz w:val="22"/>
              </w:rPr>
            </w:pPr>
            <w:r w:rsidRPr="00DD3B67">
              <w:rPr>
                <w:b/>
                <w:sz w:val="22"/>
              </w:rPr>
              <w:t>201</w:t>
            </w:r>
            <w:r>
              <w:rPr>
                <w:b/>
                <w:sz w:val="22"/>
              </w:rPr>
              <w:t>5</w:t>
            </w:r>
            <w:r w:rsidRPr="00DD3B67">
              <w:rPr>
                <w:b/>
                <w:sz w:val="22"/>
              </w:rPr>
              <w:br/>
              <w:t>$</w:t>
            </w:r>
          </w:p>
        </w:tc>
        <w:tc>
          <w:tcPr>
            <w:tcW w:w="1415" w:type="dxa"/>
          </w:tcPr>
          <w:p w:rsidR="00AF1407" w:rsidRPr="00DD3B67" w:rsidRDefault="00AF1407" w:rsidP="000A0087">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D3B67" w:rsidTr="007607A4">
        <w:tc>
          <w:tcPr>
            <w:tcW w:w="5475" w:type="dxa"/>
            <w:vAlign w:val="bottom"/>
          </w:tcPr>
          <w:p w:rsidR="002C2302" w:rsidRPr="00DD3B67" w:rsidRDefault="002C2302" w:rsidP="007607A4">
            <w:pPr>
              <w:pStyle w:val="Body"/>
              <w:spacing w:before="80"/>
              <w:ind w:left="176"/>
              <w:rPr>
                <w:sz w:val="22"/>
              </w:rPr>
            </w:pPr>
            <w:r w:rsidRPr="00DD3B67">
              <w:rPr>
                <w:i/>
                <w:sz w:val="22"/>
              </w:rPr>
              <w:t>Employee benefits provision</w:t>
            </w:r>
          </w:p>
        </w:tc>
        <w:tc>
          <w:tcPr>
            <w:tcW w:w="1476" w:type="dxa"/>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5" w:type="dxa"/>
            <w:vAlign w:val="bottom"/>
          </w:tcPr>
          <w:p w:rsidR="002C2302" w:rsidRPr="00DD3B67" w:rsidRDefault="002C2302" w:rsidP="002C2302">
            <w:pPr>
              <w:pStyle w:val="Body"/>
              <w:spacing w:before="80"/>
              <w:ind w:left="0"/>
              <w:jc w:val="right"/>
              <w:rPr>
                <w:sz w:val="22"/>
              </w:rPr>
            </w:pPr>
          </w:p>
        </w:tc>
      </w:tr>
      <w:tr w:rsidR="002C2302" w:rsidRPr="00DD3B67" w:rsidTr="007607A4">
        <w:tc>
          <w:tcPr>
            <w:tcW w:w="5475" w:type="dxa"/>
            <w:vAlign w:val="bottom"/>
          </w:tcPr>
          <w:p w:rsidR="002C2302" w:rsidRPr="00DD3B67" w:rsidRDefault="002C2302" w:rsidP="007607A4">
            <w:pPr>
              <w:pStyle w:val="Body"/>
              <w:spacing w:before="80"/>
              <w:ind w:left="176"/>
              <w:rPr>
                <w:sz w:val="22"/>
              </w:rPr>
            </w:pPr>
            <w:r w:rsidRPr="00DD3B67">
              <w:rPr>
                <w:sz w:val="22"/>
              </w:rPr>
              <w:t>Long service leave</w:t>
            </w:r>
            <w:r w:rsidRPr="00DD3B67">
              <w:rPr>
                <w:sz w:val="22"/>
                <w:vertAlign w:val="superscript"/>
              </w:rPr>
              <w:t>(b)(c)</w:t>
            </w:r>
          </w:p>
        </w:tc>
        <w:tc>
          <w:tcPr>
            <w:tcW w:w="1476"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Pr>
                <w:sz w:val="22"/>
              </w:rPr>
              <w:t>652,590</w:t>
            </w:r>
          </w:p>
        </w:tc>
        <w:tc>
          <w:tcPr>
            <w:tcW w:w="1415" w:type="dxa"/>
            <w:tcBorders>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sz w:val="22"/>
              </w:rPr>
              <w:t>806,342</w:t>
            </w:r>
          </w:p>
        </w:tc>
      </w:tr>
      <w:tr w:rsidR="002C2302" w:rsidRPr="00DD3B67" w:rsidTr="007607A4">
        <w:tc>
          <w:tcPr>
            <w:tcW w:w="5475" w:type="dxa"/>
            <w:vAlign w:val="bottom"/>
          </w:tcPr>
          <w:p w:rsidR="002C2302" w:rsidRPr="00DD3B67" w:rsidRDefault="002C2302" w:rsidP="007607A4">
            <w:pPr>
              <w:pStyle w:val="Body"/>
              <w:spacing w:before="80"/>
              <w:ind w:left="176"/>
              <w:rPr>
                <w:sz w:val="22"/>
              </w:rPr>
            </w:pPr>
          </w:p>
        </w:tc>
        <w:tc>
          <w:tcPr>
            <w:tcW w:w="1476" w:type="dxa"/>
            <w:tcBorders>
              <w:top w:val="single" w:sz="4" w:space="0" w:color="FFFFFF" w:themeColor="background1"/>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sz w:val="22"/>
              </w:rPr>
              <w:fldChar w:fldCharType="begin"/>
            </w:r>
            <w:r w:rsidRPr="00DD3B67">
              <w:rPr>
                <w:sz w:val="22"/>
              </w:rPr>
              <w:instrText xml:space="preserve"> =SUM(ABOVE) </w:instrText>
            </w:r>
            <w:r w:rsidRPr="00DD3B67">
              <w:rPr>
                <w:sz w:val="22"/>
              </w:rPr>
              <w:fldChar w:fldCharType="separate"/>
            </w:r>
            <w:r>
              <w:rPr>
                <w:noProof/>
                <w:sz w:val="22"/>
              </w:rPr>
              <w:t>652,590</w:t>
            </w:r>
            <w:r w:rsidRPr="00DD3B67">
              <w:rPr>
                <w:sz w:val="22"/>
              </w:rPr>
              <w:fldChar w:fldCharType="end"/>
            </w:r>
          </w:p>
        </w:tc>
        <w:tc>
          <w:tcPr>
            <w:tcW w:w="1415" w:type="dxa"/>
            <w:tcBorders>
              <w:top w:val="single" w:sz="4" w:space="0" w:color="E0DCCB" w:themeColor="accent4" w:themeTint="66"/>
              <w:bottom w:val="single" w:sz="4" w:space="0" w:color="E0DCCB" w:themeColor="accent4" w:themeTint="66"/>
            </w:tcBorders>
            <w:vAlign w:val="bottom"/>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sz w:val="22"/>
              </w:rPr>
              <w:fldChar w:fldCharType="begin"/>
            </w:r>
            <w:r w:rsidRPr="00DD3B67">
              <w:rPr>
                <w:sz w:val="22"/>
              </w:rPr>
              <w:instrText xml:space="preserve"> =SUM(ABOVE) </w:instrText>
            </w:r>
            <w:r w:rsidRPr="00DD3B67">
              <w:rPr>
                <w:sz w:val="22"/>
              </w:rPr>
              <w:fldChar w:fldCharType="separate"/>
            </w:r>
            <w:r w:rsidRPr="00DD3B67">
              <w:rPr>
                <w:noProof/>
                <w:sz w:val="22"/>
              </w:rPr>
              <w:t>806,342</w:t>
            </w:r>
            <w:r w:rsidRPr="00DD3B67">
              <w:rPr>
                <w:sz w:val="22"/>
              </w:rPr>
              <w:fldChar w:fldCharType="end"/>
            </w:r>
          </w:p>
        </w:tc>
      </w:tr>
      <w:tr w:rsidR="002C2302" w:rsidRPr="00DD3B67" w:rsidTr="007607A4">
        <w:trPr>
          <w:trHeight w:val="187"/>
        </w:trPr>
        <w:tc>
          <w:tcPr>
            <w:tcW w:w="5475" w:type="dxa"/>
            <w:vAlign w:val="bottom"/>
          </w:tcPr>
          <w:p w:rsidR="002C2302" w:rsidRPr="00DD3B67" w:rsidRDefault="002C2302" w:rsidP="007607A4">
            <w:pPr>
              <w:pStyle w:val="Body"/>
              <w:spacing w:before="80"/>
              <w:ind w:left="176"/>
              <w:rPr>
                <w:sz w:val="22"/>
              </w:rPr>
            </w:pPr>
            <w:r w:rsidRPr="00DD3B67">
              <w:rPr>
                <w:i/>
                <w:sz w:val="22"/>
              </w:rPr>
              <w:t>Other provisions</w:t>
            </w:r>
          </w:p>
        </w:tc>
        <w:tc>
          <w:tcPr>
            <w:tcW w:w="1476" w:type="dxa"/>
            <w:tcBorders>
              <w:top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p>
        </w:tc>
        <w:tc>
          <w:tcPr>
            <w:tcW w:w="1415" w:type="dxa"/>
            <w:tcBorders>
              <w:top w:val="single" w:sz="4" w:space="0" w:color="E0DCCB" w:themeColor="accent4" w:themeTint="66"/>
            </w:tcBorders>
            <w:vAlign w:val="bottom"/>
          </w:tcPr>
          <w:p w:rsidR="002C2302" w:rsidRPr="00DD3B67" w:rsidRDefault="002C2302" w:rsidP="002C2302">
            <w:pPr>
              <w:pStyle w:val="Body"/>
              <w:spacing w:before="80"/>
              <w:ind w:left="0"/>
              <w:jc w:val="right"/>
              <w:rPr>
                <w:sz w:val="22"/>
              </w:rPr>
            </w:pPr>
          </w:p>
        </w:tc>
      </w:tr>
      <w:tr w:rsidR="002C2302" w:rsidRPr="00DD3B67" w:rsidTr="007607A4">
        <w:tc>
          <w:tcPr>
            <w:tcW w:w="5475" w:type="dxa"/>
            <w:vAlign w:val="bottom"/>
          </w:tcPr>
          <w:p w:rsidR="002C2302" w:rsidRPr="00DD3B67" w:rsidRDefault="002C2302" w:rsidP="007607A4">
            <w:pPr>
              <w:pStyle w:val="Body"/>
              <w:spacing w:before="80"/>
              <w:ind w:left="176"/>
              <w:rPr>
                <w:sz w:val="22"/>
              </w:rPr>
            </w:pPr>
            <w:r w:rsidRPr="00DD3B67">
              <w:rPr>
                <w:sz w:val="22"/>
              </w:rPr>
              <w:t>Employment on-costs</w:t>
            </w:r>
            <w:r w:rsidRPr="00DD3B67">
              <w:rPr>
                <w:sz w:val="22"/>
                <w:vertAlign w:val="superscript"/>
              </w:rPr>
              <w:t>(d)</w:t>
            </w:r>
          </w:p>
        </w:tc>
        <w:tc>
          <w:tcPr>
            <w:tcW w:w="1476" w:type="dxa"/>
            <w:tcBorders>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Pr>
                <w:sz w:val="22"/>
              </w:rPr>
              <w:t>5,960</w:t>
            </w:r>
          </w:p>
        </w:tc>
        <w:tc>
          <w:tcPr>
            <w:tcW w:w="1415" w:type="dxa"/>
            <w:tcBorders>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sz w:val="22"/>
              </w:rPr>
              <w:t>7,364</w:t>
            </w:r>
          </w:p>
        </w:tc>
      </w:tr>
      <w:tr w:rsidR="002C2302" w:rsidRPr="00DD3B67" w:rsidTr="007607A4">
        <w:tc>
          <w:tcPr>
            <w:tcW w:w="5475" w:type="dxa"/>
            <w:vAlign w:val="bottom"/>
          </w:tcPr>
          <w:p w:rsidR="002C2302" w:rsidRPr="00DD3B67" w:rsidRDefault="002C2302" w:rsidP="007607A4">
            <w:pPr>
              <w:pStyle w:val="Body"/>
              <w:spacing w:before="80"/>
              <w:ind w:left="176"/>
              <w:rPr>
                <w:sz w:val="22"/>
              </w:rPr>
            </w:pPr>
          </w:p>
        </w:tc>
        <w:tc>
          <w:tcPr>
            <w:tcW w:w="1476" w:type="dxa"/>
            <w:tcBorders>
              <w:top w:val="single" w:sz="4" w:space="0" w:color="FFFFFF" w:themeColor="background1"/>
              <w:bottom w:val="single" w:sz="4" w:space="0" w:color="FFFFFF" w:themeColor="background1"/>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sidRPr="00DD3B67">
              <w:rPr>
                <w:sz w:val="22"/>
              </w:rPr>
              <w:fldChar w:fldCharType="begin"/>
            </w:r>
            <w:r w:rsidRPr="00DD3B67">
              <w:rPr>
                <w:sz w:val="22"/>
              </w:rPr>
              <w:instrText xml:space="preserve"> =SUM(ABOVE) </w:instrText>
            </w:r>
            <w:r w:rsidRPr="00DD3B67">
              <w:rPr>
                <w:sz w:val="22"/>
              </w:rPr>
              <w:fldChar w:fldCharType="separate"/>
            </w:r>
            <w:r>
              <w:rPr>
                <w:noProof/>
                <w:sz w:val="22"/>
              </w:rPr>
              <w:t>5,960</w:t>
            </w:r>
            <w:r w:rsidRPr="00DD3B67">
              <w:rPr>
                <w:sz w:val="22"/>
              </w:rPr>
              <w:fldChar w:fldCharType="end"/>
            </w:r>
          </w:p>
        </w:tc>
        <w:tc>
          <w:tcPr>
            <w:tcW w:w="1415" w:type="dxa"/>
            <w:tcBorders>
              <w:top w:val="single" w:sz="4" w:space="0" w:color="E0DCCB" w:themeColor="accent4" w:themeTint="66"/>
              <w:bottom w:val="single" w:sz="4" w:space="0" w:color="E0DCCB" w:themeColor="accent4" w:themeTint="66"/>
            </w:tcBorders>
            <w:vAlign w:val="bottom"/>
          </w:tcPr>
          <w:p w:rsidR="002C2302" w:rsidRPr="00DD3B67" w:rsidRDefault="002C2302" w:rsidP="002C2302">
            <w:pPr>
              <w:pStyle w:val="Body"/>
              <w:spacing w:before="80"/>
              <w:ind w:left="0"/>
              <w:jc w:val="right"/>
              <w:rPr>
                <w:sz w:val="22"/>
              </w:rPr>
            </w:pPr>
            <w:r w:rsidRPr="00DD3B67">
              <w:rPr>
                <w:sz w:val="22"/>
              </w:rPr>
              <w:fldChar w:fldCharType="begin"/>
            </w:r>
            <w:r w:rsidRPr="00DD3B67">
              <w:rPr>
                <w:sz w:val="22"/>
              </w:rPr>
              <w:instrText xml:space="preserve"> =SUM(ABOVE) </w:instrText>
            </w:r>
            <w:r w:rsidRPr="00DD3B67">
              <w:rPr>
                <w:sz w:val="22"/>
              </w:rPr>
              <w:fldChar w:fldCharType="separate"/>
            </w:r>
            <w:r w:rsidRPr="00DD3B67">
              <w:rPr>
                <w:noProof/>
                <w:sz w:val="22"/>
              </w:rPr>
              <w:t>7,364</w:t>
            </w:r>
            <w:r w:rsidRPr="00DD3B67">
              <w:rPr>
                <w:sz w:val="22"/>
              </w:rPr>
              <w:fldChar w:fldCharType="end"/>
            </w:r>
          </w:p>
        </w:tc>
      </w:tr>
      <w:tr w:rsidR="002C2302" w:rsidRPr="00DD3B67" w:rsidTr="007607A4">
        <w:tc>
          <w:tcPr>
            <w:tcW w:w="5475" w:type="dxa"/>
            <w:vAlign w:val="bottom"/>
          </w:tcPr>
          <w:p w:rsidR="002C2302" w:rsidRPr="00DD3B67" w:rsidRDefault="002C2302" w:rsidP="007607A4">
            <w:pPr>
              <w:pStyle w:val="Body"/>
              <w:spacing w:before="80"/>
              <w:ind w:left="176"/>
              <w:rPr>
                <w:sz w:val="22"/>
              </w:rPr>
            </w:pPr>
          </w:p>
        </w:tc>
        <w:tc>
          <w:tcPr>
            <w:tcW w:w="1476" w:type="dxa"/>
            <w:tcBorders>
              <w:top w:val="single" w:sz="4" w:space="0" w:color="FFFFFF" w:themeColor="background1"/>
              <w:bottom w:val="single" w:sz="4" w:space="0" w:color="B2A97E" w:themeColor="accent4"/>
            </w:tcBorders>
            <w:shd w:val="clear" w:color="auto" w:fill="E0DCCB" w:themeFill="accent4" w:themeFillTint="66"/>
            <w:vAlign w:val="bottom"/>
          </w:tcPr>
          <w:p w:rsidR="002C2302" w:rsidRPr="00DD3B67" w:rsidRDefault="002C2302" w:rsidP="002C2302">
            <w:pPr>
              <w:pStyle w:val="Body"/>
              <w:spacing w:before="80"/>
              <w:ind w:left="0"/>
              <w:jc w:val="right"/>
              <w:rPr>
                <w:sz w:val="22"/>
              </w:rPr>
            </w:pPr>
            <w:r>
              <w:rPr>
                <w:b/>
                <w:sz w:val="22"/>
              </w:rPr>
              <w:t>658,550</w:t>
            </w:r>
          </w:p>
        </w:tc>
        <w:tc>
          <w:tcPr>
            <w:tcW w:w="1415" w:type="dxa"/>
            <w:tcBorders>
              <w:top w:val="single" w:sz="4" w:space="0" w:color="E0DCCB" w:themeColor="accent4" w:themeTint="66"/>
              <w:bottom w:val="single" w:sz="4" w:space="0" w:color="B2A97E" w:themeColor="accent4"/>
            </w:tcBorders>
            <w:vAlign w:val="bottom"/>
          </w:tcPr>
          <w:p w:rsidR="002C2302" w:rsidRPr="00DD3B67" w:rsidRDefault="002C2302" w:rsidP="002C2302">
            <w:pPr>
              <w:pStyle w:val="Body"/>
              <w:spacing w:before="80"/>
              <w:ind w:left="0"/>
              <w:jc w:val="right"/>
              <w:rPr>
                <w:sz w:val="22"/>
              </w:rPr>
            </w:pPr>
            <w:r w:rsidRPr="00DD3B67">
              <w:rPr>
                <w:b/>
                <w:sz w:val="22"/>
              </w:rPr>
              <w:t>813,706</w:t>
            </w:r>
          </w:p>
        </w:tc>
      </w:tr>
    </w:tbl>
    <w:p w:rsidR="002C2302" w:rsidRPr="00DD3B67" w:rsidRDefault="002C2302" w:rsidP="008D4CEC">
      <w:pPr>
        <w:pStyle w:val="Financialnotes"/>
        <w:numPr>
          <w:ilvl w:val="0"/>
          <w:numId w:val="12"/>
        </w:numPr>
        <w:spacing w:before="120"/>
        <w:ind w:left="1843" w:hanging="425"/>
        <w:rPr>
          <w:lang w:eastAsia="en-AU"/>
        </w:rPr>
      </w:pPr>
      <w:r w:rsidRPr="00DD3B67">
        <w:lastRenderedPageBreak/>
        <w:t>Annual leave liabilities have been classified as current as there is no unconditional right to defer settlement for at least 12 months after the end of the reporting period. Assessments indicate that actual settlement of the liabilities is expected to occur as follows:</w:t>
      </w:r>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RPr="00DD3B67" w:rsidTr="00AF1407">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D3B67" w:rsidTr="00AF1407">
        <w:tc>
          <w:tcPr>
            <w:tcW w:w="5529" w:type="dxa"/>
          </w:tcPr>
          <w:p w:rsidR="002C2302" w:rsidRPr="00DD3B67" w:rsidRDefault="002C2302" w:rsidP="00AF1407">
            <w:pPr>
              <w:pStyle w:val="Body"/>
              <w:spacing w:before="80"/>
              <w:ind w:left="176"/>
              <w:rPr>
                <w:sz w:val="22"/>
              </w:rPr>
            </w:pPr>
            <w:r w:rsidRPr="00DD3B67">
              <w:rPr>
                <w:rFonts w:cs="Arial"/>
                <w:sz w:val="22"/>
              </w:rPr>
              <w:t>Within 12 months of the end of the reporting period</w:t>
            </w:r>
          </w:p>
        </w:tc>
        <w:tc>
          <w:tcPr>
            <w:tcW w:w="1418" w:type="dxa"/>
            <w:shd w:val="clear" w:color="auto" w:fill="E0DCCB" w:themeFill="accent4" w:themeFillTint="66"/>
          </w:tcPr>
          <w:p w:rsidR="002C2302" w:rsidRPr="00DD3B67" w:rsidRDefault="002C2302" w:rsidP="002C2302">
            <w:pPr>
              <w:pStyle w:val="Body"/>
              <w:spacing w:before="80"/>
              <w:ind w:left="0"/>
              <w:jc w:val="right"/>
              <w:rPr>
                <w:sz w:val="22"/>
              </w:rPr>
            </w:pPr>
            <w:r>
              <w:rPr>
                <w:rFonts w:cs="Arial"/>
                <w:sz w:val="22"/>
              </w:rPr>
              <w:t>326,485</w:t>
            </w:r>
          </w:p>
        </w:tc>
        <w:tc>
          <w:tcPr>
            <w:tcW w:w="1418" w:type="dxa"/>
          </w:tcPr>
          <w:p w:rsidR="002C2302" w:rsidRPr="00DD3B67" w:rsidRDefault="002C2302" w:rsidP="002C2302">
            <w:pPr>
              <w:pStyle w:val="Body"/>
              <w:spacing w:before="80"/>
              <w:ind w:left="0"/>
              <w:jc w:val="right"/>
              <w:rPr>
                <w:sz w:val="22"/>
              </w:rPr>
            </w:pPr>
            <w:r w:rsidRPr="00DD3B67">
              <w:rPr>
                <w:rFonts w:cs="Arial"/>
                <w:sz w:val="22"/>
              </w:rPr>
              <w:t>379,999</w:t>
            </w:r>
          </w:p>
        </w:tc>
      </w:tr>
      <w:tr w:rsidR="002C2302" w:rsidRPr="00DD3B67" w:rsidTr="00AF1407">
        <w:tc>
          <w:tcPr>
            <w:tcW w:w="5529" w:type="dxa"/>
          </w:tcPr>
          <w:p w:rsidR="002C2302" w:rsidRPr="00DD3B67" w:rsidRDefault="002C2302" w:rsidP="00AF1407">
            <w:pPr>
              <w:pStyle w:val="Body"/>
              <w:spacing w:before="80"/>
              <w:ind w:left="176"/>
              <w:rPr>
                <w:rFonts w:ascii="Arial" w:eastAsia="Times New Roman" w:hAnsi="Arial" w:cs="Arial"/>
                <w:kern w:val="28"/>
                <w:sz w:val="22"/>
                <w:lang w:eastAsia="en-AU"/>
              </w:rPr>
            </w:pPr>
            <w:r w:rsidRPr="00DD3B67">
              <w:rPr>
                <w:rFonts w:cs="Arial"/>
                <w:sz w:val="22"/>
              </w:rPr>
              <w:t>More than 12 months after the end of the reporting period</w:t>
            </w:r>
          </w:p>
        </w:tc>
        <w:tc>
          <w:tcPr>
            <w:tcW w:w="1418" w:type="dxa"/>
            <w:tcBorders>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rFonts w:ascii="Arial" w:eastAsia="Times New Roman" w:hAnsi="Arial" w:cs="Arial"/>
                <w:kern w:val="28"/>
                <w:sz w:val="22"/>
                <w:lang w:eastAsia="en-AU"/>
              </w:rPr>
            </w:pPr>
            <w:r>
              <w:rPr>
                <w:rFonts w:cs="Arial"/>
                <w:sz w:val="22"/>
              </w:rPr>
              <w:t>205,355</w:t>
            </w:r>
          </w:p>
        </w:tc>
        <w:tc>
          <w:tcPr>
            <w:tcW w:w="1418" w:type="dxa"/>
            <w:tcBorders>
              <w:bottom w:val="single" w:sz="4" w:space="0" w:color="E0DCCB" w:themeColor="accent4" w:themeTint="66"/>
            </w:tcBorders>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cs="Arial"/>
                <w:sz w:val="22"/>
              </w:rPr>
              <w:t>271,528</w:t>
            </w:r>
          </w:p>
        </w:tc>
      </w:tr>
      <w:tr w:rsidR="002C2302" w:rsidRPr="00DD3B67" w:rsidTr="00AF1407">
        <w:tc>
          <w:tcPr>
            <w:tcW w:w="5529" w:type="dxa"/>
          </w:tcPr>
          <w:p w:rsidR="002C2302" w:rsidRPr="00DD3B67" w:rsidRDefault="002C2302" w:rsidP="002C2302">
            <w:pPr>
              <w:pStyle w:val="Body"/>
              <w:spacing w:before="80"/>
              <w:ind w:left="-108"/>
              <w:rPr>
                <w:rFonts w:ascii="Arial" w:eastAsia="Times New Roman" w:hAnsi="Arial" w:cs="Arial"/>
                <w:kern w:val="28"/>
                <w:sz w:val="22"/>
                <w:lang w:eastAsia="en-AU"/>
              </w:rPr>
            </w:pPr>
          </w:p>
        </w:tc>
        <w:tc>
          <w:tcPr>
            <w:tcW w:w="1418" w:type="dxa"/>
            <w:tcBorders>
              <w:top w:val="single" w:sz="4" w:space="0" w:color="FFFFFF" w:themeColor="background1"/>
              <w:bottom w:val="single" w:sz="4" w:space="0" w:color="FFFFFF" w:themeColor="background1"/>
            </w:tcBorders>
            <w:shd w:val="clear" w:color="auto" w:fill="E0DCCB" w:themeFill="accent4" w:themeFillTint="66"/>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cs="Arial"/>
                <w:b/>
                <w:sz w:val="22"/>
              </w:rPr>
              <w:fldChar w:fldCharType="begin"/>
            </w:r>
            <w:r w:rsidRPr="00DD3B67">
              <w:rPr>
                <w:rFonts w:cs="Arial"/>
                <w:b/>
                <w:sz w:val="22"/>
              </w:rPr>
              <w:instrText xml:space="preserve"> =SUM(ABOVE) </w:instrText>
            </w:r>
            <w:r w:rsidRPr="00DD3B67">
              <w:rPr>
                <w:rFonts w:cs="Arial"/>
                <w:b/>
                <w:sz w:val="22"/>
              </w:rPr>
              <w:fldChar w:fldCharType="separate"/>
            </w:r>
            <w:r>
              <w:rPr>
                <w:rFonts w:cs="Arial"/>
                <w:b/>
                <w:noProof/>
                <w:sz w:val="22"/>
              </w:rPr>
              <w:t>531,840</w:t>
            </w:r>
            <w:r w:rsidRPr="00DD3B67">
              <w:rPr>
                <w:rFonts w:cs="Arial"/>
                <w:b/>
                <w:sz w:val="22"/>
              </w:rPr>
              <w:fldChar w:fldCharType="end"/>
            </w:r>
          </w:p>
        </w:tc>
        <w:tc>
          <w:tcPr>
            <w:tcW w:w="1418" w:type="dxa"/>
            <w:tcBorders>
              <w:top w:val="single" w:sz="4" w:space="0" w:color="E0DCCB" w:themeColor="accent4" w:themeTint="66"/>
              <w:bottom w:val="single" w:sz="4" w:space="0" w:color="E0DCCB" w:themeColor="accent4" w:themeTint="66"/>
            </w:tcBorders>
          </w:tcPr>
          <w:p w:rsidR="002C2302" w:rsidRPr="00DD3B67" w:rsidRDefault="002C2302" w:rsidP="002C2302">
            <w:pPr>
              <w:pStyle w:val="Body"/>
              <w:spacing w:before="80"/>
              <w:ind w:left="0"/>
              <w:jc w:val="right"/>
              <w:rPr>
                <w:rFonts w:ascii="Arial" w:eastAsia="Times New Roman" w:hAnsi="Arial" w:cs="Arial"/>
                <w:kern w:val="28"/>
                <w:sz w:val="22"/>
                <w:lang w:eastAsia="en-AU"/>
              </w:rPr>
            </w:pPr>
            <w:r w:rsidRPr="00DD3B67">
              <w:rPr>
                <w:rFonts w:cs="Arial"/>
                <w:b/>
                <w:sz w:val="22"/>
              </w:rPr>
              <w:fldChar w:fldCharType="begin"/>
            </w:r>
            <w:r w:rsidRPr="00DD3B67">
              <w:rPr>
                <w:rFonts w:cs="Arial"/>
                <w:b/>
                <w:sz w:val="22"/>
              </w:rPr>
              <w:instrText xml:space="preserve"> =SUM(ABOVE) </w:instrText>
            </w:r>
            <w:r w:rsidRPr="00DD3B67">
              <w:rPr>
                <w:rFonts w:cs="Arial"/>
                <w:b/>
                <w:sz w:val="22"/>
              </w:rPr>
              <w:fldChar w:fldCharType="separate"/>
            </w:r>
            <w:r w:rsidRPr="00DD3B67">
              <w:rPr>
                <w:rFonts w:cs="Arial"/>
                <w:b/>
                <w:noProof/>
                <w:sz w:val="22"/>
              </w:rPr>
              <w:t>651,527</w:t>
            </w:r>
            <w:r w:rsidRPr="00DD3B67">
              <w:rPr>
                <w:rFonts w:cs="Arial"/>
                <w:b/>
                <w:sz w:val="22"/>
              </w:rPr>
              <w:fldChar w:fldCharType="end"/>
            </w:r>
          </w:p>
        </w:tc>
      </w:tr>
    </w:tbl>
    <w:p w:rsidR="002C2302" w:rsidRPr="00DD3B67" w:rsidRDefault="002C2302" w:rsidP="008D4CEC">
      <w:pPr>
        <w:pStyle w:val="Body"/>
        <w:numPr>
          <w:ilvl w:val="0"/>
          <w:numId w:val="13"/>
        </w:numPr>
        <w:spacing w:before="200" w:after="0"/>
        <w:rPr>
          <w:sz w:val="22"/>
          <w:lang w:eastAsia="en-AU"/>
        </w:rPr>
      </w:pPr>
      <w:r w:rsidRPr="00DD3B67">
        <w:rPr>
          <w:rFonts w:cs="Arial"/>
          <w:sz w:val="22"/>
        </w:rPr>
        <w:t>Long service leave liabilities have been classified as current where there is no unconditional right to defer settlement for at least 12 months after the end of the reporting period. Assessments indicate that actual settlement of the liabilities is expected to occur as follows:</w:t>
      </w:r>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2C2302" w:rsidRPr="00DD3B67" w:rsidTr="00AF1407">
        <w:tc>
          <w:tcPr>
            <w:tcW w:w="5529" w:type="dxa"/>
          </w:tcPr>
          <w:p w:rsidR="002C2302" w:rsidRPr="00DD3B67" w:rsidRDefault="002C2302" w:rsidP="002C2302">
            <w:pPr>
              <w:pStyle w:val="Body"/>
              <w:spacing w:before="80"/>
              <w:ind w:left="34"/>
              <w:rPr>
                <w:sz w:val="22"/>
              </w:rPr>
            </w:pP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2C2302" w:rsidRPr="00DD3B67" w:rsidRDefault="002C2302" w:rsidP="002C2302">
            <w:pPr>
              <w:pStyle w:val="Body"/>
              <w:spacing w:before="80"/>
              <w:ind w:left="34"/>
              <w:jc w:val="center"/>
              <w:rPr>
                <w:b/>
                <w:sz w:val="22"/>
              </w:rPr>
            </w:pPr>
            <w:r w:rsidRPr="00DD3B67">
              <w:rPr>
                <w:b/>
                <w:sz w:val="22"/>
              </w:rPr>
              <w:t>201</w:t>
            </w:r>
            <w:r>
              <w:rPr>
                <w:b/>
                <w:sz w:val="22"/>
              </w:rPr>
              <w:t>4</w:t>
            </w:r>
            <w:r w:rsidRPr="00DD3B67">
              <w:rPr>
                <w:b/>
                <w:sz w:val="22"/>
              </w:rPr>
              <w:br/>
              <w:t>$</w:t>
            </w:r>
          </w:p>
        </w:tc>
      </w:tr>
      <w:tr w:rsidR="002C2302" w:rsidRPr="00DD3B67" w:rsidTr="00AF1407">
        <w:tc>
          <w:tcPr>
            <w:tcW w:w="5529" w:type="dxa"/>
            <w:vAlign w:val="bottom"/>
          </w:tcPr>
          <w:p w:rsidR="002C2302" w:rsidRPr="00DD3B67" w:rsidRDefault="002C2302" w:rsidP="00AF1407">
            <w:pPr>
              <w:pStyle w:val="Body"/>
              <w:spacing w:before="80"/>
              <w:ind w:left="176"/>
              <w:rPr>
                <w:sz w:val="22"/>
              </w:rPr>
            </w:pPr>
            <w:r w:rsidRPr="00DD3B67">
              <w:rPr>
                <w:rFonts w:cs="Arial"/>
                <w:sz w:val="22"/>
              </w:rPr>
              <w:t>Within 12 months of the end of the reporting period</w:t>
            </w:r>
          </w:p>
        </w:tc>
        <w:tc>
          <w:tcPr>
            <w:tcW w:w="1418" w:type="dxa"/>
            <w:shd w:val="clear" w:color="auto" w:fill="E0DCCB" w:themeFill="accent4" w:themeFillTint="66"/>
            <w:vAlign w:val="bottom"/>
          </w:tcPr>
          <w:p w:rsidR="002C2302" w:rsidRPr="00DD3B67" w:rsidRDefault="002C2302" w:rsidP="00A57DBF">
            <w:pPr>
              <w:pStyle w:val="Body"/>
              <w:spacing w:before="80"/>
              <w:ind w:left="0"/>
              <w:jc w:val="right"/>
              <w:rPr>
                <w:sz w:val="22"/>
              </w:rPr>
            </w:pPr>
            <w:r>
              <w:rPr>
                <w:rFonts w:cs="Arial"/>
                <w:sz w:val="22"/>
              </w:rPr>
              <w:t>4</w:t>
            </w:r>
            <w:r w:rsidR="00A57DBF">
              <w:rPr>
                <w:rFonts w:cs="Arial"/>
                <w:sz w:val="22"/>
              </w:rPr>
              <w:t>80,281</w:t>
            </w:r>
          </w:p>
        </w:tc>
        <w:tc>
          <w:tcPr>
            <w:tcW w:w="1418" w:type="dxa"/>
            <w:vAlign w:val="bottom"/>
          </w:tcPr>
          <w:p w:rsidR="002C2302" w:rsidRPr="00DD3B67" w:rsidRDefault="002C2302" w:rsidP="002C2302">
            <w:pPr>
              <w:pStyle w:val="Body"/>
              <w:spacing w:before="80"/>
              <w:ind w:left="0"/>
              <w:jc w:val="right"/>
              <w:rPr>
                <w:sz w:val="22"/>
              </w:rPr>
            </w:pPr>
            <w:r w:rsidRPr="00DD3B67">
              <w:rPr>
                <w:rFonts w:cs="Arial"/>
                <w:sz w:val="22"/>
              </w:rPr>
              <w:t>701,182</w:t>
            </w:r>
          </w:p>
        </w:tc>
      </w:tr>
      <w:tr w:rsidR="002C2302" w:rsidRPr="00DD3B67" w:rsidTr="00AF1407">
        <w:tc>
          <w:tcPr>
            <w:tcW w:w="5529" w:type="dxa"/>
            <w:vAlign w:val="bottom"/>
          </w:tcPr>
          <w:p w:rsidR="002C2302" w:rsidRPr="00DD3B67" w:rsidRDefault="002C2302" w:rsidP="00AF1407">
            <w:pPr>
              <w:pStyle w:val="Body"/>
              <w:spacing w:before="80"/>
              <w:ind w:left="176"/>
              <w:rPr>
                <w:rFonts w:ascii="Arial" w:eastAsia="Times New Roman" w:hAnsi="Arial" w:cs="Arial"/>
                <w:kern w:val="28"/>
                <w:sz w:val="22"/>
                <w:lang w:eastAsia="en-AU"/>
              </w:rPr>
            </w:pPr>
            <w:r w:rsidRPr="00DD3B67">
              <w:rPr>
                <w:rFonts w:cs="Arial"/>
                <w:sz w:val="22"/>
              </w:rPr>
              <w:t>More than 12 months after the end of the reporting period</w:t>
            </w:r>
          </w:p>
        </w:tc>
        <w:tc>
          <w:tcPr>
            <w:tcW w:w="1418" w:type="dxa"/>
            <w:tcBorders>
              <w:bottom w:val="single" w:sz="4" w:space="0" w:color="FFFFFF" w:themeColor="background1"/>
            </w:tcBorders>
            <w:shd w:val="clear" w:color="auto" w:fill="E0DCCB" w:themeFill="accent4" w:themeFillTint="66"/>
            <w:vAlign w:val="bottom"/>
          </w:tcPr>
          <w:p w:rsidR="002C2302" w:rsidRPr="00DD3B67" w:rsidRDefault="00A57DBF" w:rsidP="002C2302">
            <w:pPr>
              <w:pStyle w:val="Body"/>
              <w:spacing w:before="80"/>
              <w:ind w:left="0"/>
              <w:jc w:val="right"/>
              <w:rPr>
                <w:rFonts w:ascii="Arial" w:eastAsia="Times New Roman" w:hAnsi="Arial" w:cs="Arial"/>
                <w:kern w:val="28"/>
                <w:sz w:val="22"/>
                <w:lang w:eastAsia="en-AU"/>
              </w:rPr>
            </w:pPr>
            <w:r>
              <w:rPr>
                <w:rFonts w:cs="Arial"/>
                <w:sz w:val="22"/>
              </w:rPr>
              <w:t>1,475,224</w:t>
            </w:r>
          </w:p>
        </w:tc>
        <w:tc>
          <w:tcPr>
            <w:tcW w:w="1418" w:type="dxa"/>
            <w:tcBorders>
              <w:bottom w:val="single" w:sz="4" w:space="0" w:color="E0DCCB" w:themeColor="accent4" w:themeTint="66"/>
            </w:tcBorders>
            <w:vAlign w:val="bottom"/>
          </w:tcPr>
          <w:p w:rsidR="002C2302" w:rsidRPr="00DD3B67" w:rsidRDefault="00A57DBF" w:rsidP="002C2302">
            <w:pPr>
              <w:pStyle w:val="Body"/>
              <w:spacing w:before="80"/>
              <w:ind w:left="0"/>
              <w:jc w:val="right"/>
              <w:rPr>
                <w:rFonts w:ascii="Arial" w:eastAsia="Times New Roman" w:hAnsi="Arial" w:cs="Arial"/>
                <w:kern w:val="28"/>
                <w:sz w:val="22"/>
                <w:lang w:eastAsia="en-AU"/>
              </w:rPr>
            </w:pPr>
            <w:r>
              <w:rPr>
                <w:rFonts w:cs="Arial"/>
                <w:sz w:val="22"/>
              </w:rPr>
              <w:t>1,448,468</w:t>
            </w:r>
          </w:p>
        </w:tc>
      </w:tr>
      <w:tr w:rsidR="002C2302" w:rsidRPr="00DD3B67" w:rsidTr="00AF1407">
        <w:tc>
          <w:tcPr>
            <w:tcW w:w="5529" w:type="dxa"/>
            <w:vAlign w:val="bottom"/>
          </w:tcPr>
          <w:p w:rsidR="002C2302" w:rsidRPr="00DD3B67" w:rsidRDefault="002C2302" w:rsidP="002C2302">
            <w:pPr>
              <w:pStyle w:val="Body"/>
              <w:spacing w:before="80"/>
              <w:ind w:left="-108"/>
              <w:rPr>
                <w:rFonts w:ascii="Arial" w:eastAsia="Times New Roman" w:hAnsi="Arial" w:cs="Arial"/>
                <w:kern w:val="28"/>
                <w:sz w:val="22"/>
                <w:lang w:eastAsia="en-AU"/>
              </w:rPr>
            </w:pPr>
          </w:p>
        </w:tc>
        <w:tc>
          <w:tcPr>
            <w:tcW w:w="1418" w:type="dxa"/>
            <w:tcBorders>
              <w:top w:val="single" w:sz="4" w:space="0" w:color="FFFFFF" w:themeColor="background1"/>
              <w:bottom w:val="single" w:sz="4" w:space="0" w:color="FFFFFF" w:themeColor="background1"/>
            </w:tcBorders>
            <w:shd w:val="clear" w:color="auto" w:fill="E0DCCB" w:themeFill="accent4" w:themeFillTint="66"/>
            <w:vAlign w:val="bottom"/>
          </w:tcPr>
          <w:p w:rsidR="002C2302" w:rsidRPr="00DD3B67" w:rsidRDefault="002C2302" w:rsidP="00A57DBF">
            <w:pPr>
              <w:pStyle w:val="Body"/>
              <w:spacing w:before="80"/>
              <w:ind w:left="0"/>
              <w:jc w:val="right"/>
              <w:rPr>
                <w:rFonts w:ascii="Arial" w:eastAsia="Times New Roman" w:hAnsi="Arial" w:cs="Arial"/>
                <w:kern w:val="28"/>
                <w:sz w:val="22"/>
                <w:lang w:eastAsia="en-AU"/>
              </w:rPr>
            </w:pPr>
            <w:r w:rsidRPr="00DD3B67">
              <w:rPr>
                <w:rFonts w:cs="Arial"/>
                <w:b/>
                <w:sz w:val="22"/>
              </w:rPr>
              <w:fldChar w:fldCharType="begin"/>
            </w:r>
            <w:r w:rsidRPr="00DD3B67">
              <w:rPr>
                <w:rFonts w:cs="Arial"/>
                <w:b/>
                <w:sz w:val="22"/>
              </w:rPr>
              <w:instrText xml:space="preserve"> =SUM(ABOVE) </w:instrText>
            </w:r>
            <w:r w:rsidRPr="00DD3B67">
              <w:rPr>
                <w:rFonts w:cs="Arial"/>
                <w:b/>
                <w:sz w:val="22"/>
              </w:rPr>
              <w:fldChar w:fldCharType="separate"/>
            </w:r>
            <w:r>
              <w:rPr>
                <w:rFonts w:cs="Arial"/>
                <w:b/>
                <w:noProof/>
                <w:sz w:val="22"/>
              </w:rPr>
              <w:t>1,</w:t>
            </w:r>
            <w:r w:rsidR="00A57DBF">
              <w:rPr>
                <w:rFonts w:cs="Arial"/>
                <w:b/>
                <w:noProof/>
                <w:sz w:val="22"/>
              </w:rPr>
              <w:t>995,505</w:t>
            </w:r>
            <w:r w:rsidRPr="00DD3B67">
              <w:rPr>
                <w:rFonts w:cs="Arial"/>
                <w:b/>
                <w:sz w:val="22"/>
              </w:rPr>
              <w:fldChar w:fldCharType="end"/>
            </w:r>
          </w:p>
        </w:tc>
        <w:tc>
          <w:tcPr>
            <w:tcW w:w="1418" w:type="dxa"/>
            <w:tcBorders>
              <w:top w:val="single" w:sz="4" w:space="0" w:color="E0DCCB" w:themeColor="accent4" w:themeTint="66"/>
              <w:bottom w:val="single" w:sz="4" w:space="0" w:color="E0DCCB" w:themeColor="accent4" w:themeTint="66"/>
            </w:tcBorders>
            <w:vAlign w:val="bottom"/>
          </w:tcPr>
          <w:p w:rsidR="002C2302" w:rsidRPr="00DD3B67" w:rsidRDefault="00A57DBF" w:rsidP="002C2302">
            <w:pPr>
              <w:pStyle w:val="Body"/>
              <w:spacing w:before="80"/>
              <w:ind w:left="0"/>
              <w:jc w:val="right"/>
              <w:rPr>
                <w:rFonts w:ascii="Arial" w:eastAsia="Times New Roman" w:hAnsi="Arial" w:cs="Arial"/>
                <w:kern w:val="28"/>
                <w:sz w:val="22"/>
                <w:lang w:eastAsia="en-AU"/>
              </w:rPr>
            </w:pPr>
            <w:r>
              <w:rPr>
                <w:rFonts w:cs="Arial"/>
                <w:b/>
                <w:sz w:val="22"/>
              </w:rPr>
              <w:t>2,149,650</w:t>
            </w:r>
          </w:p>
        </w:tc>
      </w:tr>
    </w:tbl>
    <w:p w:rsidR="002C2302" w:rsidRPr="00DD3B67" w:rsidRDefault="002C2302" w:rsidP="008D4CEC">
      <w:pPr>
        <w:pStyle w:val="Body"/>
        <w:numPr>
          <w:ilvl w:val="0"/>
          <w:numId w:val="13"/>
        </w:numPr>
        <w:spacing w:before="200" w:after="0"/>
        <w:rPr>
          <w:sz w:val="22"/>
          <w:lang w:eastAsia="en-AU"/>
        </w:rPr>
      </w:pPr>
      <w:r w:rsidRPr="00DD3B67">
        <w:rPr>
          <w:rFonts w:cs="Arial"/>
          <w:sz w:val="22"/>
        </w:rPr>
        <w:t>The settlement of annual and long service leave liabilities gives rise to the payment of employment on-costs including workers’ compensation insurance. The provision is the present value of expected future payments.</w:t>
      </w:r>
    </w:p>
    <w:p w:rsidR="002C2302" w:rsidRPr="00DD3B67" w:rsidRDefault="002C2302" w:rsidP="008D4CEC">
      <w:pPr>
        <w:pStyle w:val="Body"/>
        <w:numPr>
          <w:ilvl w:val="0"/>
          <w:numId w:val="13"/>
        </w:numPr>
        <w:spacing w:before="200" w:after="0"/>
        <w:rPr>
          <w:sz w:val="22"/>
          <w:lang w:eastAsia="en-AU"/>
        </w:rPr>
      </w:pPr>
      <w:r w:rsidRPr="00DD3B67">
        <w:rPr>
          <w:rFonts w:cs="Arial"/>
          <w:sz w:val="22"/>
        </w:rPr>
        <w:t>The associated expense is disclosed in note </w:t>
      </w:r>
      <w:r>
        <w:rPr>
          <w:rFonts w:cs="Arial"/>
          <w:sz w:val="22"/>
        </w:rPr>
        <w:t>10</w:t>
      </w:r>
      <w:r w:rsidRPr="00DD3B67">
        <w:rPr>
          <w:rFonts w:cs="Arial"/>
          <w:sz w:val="22"/>
        </w:rPr>
        <w:t xml:space="preserve"> ‘Other expenses’.</w:t>
      </w:r>
    </w:p>
    <w:p w:rsidR="000A0087" w:rsidRDefault="000A0087">
      <w:pPr>
        <w:rPr>
          <w:b/>
          <w:lang w:eastAsia="en-AU"/>
        </w:rPr>
      </w:pPr>
      <w:r>
        <w:br w:type="page"/>
      </w:r>
    </w:p>
    <w:p w:rsidR="000A0087" w:rsidRDefault="000A0087" w:rsidP="000A0087">
      <w:pPr>
        <w:pStyle w:val="Financialsheading4"/>
      </w:pPr>
      <w:r w:rsidRPr="00593EDA">
        <w:lastRenderedPageBreak/>
        <w:t>Movements in other provisions</w:t>
      </w:r>
    </w:p>
    <w:p w:rsidR="000A0087" w:rsidRPr="00DD3B67" w:rsidRDefault="000A0087" w:rsidP="000A0087">
      <w:pPr>
        <w:pStyle w:val="Body"/>
        <w:rPr>
          <w:sz w:val="22"/>
        </w:rPr>
      </w:pPr>
      <w:r w:rsidRPr="00DD3B67">
        <w:rPr>
          <w:sz w:val="22"/>
        </w:rPr>
        <w:t>Movements in each class of provisions during the period, other than employee benefits, are set out below.</w:t>
      </w:r>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0A0087" w:rsidRPr="00DD3B67" w:rsidTr="000A0087">
        <w:tc>
          <w:tcPr>
            <w:tcW w:w="5529" w:type="dxa"/>
          </w:tcPr>
          <w:p w:rsidR="000A0087" w:rsidRPr="00DD3B67" w:rsidRDefault="000A0087" w:rsidP="000A0087">
            <w:pPr>
              <w:pStyle w:val="Body"/>
              <w:spacing w:before="80"/>
              <w:ind w:left="34"/>
              <w:rPr>
                <w:sz w:val="22"/>
              </w:rPr>
            </w:pPr>
          </w:p>
        </w:tc>
        <w:tc>
          <w:tcPr>
            <w:tcW w:w="1418"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4</w:t>
            </w:r>
            <w:r w:rsidRPr="00DD3B67">
              <w:rPr>
                <w:b/>
                <w:sz w:val="22"/>
              </w:rPr>
              <w:br/>
              <w:t>$</w:t>
            </w:r>
          </w:p>
        </w:tc>
      </w:tr>
      <w:tr w:rsidR="000A0087" w:rsidRPr="00DD3B67" w:rsidTr="000A0087">
        <w:tc>
          <w:tcPr>
            <w:tcW w:w="5529" w:type="dxa"/>
            <w:vAlign w:val="bottom"/>
          </w:tcPr>
          <w:p w:rsidR="000A0087" w:rsidRPr="00DD3B67" w:rsidRDefault="000A0087" w:rsidP="008A3773">
            <w:pPr>
              <w:pStyle w:val="Body"/>
              <w:spacing w:before="80"/>
              <w:ind w:left="176"/>
              <w:rPr>
                <w:sz w:val="22"/>
              </w:rPr>
            </w:pPr>
            <w:r w:rsidRPr="00DD3B67">
              <w:rPr>
                <w:sz w:val="22"/>
                <w:u w:val="single"/>
              </w:rPr>
              <w:t>Employment on-cost provision</w:t>
            </w:r>
          </w:p>
        </w:tc>
        <w:tc>
          <w:tcPr>
            <w:tcW w:w="1418" w:type="dxa"/>
            <w:shd w:val="clear" w:color="auto" w:fill="E0DCCB" w:themeFill="accent4" w:themeFillTint="66"/>
            <w:vAlign w:val="bottom"/>
          </w:tcPr>
          <w:p w:rsidR="000A0087" w:rsidRPr="00DD3B67" w:rsidRDefault="000A0087" w:rsidP="000A0087">
            <w:pPr>
              <w:pStyle w:val="Body"/>
              <w:spacing w:before="80"/>
              <w:ind w:left="0"/>
              <w:jc w:val="right"/>
              <w:rPr>
                <w:sz w:val="22"/>
              </w:rPr>
            </w:pPr>
          </w:p>
        </w:tc>
        <w:tc>
          <w:tcPr>
            <w:tcW w:w="1418" w:type="dxa"/>
            <w:vAlign w:val="bottom"/>
          </w:tcPr>
          <w:p w:rsidR="000A0087" w:rsidRPr="00DD3B67" w:rsidRDefault="000A0087" w:rsidP="000A0087">
            <w:pPr>
              <w:pStyle w:val="Body"/>
              <w:spacing w:before="80"/>
              <w:ind w:left="0"/>
              <w:jc w:val="right"/>
              <w:rPr>
                <w:sz w:val="22"/>
              </w:rPr>
            </w:pPr>
          </w:p>
        </w:tc>
      </w:tr>
      <w:tr w:rsidR="000A0087" w:rsidRPr="00DD3B67" w:rsidTr="000A0087">
        <w:tc>
          <w:tcPr>
            <w:tcW w:w="5529" w:type="dxa"/>
            <w:vAlign w:val="bottom"/>
          </w:tcPr>
          <w:p w:rsidR="000A0087" w:rsidRPr="00DD3B67" w:rsidRDefault="000A0087" w:rsidP="008A3773">
            <w:pPr>
              <w:pStyle w:val="Body"/>
              <w:spacing w:before="80"/>
              <w:ind w:left="176"/>
              <w:rPr>
                <w:rFonts w:ascii="Arial" w:eastAsia="Times New Roman" w:hAnsi="Arial" w:cs="Arial"/>
                <w:kern w:val="28"/>
                <w:sz w:val="22"/>
                <w:lang w:eastAsia="en-AU"/>
              </w:rPr>
            </w:pPr>
            <w:r w:rsidRPr="00DD3B67">
              <w:rPr>
                <w:sz w:val="22"/>
              </w:rPr>
              <w:t>Carrying amount at start of period</w:t>
            </w:r>
          </w:p>
        </w:tc>
        <w:tc>
          <w:tcPr>
            <w:tcW w:w="1418" w:type="dxa"/>
            <w:shd w:val="clear" w:color="auto" w:fill="E0DCCB" w:themeFill="accent4" w:themeFillTint="66"/>
            <w:vAlign w:val="bottom"/>
          </w:tcPr>
          <w:p w:rsidR="000A0087" w:rsidRPr="00DD3B67" w:rsidRDefault="000A0087" w:rsidP="000A0087">
            <w:pPr>
              <w:pStyle w:val="Body"/>
              <w:spacing w:before="80"/>
              <w:ind w:left="0"/>
              <w:jc w:val="right"/>
              <w:rPr>
                <w:rFonts w:ascii="Arial" w:eastAsia="Times New Roman" w:hAnsi="Arial" w:cs="Arial"/>
                <w:kern w:val="28"/>
                <w:sz w:val="22"/>
                <w:lang w:eastAsia="en-AU"/>
              </w:rPr>
            </w:pPr>
            <w:r>
              <w:rPr>
                <w:sz w:val="22"/>
              </w:rPr>
              <w:t>25,582</w:t>
            </w:r>
          </w:p>
        </w:tc>
        <w:tc>
          <w:tcPr>
            <w:tcW w:w="1418" w:type="dxa"/>
            <w:vAlign w:val="bottom"/>
          </w:tcPr>
          <w:p w:rsidR="000A0087" w:rsidRPr="00DD3B67" w:rsidRDefault="000A0087" w:rsidP="000A0087">
            <w:pPr>
              <w:pStyle w:val="Body"/>
              <w:spacing w:before="80"/>
              <w:ind w:left="0"/>
              <w:jc w:val="right"/>
              <w:rPr>
                <w:rFonts w:ascii="Arial" w:eastAsia="Times New Roman" w:hAnsi="Arial" w:cs="Arial"/>
                <w:kern w:val="28"/>
                <w:sz w:val="22"/>
                <w:lang w:eastAsia="en-AU"/>
              </w:rPr>
            </w:pPr>
            <w:r w:rsidRPr="00DD3B67">
              <w:rPr>
                <w:sz w:val="22"/>
              </w:rPr>
              <w:t>29,158</w:t>
            </w:r>
          </w:p>
        </w:tc>
      </w:tr>
      <w:tr w:rsidR="000A0087" w:rsidRPr="00DD3B67" w:rsidTr="000A0087">
        <w:tc>
          <w:tcPr>
            <w:tcW w:w="5529" w:type="dxa"/>
            <w:vAlign w:val="bottom"/>
          </w:tcPr>
          <w:p w:rsidR="000A0087" w:rsidRPr="00DD3B67" w:rsidRDefault="000A0087" w:rsidP="008A3773">
            <w:pPr>
              <w:pStyle w:val="Body"/>
              <w:spacing w:before="80"/>
              <w:ind w:left="176"/>
              <w:rPr>
                <w:rFonts w:ascii="Arial" w:eastAsia="Times New Roman" w:hAnsi="Arial" w:cs="Arial"/>
                <w:kern w:val="28"/>
                <w:sz w:val="22"/>
                <w:lang w:eastAsia="en-AU"/>
              </w:rPr>
            </w:pPr>
            <w:r w:rsidRPr="00DD3B67">
              <w:rPr>
                <w:sz w:val="22"/>
              </w:rPr>
              <w:t>Additional/(reversals of) provisions recognised</w:t>
            </w:r>
          </w:p>
        </w:tc>
        <w:tc>
          <w:tcPr>
            <w:tcW w:w="1418" w:type="dxa"/>
            <w:tcBorders>
              <w:bottom w:val="single" w:sz="4" w:space="0" w:color="FFFFFF" w:themeColor="background1"/>
            </w:tcBorders>
            <w:shd w:val="clear" w:color="auto" w:fill="E0DCCB" w:themeFill="accent4" w:themeFillTint="66"/>
            <w:vAlign w:val="bottom"/>
          </w:tcPr>
          <w:p w:rsidR="000A0087" w:rsidRPr="00DD3B67" w:rsidRDefault="000A0087" w:rsidP="000A0087">
            <w:pPr>
              <w:pStyle w:val="Body"/>
              <w:spacing w:before="80"/>
              <w:ind w:left="0"/>
              <w:jc w:val="right"/>
              <w:rPr>
                <w:rFonts w:ascii="Arial" w:eastAsia="Times New Roman" w:hAnsi="Arial" w:cs="Arial"/>
                <w:kern w:val="28"/>
                <w:sz w:val="22"/>
                <w:lang w:eastAsia="en-AU"/>
              </w:rPr>
            </w:pPr>
            <w:r w:rsidRPr="00DD3B67">
              <w:rPr>
                <w:sz w:val="22"/>
              </w:rPr>
              <w:t>(</w:t>
            </w:r>
            <w:r>
              <w:rPr>
                <w:sz w:val="22"/>
              </w:rPr>
              <w:t>2,866</w:t>
            </w:r>
            <w:r w:rsidRPr="00DD3B67">
              <w:rPr>
                <w:sz w:val="22"/>
              </w:rPr>
              <w:t>)</w:t>
            </w:r>
          </w:p>
        </w:tc>
        <w:tc>
          <w:tcPr>
            <w:tcW w:w="1418" w:type="dxa"/>
            <w:tcBorders>
              <w:bottom w:val="single" w:sz="4" w:space="0" w:color="E0DCCB" w:themeColor="accent4" w:themeTint="66"/>
            </w:tcBorders>
            <w:vAlign w:val="bottom"/>
          </w:tcPr>
          <w:p w:rsidR="000A0087" w:rsidRPr="00DD3B67" w:rsidRDefault="000A0087" w:rsidP="000A0087">
            <w:pPr>
              <w:pStyle w:val="Body"/>
              <w:spacing w:before="80"/>
              <w:ind w:left="0"/>
              <w:jc w:val="right"/>
              <w:rPr>
                <w:rFonts w:ascii="Arial" w:eastAsia="Times New Roman" w:hAnsi="Arial" w:cs="Arial"/>
                <w:kern w:val="28"/>
                <w:sz w:val="22"/>
                <w:lang w:eastAsia="en-AU"/>
              </w:rPr>
            </w:pPr>
            <w:r w:rsidRPr="00DD3B67">
              <w:rPr>
                <w:sz w:val="22"/>
              </w:rPr>
              <w:t>(3,576)</w:t>
            </w:r>
          </w:p>
        </w:tc>
      </w:tr>
      <w:tr w:rsidR="000A0087" w:rsidRPr="00DD3B67" w:rsidTr="000A0087">
        <w:tc>
          <w:tcPr>
            <w:tcW w:w="5529" w:type="dxa"/>
            <w:vAlign w:val="bottom"/>
          </w:tcPr>
          <w:p w:rsidR="000A0087" w:rsidRPr="00DD3B67" w:rsidRDefault="000A0087" w:rsidP="008A3773">
            <w:pPr>
              <w:pStyle w:val="Body"/>
              <w:spacing w:before="80"/>
              <w:ind w:left="176"/>
              <w:rPr>
                <w:rFonts w:ascii="Arial" w:eastAsia="Times New Roman" w:hAnsi="Arial" w:cs="Arial"/>
                <w:kern w:val="28"/>
                <w:sz w:val="22"/>
                <w:lang w:eastAsia="en-AU"/>
              </w:rPr>
            </w:pPr>
            <w:r w:rsidRPr="00DD3B67">
              <w:rPr>
                <w:b/>
                <w:sz w:val="22"/>
              </w:rPr>
              <w:t>Carrying amount at end of period</w:t>
            </w:r>
          </w:p>
        </w:tc>
        <w:tc>
          <w:tcPr>
            <w:tcW w:w="1418" w:type="dxa"/>
            <w:tcBorders>
              <w:top w:val="single" w:sz="4" w:space="0" w:color="FFFFFF" w:themeColor="background1"/>
              <w:bottom w:val="single" w:sz="4" w:space="0" w:color="FFFFFF" w:themeColor="background1"/>
            </w:tcBorders>
            <w:shd w:val="clear" w:color="auto" w:fill="E0DCCB" w:themeFill="accent4" w:themeFillTint="66"/>
            <w:vAlign w:val="bottom"/>
          </w:tcPr>
          <w:p w:rsidR="000A0087" w:rsidRPr="00DD3B67" w:rsidRDefault="000A0087" w:rsidP="000A0087">
            <w:pPr>
              <w:pStyle w:val="Body"/>
              <w:spacing w:before="80"/>
              <w:ind w:left="0"/>
              <w:jc w:val="right"/>
              <w:rPr>
                <w:rFonts w:ascii="Arial" w:eastAsia="Times New Roman" w:hAnsi="Arial" w:cs="Arial"/>
                <w:kern w:val="28"/>
                <w:sz w:val="22"/>
                <w:lang w:eastAsia="en-AU"/>
              </w:rPr>
            </w:pPr>
            <w:r w:rsidRPr="00DD3B67">
              <w:rPr>
                <w:b/>
                <w:sz w:val="22"/>
              </w:rPr>
              <w:fldChar w:fldCharType="begin"/>
            </w:r>
            <w:r w:rsidRPr="00DD3B67">
              <w:rPr>
                <w:b/>
                <w:sz w:val="22"/>
              </w:rPr>
              <w:instrText xml:space="preserve"> =SUM(ABOVE) </w:instrText>
            </w:r>
            <w:r w:rsidRPr="00DD3B67">
              <w:rPr>
                <w:b/>
                <w:sz w:val="22"/>
              </w:rPr>
              <w:fldChar w:fldCharType="separate"/>
            </w:r>
            <w:r>
              <w:rPr>
                <w:b/>
                <w:noProof/>
                <w:sz w:val="22"/>
              </w:rPr>
              <w:t>22,716</w:t>
            </w:r>
            <w:r w:rsidRPr="00DD3B67">
              <w:rPr>
                <w:b/>
                <w:sz w:val="22"/>
              </w:rPr>
              <w:fldChar w:fldCharType="end"/>
            </w:r>
          </w:p>
        </w:tc>
        <w:tc>
          <w:tcPr>
            <w:tcW w:w="1418" w:type="dxa"/>
            <w:tcBorders>
              <w:top w:val="single" w:sz="4" w:space="0" w:color="E0DCCB" w:themeColor="accent4" w:themeTint="66"/>
              <w:bottom w:val="single" w:sz="4" w:space="0" w:color="E0DCCB" w:themeColor="accent4" w:themeTint="66"/>
            </w:tcBorders>
            <w:vAlign w:val="bottom"/>
          </w:tcPr>
          <w:p w:rsidR="000A0087" w:rsidRPr="00DD3B67" w:rsidRDefault="000A0087" w:rsidP="000A0087">
            <w:pPr>
              <w:pStyle w:val="Body"/>
              <w:spacing w:before="80"/>
              <w:ind w:left="0"/>
              <w:jc w:val="right"/>
              <w:rPr>
                <w:rFonts w:ascii="Arial" w:eastAsia="Times New Roman" w:hAnsi="Arial" w:cs="Arial"/>
                <w:kern w:val="28"/>
                <w:sz w:val="22"/>
                <w:lang w:eastAsia="en-AU"/>
              </w:rPr>
            </w:pPr>
            <w:r w:rsidRPr="00DD3B67">
              <w:rPr>
                <w:b/>
                <w:sz w:val="22"/>
              </w:rPr>
              <w:fldChar w:fldCharType="begin"/>
            </w:r>
            <w:r w:rsidRPr="00DD3B67">
              <w:rPr>
                <w:b/>
                <w:sz w:val="22"/>
              </w:rPr>
              <w:instrText xml:space="preserve"> =SUM(ABOVE) </w:instrText>
            </w:r>
            <w:r w:rsidRPr="00DD3B67">
              <w:rPr>
                <w:b/>
                <w:sz w:val="22"/>
              </w:rPr>
              <w:fldChar w:fldCharType="separate"/>
            </w:r>
            <w:r w:rsidRPr="00DD3B67">
              <w:rPr>
                <w:b/>
                <w:noProof/>
                <w:sz w:val="22"/>
              </w:rPr>
              <w:t>25,582</w:t>
            </w:r>
            <w:r w:rsidRPr="00DD3B67">
              <w:rPr>
                <w:b/>
                <w:sz w:val="22"/>
              </w:rPr>
              <w:fldChar w:fldCharType="end"/>
            </w:r>
          </w:p>
        </w:tc>
      </w:tr>
    </w:tbl>
    <w:p w:rsidR="000A0087" w:rsidRDefault="000A0087" w:rsidP="008A3773">
      <w:pPr>
        <w:pStyle w:val="Financialsheading3"/>
      </w:pPr>
      <w:bookmarkStart w:id="212" w:name="_Toc427745939"/>
      <w:proofErr w:type="gramStart"/>
      <w:r w:rsidRPr="00D90ACB">
        <w:t>No</w:t>
      </w:r>
      <w:r w:rsidRPr="00D81BC8">
        <w:t xml:space="preserve">te </w:t>
      </w:r>
      <w:r>
        <w:t>23</w:t>
      </w:r>
      <w:r w:rsidRPr="00D81BC8">
        <w:t>.</w:t>
      </w:r>
      <w:proofErr w:type="gramEnd"/>
      <w:r w:rsidRPr="00D81BC8">
        <w:t xml:space="preserve"> </w:t>
      </w:r>
      <w:r>
        <w:t>Equity</w:t>
      </w:r>
      <w:bookmarkEnd w:id="212"/>
    </w:p>
    <w:p w:rsidR="000A0087" w:rsidRPr="00DD3B67" w:rsidRDefault="000A0087" w:rsidP="008A3773">
      <w:pPr>
        <w:pStyle w:val="Financialnotes"/>
      </w:pPr>
      <w:r>
        <w:t>Liabilities exceed assets for the Department and therefore there is no residual interest in the assets of the Department. This equity deficit arose through expenses such as depreciation and accrual of employee entitlements for leave not involving the payment of cash in the current period being recognised in the Statement of Financial Position</w:t>
      </w:r>
      <w:r w:rsidRPr="00DD3B67">
        <w:t>.</w:t>
      </w:r>
    </w:p>
    <w:p w:rsidR="000A0087" w:rsidRPr="003E70F8" w:rsidRDefault="000A0087" w:rsidP="008A3773">
      <w:pPr>
        <w:pStyle w:val="Financialsheading4"/>
      </w:pPr>
      <w:bookmarkStart w:id="213" w:name="_Toc264275279"/>
      <w:bookmarkStart w:id="214" w:name="_Toc264895171"/>
      <w:bookmarkStart w:id="215" w:name="_Toc265493291"/>
      <w:bookmarkStart w:id="216" w:name="_Toc268084802"/>
      <w:bookmarkStart w:id="217" w:name="_Toc278880958"/>
      <w:bookmarkStart w:id="218" w:name="_Toc317079417"/>
      <w:bookmarkStart w:id="219" w:name="_Toc317590679"/>
      <w:r w:rsidRPr="005D6BC7">
        <w:t>Contributed equity</w:t>
      </w:r>
      <w:bookmarkEnd w:id="213"/>
      <w:bookmarkEnd w:id="214"/>
      <w:bookmarkEnd w:id="215"/>
      <w:bookmarkEnd w:id="216"/>
      <w:bookmarkEnd w:id="217"/>
      <w:bookmarkEnd w:id="218"/>
      <w:bookmarkEnd w:id="219"/>
    </w:p>
    <w:tbl>
      <w:tblPr>
        <w:tblStyle w:val="TableGrid"/>
        <w:tblW w:w="8365"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18"/>
        <w:gridCol w:w="1418"/>
      </w:tblGrid>
      <w:tr w:rsidR="000A0087" w:rsidTr="008A3773">
        <w:tc>
          <w:tcPr>
            <w:tcW w:w="5529" w:type="dxa"/>
          </w:tcPr>
          <w:p w:rsidR="000A0087" w:rsidRPr="00DD3B67" w:rsidRDefault="000A0087" w:rsidP="008A3773">
            <w:pPr>
              <w:pStyle w:val="Body"/>
              <w:spacing w:before="80"/>
              <w:ind w:left="176"/>
              <w:rPr>
                <w:sz w:val="22"/>
              </w:rPr>
            </w:pPr>
          </w:p>
        </w:tc>
        <w:tc>
          <w:tcPr>
            <w:tcW w:w="1418"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5</w:t>
            </w:r>
            <w:r w:rsidRPr="00DD3B67">
              <w:rPr>
                <w:b/>
                <w:sz w:val="22"/>
              </w:rPr>
              <w:br/>
              <w:t>$</w:t>
            </w:r>
          </w:p>
        </w:tc>
        <w:tc>
          <w:tcPr>
            <w:tcW w:w="1418"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4</w:t>
            </w:r>
            <w:r w:rsidRPr="00DD3B67">
              <w:rPr>
                <w:b/>
                <w:sz w:val="22"/>
              </w:rPr>
              <w:br/>
              <w:t>$</w:t>
            </w:r>
          </w:p>
        </w:tc>
      </w:tr>
      <w:tr w:rsidR="000A0087" w:rsidRPr="00D81BC8" w:rsidTr="008A3773">
        <w:tc>
          <w:tcPr>
            <w:tcW w:w="5529" w:type="dxa"/>
            <w:vAlign w:val="bottom"/>
          </w:tcPr>
          <w:p w:rsidR="000A0087" w:rsidRPr="00DD3B67" w:rsidRDefault="000A0087" w:rsidP="008A3773">
            <w:pPr>
              <w:pStyle w:val="Body"/>
              <w:spacing w:before="80"/>
              <w:ind w:left="176"/>
              <w:rPr>
                <w:sz w:val="22"/>
              </w:rPr>
            </w:pPr>
            <w:r w:rsidRPr="00DD3B67">
              <w:rPr>
                <w:sz w:val="22"/>
              </w:rPr>
              <w:t>Balance at start of period</w:t>
            </w:r>
          </w:p>
        </w:tc>
        <w:tc>
          <w:tcPr>
            <w:tcW w:w="1418" w:type="dxa"/>
            <w:shd w:val="clear" w:color="auto" w:fill="E0DCCB" w:themeFill="accent4" w:themeFillTint="66"/>
            <w:vAlign w:val="bottom"/>
          </w:tcPr>
          <w:p w:rsidR="000A0087" w:rsidRPr="00DD3B67" w:rsidRDefault="000A0087" w:rsidP="000A0087">
            <w:pPr>
              <w:pStyle w:val="Body"/>
              <w:spacing w:before="80"/>
              <w:ind w:left="0"/>
              <w:jc w:val="right"/>
              <w:rPr>
                <w:sz w:val="22"/>
              </w:rPr>
            </w:pPr>
            <w:r w:rsidRPr="00DD3B67">
              <w:rPr>
                <w:sz w:val="22"/>
              </w:rPr>
              <w:t>443,675</w:t>
            </w:r>
          </w:p>
        </w:tc>
        <w:tc>
          <w:tcPr>
            <w:tcW w:w="1418" w:type="dxa"/>
            <w:vAlign w:val="bottom"/>
          </w:tcPr>
          <w:p w:rsidR="000A0087" w:rsidRPr="00DD3B67" w:rsidRDefault="000A0087" w:rsidP="000A0087">
            <w:pPr>
              <w:pStyle w:val="Body"/>
              <w:spacing w:before="80"/>
              <w:ind w:left="0"/>
              <w:jc w:val="right"/>
              <w:rPr>
                <w:sz w:val="22"/>
              </w:rPr>
            </w:pPr>
            <w:r w:rsidRPr="00DD3B67">
              <w:rPr>
                <w:sz w:val="22"/>
              </w:rPr>
              <w:t>443,675</w:t>
            </w:r>
          </w:p>
        </w:tc>
      </w:tr>
      <w:tr w:rsidR="000A0087" w:rsidRPr="00D81BC8" w:rsidTr="008A3773">
        <w:tc>
          <w:tcPr>
            <w:tcW w:w="5529" w:type="dxa"/>
            <w:vAlign w:val="bottom"/>
          </w:tcPr>
          <w:p w:rsidR="000A0087" w:rsidRPr="00DD3B67" w:rsidRDefault="000A0087" w:rsidP="008A3773">
            <w:pPr>
              <w:pStyle w:val="Body"/>
              <w:spacing w:before="80"/>
              <w:ind w:left="176"/>
              <w:rPr>
                <w:sz w:val="22"/>
              </w:rPr>
            </w:pPr>
          </w:p>
        </w:tc>
        <w:tc>
          <w:tcPr>
            <w:tcW w:w="1418" w:type="dxa"/>
            <w:shd w:val="clear" w:color="auto" w:fill="E0DCCB" w:themeFill="accent4" w:themeFillTint="66"/>
            <w:vAlign w:val="bottom"/>
          </w:tcPr>
          <w:p w:rsidR="000A0087" w:rsidRPr="00DD3B67" w:rsidRDefault="000A0087" w:rsidP="000A0087">
            <w:pPr>
              <w:pStyle w:val="Body"/>
              <w:spacing w:before="80"/>
              <w:ind w:left="0"/>
              <w:jc w:val="right"/>
              <w:rPr>
                <w:sz w:val="22"/>
              </w:rPr>
            </w:pPr>
          </w:p>
        </w:tc>
        <w:tc>
          <w:tcPr>
            <w:tcW w:w="1418" w:type="dxa"/>
            <w:vAlign w:val="bottom"/>
          </w:tcPr>
          <w:p w:rsidR="000A0087" w:rsidRPr="00DD3B67" w:rsidRDefault="000A0087" w:rsidP="000A0087">
            <w:pPr>
              <w:pStyle w:val="Body"/>
              <w:spacing w:before="80"/>
              <w:ind w:left="0"/>
              <w:jc w:val="right"/>
              <w:rPr>
                <w:sz w:val="22"/>
              </w:rPr>
            </w:pPr>
          </w:p>
        </w:tc>
      </w:tr>
      <w:tr w:rsidR="000A0087" w:rsidRPr="00D81BC8" w:rsidTr="008A3773">
        <w:tc>
          <w:tcPr>
            <w:tcW w:w="5529" w:type="dxa"/>
            <w:vAlign w:val="bottom"/>
          </w:tcPr>
          <w:p w:rsidR="000A0087" w:rsidRPr="00DD3B67" w:rsidRDefault="000A0087" w:rsidP="008A3773">
            <w:pPr>
              <w:pStyle w:val="Body"/>
              <w:spacing w:before="80"/>
              <w:ind w:left="176"/>
              <w:rPr>
                <w:sz w:val="22"/>
              </w:rPr>
            </w:pPr>
            <w:r w:rsidRPr="00DD3B67">
              <w:rPr>
                <w:sz w:val="22"/>
                <w:u w:val="single"/>
              </w:rPr>
              <w:t>Contributions by owners</w:t>
            </w:r>
          </w:p>
        </w:tc>
        <w:tc>
          <w:tcPr>
            <w:tcW w:w="1418" w:type="dxa"/>
            <w:shd w:val="clear" w:color="auto" w:fill="E0DCCB" w:themeFill="accent4" w:themeFillTint="66"/>
            <w:vAlign w:val="bottom"/>
          </w:tcPr>
          <w:p w:rsidR="000A0087" w:rsidRPr="00DD3B67" w:rsidRDefault="000A0087" w:rsidP="000A0087">
            <w:pPr>
              <w:pStyle w:val="Body"/>
              <w:spacing w:before="80"/>
              <w:ind w:left="0"/>
              <w:jc w:val="right"/>
              <w:rPr>
                <w:sz w:val="22"/>
              </w:rPr>
            </w:pPr>
          </w:p>
        </w:tc>
        <w:tc>
          <w:tcPr>
            <w:tcW w:w="1418" w:type="dxa"/>
            <w:vAlign w:val="bottom"/>
          </w:tcPr>
          <w:p w:rsidR="000A0087" w:rsidRPr="00DD3B67" w:rsidRDefault="000A0087" w:rsidP="000A0087">
            <w:pPr>
              <w:pStyle w:val="Body"/>
              <w:spacing w:before="80"/>
              <w:ind w:left="0"/>
              <w:jc w:val="right"/>
              <w:rPr>
                <w:sz w:val="22"/>
              </w:rPr>
            </w:pPr>
          </w:p>
        </w:tc>
      </w:tr>
      <w:tr w:rsidR="000A0087" w:rsidRPr="00D81BC8" w:rsidTr="008A3773">
        <w:tc>
          <w:tcPr>
            <w:tcW w:w="5529" w:type="dxa"/>
            <w:vAlign w:val="bottom"/>
          </w:tcPr>
          <w:p w:rsidR="000A0087" w:rsidRPr="00DD3B67" w:rsidRDefault="000A0087" w:rsidP="008A3773">
            <w:pPr>
              <w:pStyle w:val="Body"/>
              <w:spacing w:before="80"/>
              <w:ind w:left="176"/>
              <w:rPr>
                <w:sz w:val="22"/>
              </w:rPr>
            </w:pPr>
            <w:r w:rsidRPr="00DD3B67">
              <w:rPr>
                <w:sz w:val="22"/>
              </w:rPr>
              <w:t>Capital appropriation</w:t>
            </w:r>
          </w:p>
        </w:tc>
        <w:tc>
          <w:tcPr>
            <w:tcW w:w="1418" w:type="dxa"/>
            <w:shd w:val="clear" w:color="auto" w:fill="E0DCCB" w:themeFill="accent4" w:themeFillTint="66"/>
            <w:vAlign w:val="bottom"/>
          </w:tcPr>
          <w:p w:rsidR="000A0087" w:rsidRPr="00DD3B67" w:rsidRDefault="000A0087" w:rsidP="000A0087">
            <w:pPr>
              <w:pStyle w:val="Body"/>
              <w:spacing w:before="80"/>
              <w:ind w:left="0"/>
              <w:jc w:val="right"/>
              <w:rPr>
                <w:sz w:val="22"/>
              </w:rPr>
            </w:pPr>
            <w:r>
              <w:rPr>
                <w:sz w:val="22"/>
              </w:rPr>
              <w:t>59,000</w:t>
            </w:r>
          </w:p>
        </w:tc>
        <w:tc>
          <w:tcPr>
            <w:tcW w:w="1418" w:type="dxa"/>
            <w:vAlign w:val="bottom"/>
          </w:tcPr>
          <w:p w:rsidR="000A0087" w:rsidRPr="00DD3B67" w:rsidRDefault="000A0087" w:rsidP="000A0087">
            <w:pPr>
              <w:pStyle w:val="Body"/>
              <w:spacing w:before="80"/>
              <w:ind w:left="0"/>
              <w:jc w:val="right"/>
              <w:rPr>
                <w:sz w:val="22"/>
              </w:rPr>
            </w:pPr>
            <w:r w:rsidRPr="00DD3B67">
              <w:rPr>
                <w:sz w:val="22"/>
              </w:rPr>
              <w:t>-</w:t>
            </w:r>
          </w:p>
        </w:tc>
      </w:tr>
      <w:tr w:rsidR="000A0087" w:rsidRPr="00D81BC8" w:rsidTr="008A3773">
        <w:tc>
          <w:tcPr>
            <w:tcW w:w="5529" w:type="dxa"/>
            <w:vAlign w:val="bottom"/>
          </w:tcPr>
          <w:p w:rsidR="000A0087" w:rsidRPr="00DD3B67" w:rsidRDefault="000A0087" w:rsidP="008A3773">
            <w:pPr>
              <w:pStyle w:val="Body"/>
              <w:spacing w:before="80"/>
              <w:ind w:left="176"/>
              <w:rPr>
                <w:sz w:val="22"/>
              </w:rPr>
            </w:pPr>
          </w:p>
        </w:tc>
        <w:tc>
          <w:tcPr>
            <w:tcW w:w="1418" w:type="dxa"/>
            <w:tcBorders>
              <w:bottom w:val="single" w:sz="4" w:space="0" w:color="FFFFFF" w:themeColor="background1"/>
            </w:tcBorders>
            <w:shd w:val="clear" w:color="auto" w:fill="E0DCCB" w:themeFill="accent4" w:themeFillTint="66"/>
            <w:vAlign w:val="bottom"/>
          </w:tcPr>
          <w:p w:rsidR="000A0087" w:rsidRPr="00DD3B67" w:rsidRDefault="000A0087" w:rsidP="000A0087">
            <w:pPr>
              <w:pStyle w:val="Body"/>
              <w:spacing w:before="80"/>
              <w:ind w:left="0"/>
              <w:jc w:val="right"/>
              <w:rPr>
                <w:sz w:val="22"/>
              </w:rPr>
            </w:pPr>
          </w:p>
        </w:tc>
        <w:tc>
          <w:tcPr>
            <w:tcW w:w="1418" w:type="dxa"/>
            <w:tcBorders>
              <w:bottom w:val="single" w:sz="4" w:space="0" w:color="E0DCCB" w:themeColor="accent4" w:themeTint="66"/>
            </w:tcBorders>
            <w:vAlign w:val="bottom"/>
          </w:tcPr>
          <w:p w:rsidR="000A0087" w:rsidRPr="00DD3B67" w:rsidRDefault="000A0087" w:rsidP="000A0087">
            <w:pPr>
              <w:pStyle w:val="Body"/>
              <w:spacing w:before="80"/>
              <w:ind w:left="0"/>
              <w:jc w:val="right"/>
              <w:rPr>
                <w:sz w:val="22"/>
              </w:rPr>
            </w:pPr>
          </w:p>
        </w:tc>
      </w:tr>
      <w:tr w:rsidR="000A0087" w:rsidRPr="00D81BC8" w:rsidTr="008A3773">
        <w:tc>
          <w:tcPr>
            <w:tcW w:w="5529" w:type="dxa"/>
            <w:vAlign w:val="bottom"/>
          </w:tcPr>
          <w:p w:rsidR="000A0087" w:rsidRPr="00752209" w:rsidRDefault="000A0087" w:rsidP="008A3773">
            <w:pPr>
              <w:pStyle w:val="Body"/>
              <w:spacing w:before="80"/>
              <w:ind w:left="176"/>
              <w:rPr>
                <w:sz w:val="22"/>
                <w:u w:val="single"/>
              </w:rPr>
            </w:pPr>
            <w:r w:rsidRPr="00752209">
              <w:rPr>
                <w:sz w:val="22"/>
                <w:u w:val="single"/>
              </w:rPr>
              <w:t>Distributions to owners</w:t>
            </w:r>
          </w:p>
        </w:tc>
        <w:tc>
          <w:tcPr>
            <w:tcW w:w="1418" w:type="dxa"/>
            <w:tcBorders>
              <w:bottom w:val="single" w:sz="4" w:space="0" w:color="FFFFFF" w:themeColor="background1"/>
            </w:tcBorders>
            <w:shd w:val="clear" w:color="auto" w:fill="E0DCCB" w:themeFill="accent4" w:themeFillTint="66"/>
            <w:vAlign w:val="bottom"/>
          </w:tcPr>
          <w:p w:rsidR="000A0087" w:rsidRPr="00DD3B67" w:rsidRDefault="000A0087" w:rsidP="000A0087">
            <w:pPr>
              <w:pStyle w:val="Body"/>
              <w:spacing w:before="80"/>
              <w:ind w:left="0"/>
              <w:jc w:val="right"/>
              <w:rPr>
                <w:sz w:val="22"/>
              </w:rPr>
            </w:pPr>
          </w:p>
        </w:tc>
        <w:tc>
          <w:tcPr>
            <w:tcW w:w="1418" w:type="dxa"/>
            <w:tcBorders>
              <w:bottom w:val="single" w:sz="4" w:space="0" w:color="E0DCCB" w:themeColor="accent4" w:themeTint="66"/>
            </w:tcBorders>
            <w:vAlign w:val="bottom"/>
          </w:tcPr>
          <w:p w:rsidR="000A0087" w:rsidRPr="00DD3B67" w:rsidRDefault="000A0087" w:rsidP="000A0087">
            <w:pPr>
              <w:pStyle w:val="Body"/>
              <w:spacing w:before="80"/>
              <w:ind w:left="0"/>
              <w:jc w:val="right"/>
              <w:rPr>
                <w:sz w:val="22"/>
              </w:rPr>
            </w:pPr>
          </w:p>
        </w:tc>
      </w:tr>
      <w:tr w:rsidR="000A0087" w:rsidRPr="00D81BC8" w:rsidTr="008A3773">
        <w:tc>
          <w:tcPr>
            <w:tcW w:w="5529" w:type="dxa"/>
            <w:vAlign w:val="bottom"/>
          </w:tcPr>
          <w:p w:rsidR="000A0087" w:rsidRPr="00DD3B67" w:rsidRDefault="000A0087" w:rsidP="008A3773">
            <w:pPr>
              <w:pStyle w:val="Body"/>
              <w:spacing w:before="80"/>
              <w:ind w:left="176"/>
              <w:rPr>
                <w:sz w:val="22"/>
              </w:rPr>
            </w:pPr>
            <w:r w:rsidRPr="00752209">
              <w:rPr>
                <w:sz w:val="22"/>
              </w:rPr>
              <w:t xml:space="preserve">Proceeds for disposal of </w:t>
            </w:r>
            <w:r w:rsidR="00ED17AD">
              <w:rPr>
                <w:sz w:val="22"/>
              </w:rPr>
              <w:t xml:space="preserve">non-current </w:t>
            </w:r>
            <w:r w:rsidRPr="00752209">
              <w:rPr>
                <w:sz w:val="22"/>
              </w:rPr>
              <w:t xml:space="preserve">assets </w:t>
            </w:r>
            <w:r w:rsidR="00ED17AD">
              <w:rPr>
                <w:sz w:val="22"/>
              </w:rPr>
              <w:t xml:space="preserve">(see Note 12) </w:t>
            </w:r>
            <w:r w:rsidRPr="00752209">
              <w:rPr>
                <w:sz w:val="22"/>
              </w:rPr>
              <w:t>paid to Consolidated Account</w:t>
            </w:r>
          </w:p>
        </w:tc>
        <w:tc>
          <w:tcPr>
            <w:tcW w:w="1418" w:type="dxa"/>
            <w:tcBorders>
              <w:bottom w:val="single" w:sz="4" w:space="0" w:color="FFFFFF" w:themeColor="background1"/>
            </w:tcBorders>
            <w:shd w:val="clear" w:color="auto" w:fill="E0DCCB" w:themeFill="accent4" w:themeFillTint="66"/>
            <w:vAlign w:val="bottom"/>
          </w:tcPr>
          <w:p w:rsidR="000A0087" w:rsidRPr="00DD3B67" w:rsidRDefault="000A0087" w:rsidP="000A0087">
            <w:pPr>
              <w:pStyle w:val="Body"/>
              <w:spacing w:before="80"/>
              <w:ind w:left="0"/>
              <w:jc w:val="right"/>
              <w:rPr>
                <w:sz w:val="22"/>
              </w:rPr>
            </w:pPr>
            <w:r>
              <w:rPr>
                <w:sz w:val="22"/>
              </w:rPr>
              <w:t>(100,000)</w:t>
            </w:r>
          </w:p>
        </w:tc>
        <w:tc>
          <w:tcPr>
            <w:tcW w:w="1418" w:type="dxa"/>
            <w:tcBorders>
              <w:bottom w:val="single" w:sz="4" w:space="0" w:color="E0DCCB" w:themeColor="accent4" w:themeTint="66"/>
            </w:tcBorders>
            <w:vAlign w:val="bottom"/>
          </w:tcPr>
          <w:p w:rsidR="000A0087" w:rsidRPr="00DD3B67" w:rsidRDefault="000A0087" w:rsidP="000A0087">
            <w:pPr>
              <w:pStyle w:val="Body"/>
              <w:spacing w:before="80"/>
              <w:ind w:left="0"/>
              <w:jc w:val="right"/>
              <w:rPr>
                <w:sz w:val="22"/>
              </w:rPr>
            </w:pPr>
            <w:r>
              <w:rPr>
                <w:sz w:val="22"/>
              </w:rPr>
              <w:t>-</w:t>
            </w:r>
          </w:p>
        </w:tc>
      </w:tr>
      <w:tr w:rsidR="000A0087" w:rsidRPr="00D81BC8" w:rsidTr="008A3773">
        <w:tc>
          <w:tcPr>
            <w:tcW w:w="5529" w:type="dxa"/>
            <w:vAlign w:val="bottom"/>
          </w:tcPr>
          <w:p w:rsidR="000A0087" w:rsidRPr="00DD3B67" w:rsidRDefault="000A0087" w:rsidP="008A3773">
            <w:pPr>
              <w:pStyle w:val="Body"/>
              <w:spacing w:before="80"/>
              <w:ind w:left="176"/>
              <w:rPr>
                <w:sz w:val="22"/>
              </w:rPr>
            </w:pPr>
          </w:p>
        </w:tc>
        <w:tc>
          <w:tcPr>
            <w:tcW w:w="1418" w:type="dxa"/>
            <w:tcBorders>
              <w:bottom w:val="single" w:sz="4" w:space="0" w:color="FFFFFF" w:themeColor="background1"/>
            </w:tcBorders>
            <w:shd w:val="clear" w:color="auto" w:fill="E0DCCB" w:themeFill="accent4" w:themeFillTint="66"/>
            <w:vAlign w:val="bottom"/>
          </w:tcPr>
          <w:p w:rsidR="000A0087" w:rsidRPr="00DD3B67" w:rsidRDefault="000A0087" w:rsidP="000A0087">
            <w:pPr>
              <w:pStyle w:val="Body"/>
              <w:spacing w:before="80"/>
              <w:ind w:left="0"/>
              <w:jc w:val="right"/>
              <w:rPr>
                <w:sz w:val="22"/>
              </w:rPr>
            </w:pPr>
          </w:p>
        </w:tc>
        <w:tc>
          <w:tcPr>
            <w:tcW w:w="1418" w:type="dxa"/>
            <w:tcBorders>
              <w:bottom w:val="single" w:sz="4" w:space="0" w:color="E0DCCB" w:themeColor="accent4" w:themeTint="66"/>
            </w:tcBorders>
            <w:vAlign w:val="bottom"/>
          </w:tcPr>
          <w:p w:rsidR="000A0087" w:rsidRPr="00DD3B67" w:rsidRDefault="000A0087" w:rsidP="000A0087">
            <w:pPr>
              <w:pStyle w:val="Body"/>
              <w:spacing w:before="80"/>
              <w:ind w:left="0"/>
              <w:jc w:val="right"/>
              <w:rPr>
                <w:sz w:val="22"/>
              </w:rPr>
            </w:pPr>
          </w:p>
        </w:tc>
      </w:tr>
      <w:tr w:rsidR="000A0087" w:rsidRPr="00D81BC8" w:rsidTr="008A3773">
        <w:tc>
          <w:tcPr>
            <w:tcW w:w="5529" w:type="dxa"/>
            <w:vAlign w:val="bottom"/>
          </w:tcPr>
          <w:p w:rsidR="000A0087" w:rsidRPr="00DD3B67" w:rsidRDefault="000A0087" w:rsidP="008A3773">
            <w:pPr>
              <w:pStyle w:val="Body"/>
              <w:spacing w:before="80"/>
              <w:ind w:left="176"/>
              <w:rPr>
                <w:rFonts w:ascii="Arial" w:eastAsia="Times New Roman" w:hAnsi="Arial" w:cs="Arial"/>
                <w:kern w:val="28"/>
                <w:sz w:val="22"/>
                <w:lang w:eastAsia="en-AU"/>
              </w:rPr>
            </w:pPr>
            <w:r w:rsidRPr="00DD3B67">
              <w:rPr>
                <w:b/>
                <w:sz w:val="22"/>
              </w:rPr>
              <w:t>Balance at end of period</w:t>
            </w:r>
          </w:p>
        </w:tc>
        <w:tc>
          <w:tcPr>
            <w:tcW w:w="1418" w:type="dxa"/>
            <w:tcBorders>
              <w:top w:val="single" w:sz="4" w:space="0" w:color="FFFFFF" w:themeColor="background1"/>
              <w:bottom w:val="single" w:sz="4" w:space="0" w:color="B2A97E" w:themeColor="accent4"/>
            </w:tcBorders>
            <w:shd w:val="clear" w:color="auto" w:fill="E0DCCB" w:themeFill="accent4" w:themeFillTint="66"/>
            <w:vAlign w:val="bottom"/>
          </w:tcPr>
          <w:p w:rsidR="000A0087" w:rsidRPr="00DD3B67" w:rsidRDefault="000A0087" w:rsidP="000A0087">
            <w:pPr>
              <w:pStyle w:val="Body"/>
              <w:spacing w:before="80"/>
              <w:ind w:left="0"/>
              <w:jc w:val="right"/>
              <w:rPr>
                <w:rFonts w:ascii="Arial" w:eastAsia="Times New Roman" w:hAnsi="Arial" w:cs="Arial"/>
                <w:kern w:val="28"/>
                <w:sz w:val="22"/>
                <w:lang w:eastAsia="en-AU"/>
              </w:rPr>
            </w:pPr>
            <w:r>
              <w:rPr>
                <w:b/>
                <w:sz w:val="22"/>
              </w:rPr>
              <w:t>402,675</w:t>
            </w:r>
          </w:p>
        </w:tc>
        <w:tc>
          <w:tcPr>
            <w:tcW w:w="1418" w:type="dxa"/>
            <w:tcBorders>
              <w:top w:val="single" w:sz="4" w:space="0" w:color="E0DCCB" w:themeColor="accent4" w:themeTint="66"/>
              <w:bottom w:val="single" w:sz="4" w:space="0" w:color="B2A97E" w:themeColor="accent4"/>
            </w:tcBorders>
            <w:vAlign w:val="bottom"/>
          </w:tcPr>
          <w:p w:rsidR="000A0087" w:rsidRPr="00DD3B67" w:rsidRDefault="000A0087" w:rsidP="000A0087">
            <w:pPr>
              <w:pStyle w:val="Body"/>
              <w:spacing w:before="80"/>
              <w:ind w:left="0"/>
              <w:jc w:val="right"/>
              <w:rPr>
                <w:rFonts w:ascii="Arial" w:eastAsia="Times New Roman" w:hAnsi="Arial" w:cs="Arial"/>
                <w:kern w:val="28"/>
                <w:sz w:val="22"/>
                <w:lang w:eastAsia="en-AU"/>
              </w:rPr>
            </w:pPr>
            <w:r w:rsidRPr="00DD3B67">
              <w:rPr>
                <w:b/>
                <w:sz w:val="22"/>
              </w:rPr>
              <w:t>443,675</w:t>
            </w:r>
          </w:p>
        </w:tc>
      </w:tr>
      <w:tr w:rsidR="00ED17AD" w:rsidRPr="00DD3B67" w:rsidTr="008A3773">
        <w:tc>
          <w:tcPr>
            <w:tcW w:w="5529" w:type="dxa"/>
          </w:tcPr>
          <w:p w:rsidR="00ED17AD" w:rsidRPr="009D75FB" w:rsidRDefault="00ED17AD" w:rsidP="008A3773">
            <w:pPr>
              <w:pStyle w:val="Body"/>
              <w:spacing w:before="80"/>
              <w:ind w:left="176"/>
              <w:rPr>
                <w:b/>
                <w:sz w:val="22"/>
              </w:rPr>
            </w:pPr>
          </w:p>
        </w:tc>
        <w:tc>
          <w:tcPr>
            <w:tcW w:w="1418" w:type="dxa"/>
            <w:shd w:val="clear" w:color="auto" w:fill="E0DCCB" w:themeFill="accent4" w:themeFillTint="66"/>
          </w:tcPr>
          <w:p w:rsidR="00ED17AD" w:rsidRPr="00DD3B67" w:rsidRDefault="00ED17AD" w:rsidP="000A0087">
            <w:pPr>
              <w:pStyle w:val="Body"/>
              <w:spacing w:before="80"/>
              <w:ind w:left="0"/>
              <w:jc w:val="right"/>
              <w:rPr>
                <w:sz w:val="22"/>
              </w:rPr>
            </w:pPr>
          </w:p>
        </w:tc>
        <w:tc>
          <w:tcPr>
            <w:tcW w:w="1418" w:type="dxa"/>
          </w:tcPr>
          <w:p w:rsidR="00ED17AD" w:rsidRPr="00DD3B67" w:rsidRDefault="00ED17AD" w:rsidP="000A0087">
            <w:pPr>
              <w:pStyle w:val="Body"/>
              <w:spacing w:before="80"/>
              <w:ind w:left="0"/>
              <w:jc w:val="right"/>
              <w:rPr>
                <w:sz w:val="22"/>
              </w:rPr>
            </w:pPr>
          </w:p>
        </w:tc>
      </w:tr>
      <w:tr w:rsidR="000A0087" w:rsidRPr="00DD3B67" w:rsidTr="008A3773">
        <w:tc>
          <w:tcPr>
            <w:tcW w:w="5529" w:type="dxa"/>
          </w:tcPr>
          <w:p w:rsidR="000A0087" w:rsidRPr="00DD3B67" w:rsidRDefault="000A0087" w:rsidP="008A3773">
            <w:pPr>
              <w:pStyle w:val="Body"/>
              <w:spacing w:before="80"/>
              <w:ind w:left="176"/>
              <w:rPr>
                <w:sz w:val="22"/>
              </w:rPr>
            </w:pPr>
            <w:bookmarkStart w:id="220" w:name="_Toc264275281"/>
            <w:bookmarkStart w:id="221" w:name="_Toc264895173"/>
            <w:bookmarkStart w:id="222" w:name="_Toc265493293"/>
            <w:bookmarkStart w:id="223" w:name="_Toc268084804"/>
            <w:bookmarkStart w:id="224" w:name="_Toc278880960"/>
            <w:bookmarkStart w:id="225" w:name="_Toc317079419"/>
            <w:bookmarkStart w:id="226" w:name="_Toc317590681"/>
            <w:r w:rsidRPr="009D75FB">
              <w:rPr>
                <w:b/>
                <w:sz w:val="22"/>
              </w:rPr>
              <w:t>Accumulated surplus/(deficit)</w:t>
            </w:r>
            <w:bookmarkEnd w:id="220"/>
            <w:bookmarkEnd w:id="221"/>
            <w:bookmarkEnd w:id="222"/>
            <w:bookmarkEnd w:id="223"/>
            <w:bookmarkEnd w:id="224"/>
            <w:bookmarkEnd w:id="225"/>
            <w:bookmarkEnd w:id="226"/>
          </w:p>
        </w:tc>
        <w:tc>
          <w:tcPr>
            <w:tcW w:w="1418" w:type="dxa"/>
            <w:shd w:val="clear" w:color="auto" w:fill="E0DCCB" w:themeFill="accent4" w:themeFillTint="66"/>
          </w:tcPr>
          <w:p w:rsidR="000A0087" w:rsidRPr="00DD3B67" w:rsidRDefault="000A0087" w:rsidP="000A0087">
            <w:pPr>
              <w:pStyle w:val="Body"/>
              <w:spacing w:before="80"/>
              <w:ind w:left="0"/>
              <w:jc w:val="right"/>
              <w:rPr>
                <w:sz w:val="22"/>
              </w:rPr>
            </w:pPr>
          </w:p>
        </w:tc>
        <w:tc>
          <w:tcPr>
            <w:tcW w:w="1418" w:type="dxa"/>
          </w:tcPr>
          <w:p w:rsidR="000A0087" w:rsidRPr="00DD3B67" w:rsidRDefault="000A0087" w:rsidP="000A0087">
            <w:pPr>
              <w:pStyle w:val="Body"/>
              <w:spacing w:before="80"/>
              <w:ind w:left="0"/>
              <w:jc w:val="right"/>
              <w:rPr>
                <w:sz w:val="22"/>
              </w:rPr>
            </w:pPr>
          </w:p>
        </w:tc>
      </w:tr>
      <w:tr w:rsidR="000A0087" w:rsidRPr="00DD3B67" w:rsidTr="008A3773">
        <w:tc>
          <w:tcPr>
            <w:tcW w:w="5529" w:type="dxa"/>
          </w:tcPr>
          <w:p w:rsidR="000A0087" w:rsidRPr="00DD3B67" w:rsidRDefault="000A0087" w:rsidP="008A3773">
            <w:pPr>
              <w:pStyle w:val="Body"/>
              <w:spacing w:before="80"/>
              <w:ind w:left="176"/>
              <w:rPr>
                <w:sz w:val="22"/>
              </w:rPr>
            </w:pPr>
            <w:r w:rsidRPr="00DD3B67">
              <w:rPr>
                <w:sz w:val="22"/>
              </w:rPr>
              <w:t>Balance at start of period</w:t>
            </w:r>
          </w:p>
        </w:tc>
        <w:tc>
          <w:tcPr>
            <w:tcW w:w="1418" w:type="dxa"/>
            <w:shd w:val="clear" w:color="auto" w:fill="E0DCCB" w:themeFill="accent4" w:themeFillTint="66"/>
          </w:tcPr>
          <w:p w:rsidR="000A0087" w:rsidRPr="00DD3B67" w:rsidRDefault="000A0087" w:rsidP="000A0087">
            <w:pPr>
              <w:pStyle w:val="Body"/>
              <w:spacing w:before="80"/>
              <w:ind w:left="0"/>
              <w:jc w:val="right"/>
              <w:rPr>
                <w:sz w:val="22"/>
              </w:rPr>
            </w:pPr>
            <w:r w:rsidRPr="00DD3B67">
              <w:rPr>
                <w:sz w:val="22"/>
              </w:rPr>
              <w:t>(</w:t>
            </w:r>
            <w:r>
              <w:rPr>
                <w:sz w:val="22"/>
              </w:rPr>
              <w:t>2,270,889</w:t>
            </w:r>
            <w:r w:rsidRPr="00DD3B67">
              <w:rPr>
                <w:sz w:val="22"/>
              </w:rPr>
              <w:t>)</w:t>
            </w:r>
          </w:p>
        </w:tc>
        <w:tc>
          <w:tcPr>
            <w:tcW w:w="1418" w:type="dxa"/>
          </w:tcPr>
          <w:p w:rsidR="000A0087" w:rsidRPr="00DD3B67" w:rsidRDefault="000A0087" w:rsidP="000A0087">
            <w:pPr>
              <w:pStyle w:val="Body"/>
              <w:spacing w:before="80"/>
              <w:ind w:left="0"/>
              <w:jc w:val="right"/>
              <w:rPr>
                <w:sz w:val="22"/>
              </w:rPr>
            </w:pPr>
            <w:r w:rsidRPr="00DD3B67">
              <w:rPr>
                <w:sz w:val="22"/>
              </w:rPr>
              <w:t>(1,338,506)</w:t>
            </w:r>
          </w:p>
        </w:tc>
      </w:tr>
      <w:tr w:rsidR="000A0087" w:rsidRPr="00DD3B67" w:rsidTr="008A3773">
        <w:tc>
          <w:tcPr>
            <w:tcW w:w="5529" w:type="dxa"/>
          </w:tcPr>
          <w:p w:rsidR="000A0087" w:rsidRPr="00DD3B67" w:rsidRDefault="000A0087" w:rsidP="008A3773">
            <w:pPr>
              <w:pStyle w:val="Body"/>
              <w:spacing w:before="80"/>
              <w:ind w:left="176"/>
              <w:rPr>
                <w:sz w:val="22"/>
              </w:rPr>
            </w:pPr>
            <w:r w:rsidRPr="00DD3B67">
              <w:rPr>
                <w:sz w:val="22"/>
              </w:rPr>
              <w:t>Result for the period</w:t>
            </w:r>
          </w:p>
        </w:tc>
        <w:tc>
          <w:tcPr>
            <w:tcW w:w="1418" w:type="dxa"/>
            <w:shd w:val="clear" w:color="auto" w:fill="E0DCCB" w:themeFill="accent4" w:themeFillTint="66"/>
          </w:tcPr>
          <w:p w:rsidR="000A0087" w:rsidRPr="00DD3B67" w:rsidRDefault="000A0087" w:rsidP="000A0087">
            <w:pPr>
              <w:pStyle w:val="Body"/>
              <w:spacing w:before="80"/>
              <w:ind w:left="0"/>
              <w:jc w:val="right"/>
              <w:rPr>
                <w:sz w:val="22"/>
              </w:rPr>
            </w:pPr>
            <w:r>
              <w:rPr>
                <w:sz w:val="22"/>
              </w:rPr>
              <w:t>544,047</w:t>
            </w:r>
          </w:p>
        </w:tc>
        <w:tc>
          <w:tcPr>
            <w:tcW w:w="1418" w:type="dxa"/>
          </w:tcPr>
          <w:p w:rsidR="000A0087" w:rsidRPr="00DD3B67" w:rsidRDefault="000A0087" w:rsidP="000A0087">
            <w:pPr>
              <w:pStyle w:val="Body"/>
              <w:spacing w:before="80"/>
              <w:ind w:left="0"/>
              <w:jc w:val="right"/>
              <w:rPr>
                <w:sz w:val="22"/>
              </w:rPr>
            </w:pPr>
            <w:r w:rsidRPr="00DD3B67">
              <w:rPr>
                <w:sz w:val="22"/>
              </w:rPr>
              <w:t>(932,383)</w:t>
            </w:r>
          </w:p>
        </w:tc>
      </w:tr>
      <w:tr w:rsidR="000A0087" w:rsidRPr="00DD3B67" w:rsidTr="008A3773">
        <w:tc>
          <w:tcPr>
            <w:tcW w:w="5529" w:type="dxa"/>
          </w:tcPr>
          <w:p w:rsidR="000A0087" w:rsidRPr="00DD3B67" w:rsidRDefault="000A0087" w:rsidP="008A3773">
            <w:pPr>
              <w:pStyle w:val="Body"/>
              <w:spacing w:before="80"/>
              <w:ind w:left="176"/>
              <w:rPr>
                <w:sz w:val="22"/>
              </w:rPr>
            </w:pPr>
          </w:p>
        </w:tc>
        <w:tc>
          <w:tcPr>
            <w:tcW w:w="1418" w:type="dxa"/>
            <w:tcBorders>
              <w:bottom w:val="single" w:sz="4" w:space="0" w:color="FFFFFF" w:themeColor="background1"/>
            </w:tcBorders>
            <w:shd w:val="clear" w:color="auto" w:fill="E0DCCB" w:themeFill="accent4" w:themeFillTint="66"/>
          </w:tcPr>
          <w:p w:rsidR="000A0087" w:rsidRPr="00DD3B67" w:rsidRDefault="000A0087" w:rsidP="000A0087">
            <w:pPr>
              <w:pStyle w:val="Body"/>
              <w:spacing w:before="80"/>
              <w:ind w:left="0"/>
              <w:jc w:val="right"/>
              <w:rPr>
                <w:sz w:val="22"/>
              </w:rPr>
            </w:pPr>
          </w:p>
        </w:tc>
        <w:tc>
          <w:tcPr>
            <w:tcW w:w="1418" w:type="dxa"/>
            <w:tcBorders>
              <w:bottom w:val="single" w:sz="4" w:space="0" w:color="E0DCCB" w:themeColor="accent4" w:themeTint="66"/>
            </w:tcBorders>
          </w:tcPr>
          <w:p w:rsidR="000A0087" w:rsidRPr="00DD3B67" w:rsidRDefault="000A0087" w:rsidP="000A0087">
            <w:pPr>
              <w:pStyle w:val="Body"/>
              <w:spacing w:before="80"/>
              <w:ind w:left="0"/>
              <w:jc w:val="right"/>
              <w:rPr>
                <w:sz w:val="22"/>
              </w:rPr>
            </w:pPr>
          </w:p>
        </w:tc>
      </w:tr>
      <w:tr w:rsidR="000A0087" w:rsidRPr="00DD3B67" w:rsidTr="008A3773">
        <w:tc>
          <w:tcPr>
            <w:tcW w:w="5529" w:type="dxa"/>
          </w:tcPr>
          <w:p w:rsidR="000A0087" w:rsidRPr="00DD3B67" w:rsidRDefault="000A0087" w:rsidP="008A3773">
            <w:pPr>
              <w:pStyle w:val="Body"/>
              <w:spacing w:before="80"/>
              <w:ind w:left="176"/>
              <w:rPr>
                <w:sz w:val="22"/>
              </w:rPr>
            </w:pPr>
            <w:r w:rsidRPr="00DD3B67">
              <w:rPr>
                <w:b/>
                <w:sz w:val="22"/>
              </w:rPr>
              <w:t>Balance at end of period</w:t>
            </w:r>
          </w:p>
        </w:tc>
        <w:tc>
          <w:tcPr>
            <w:tcW w:w="1418" w:type="dxa"/>
            <w:tcBorders>
              <w:top w:val="single" w:sz="4" w:space="0" w:color="FFFFFF" w:themeColor="background1"/>
              <w:bottom w:val="single" w:sz="4" w:space="0" w:color="FFFFFF" w:themeColor="background1"/>
            </w:tcBorders>
            <w:shd w:val="clear" w:color="auto" w:fill="E0DCCB" w:themeFill="accent4" w:themeFillTint="66"/>
          </w:tcPr>
          <w:p w:rsidR="000A0087" w:rsidRPr="00DD3B67" w:rsidRDefault="000A0087" w:rsidP="000A0087">
            <w:pPr>
              <w:pStyle w:val="Body"/>
              <w:spacing w:before="80"/>
              <w:ind w:left="0"/>
              <w:jc w:val="right"/>
              <w:rPr>
                <w:sz w:val="22"/>
              </w:rPr>
            </w:pPr>
            <w:r w:rsidRPr="00DD3B67">
              <w:rPr>
                <w:b/>
                <w:sz w:val="22"/>
              </w:rPr>
              <w:t>(</w:t>
            </w:r>
            <w:r>
              <w:rPr>
                <w:b/>
                <w:sz w:val="22"/>
              </w:rPr>
              <w:t>1,726,842</w:t>
            </w:r>
            <w:r w:rsidRPr="00DD3B67">
              <w:rPr>
                <w:b/>
                <w:sz w:val="22"/>
              </w:rPr>
              <w:t>)</w:t>
            </w:r>
          </w:p>
        </w:tc>
        <w:tc>
          <w:tcPr>
            <w:tcW w:w="1418" w:type="dxa"/>
            <w:tcBorders>
              <w:top w:val="single" w:sz="4" w:space="0" w:color="E0DCCB" w:themeColor="accent4" w:themeTint="66"/>
              <w:bottom w:val="single" w:sz="4" w:space="0" w:color="E0DCCB" w:themeColor="accent4" w:themeTint="66"/>
            </w:tcBorders>
          </w:tcPr>
          <w:p w:rsidR="000A0087" w:rsidRPr="00DD3B67" w:rsidRDefault="000A0087" w:rsidP="000A0087">
            <w:pPr>
              <w:pStyle w:val="Body"/>
              <w:spacing w:before="80"/>
              <w:ind w:left="0"/>
              <w:jc w:val="right"/>
              <w:rPr>
                <w:sz w:val="22"/>
              </w:rPr>
            </w:pPr>
            <w:r w:rsidRPr="00DD3B67">
              <w:rPr>
                <w:b/>
                <w:sz w:val="22"/>
              </w:rPr>
              <w:t>(2,270,889)</w:t>
            </w:r>
          </w:p>
        </w:tc>
      </w:tr>
      <w:tr w:rsidR="000A0087" w:rsidRPr="00DD3B67" w:rsidTr="008A3773">
        <w:tc>
          <w:tcPr>
            <w:tcW w:w="5529" w:type="dxa"/>
          </w:tcPr>
          <w:p w:rsidR="000A0087" w:rsidRPr="00DD3B67" w:rsidRDefault="000A0087" w:rsidP="008A3773">
            <w:pPr>
              <w:pStyle w:val="Body"/>
              <w:spacing w:before="80"/>
              <w:ind w:left="176"/>
              <w:rPr>
                <w:sz w:val="22"/>
              </w:rPr>
            </w:pPr>
            <w:r w:rsidRPr="00DD3B67">
              <w:rPr>
                <w:b/>
                <w:sz w:val="22"/>
              </w:rPr>
              <w:t>Total Equity at end of period</w:t>
            </w:r>
          </w:p>
        </w:tc>
        <w:tc>
          <w:tcPr>
            <w:tcW w:w="1418" w:type="dxa"/>
            <w:tcBorders>
              <w:top w:val="single" w:sz="4" w:space="0" w:color="FFFFFF" w:themeColor="background1"/>
              <w:bottom w:val="single" w:sz="4" w:space="0" w:color="B2A97E" w:themeColor="accent4"/>
            </w:tcBorders>
            <w:shd w:val="clear" w:color="auto" w:fill="E0DCCB" w:themeFill="accent4" w:themeFillTint="66"/>
          </w:tcPr>
          <w:p w:rsidR="000A0087" w:rsidRPr="00DD3B67" w:rsidRDefault="000A0087" w:rsidP="000A0087">
            <w:pPr>
              <w:pStyle w:val="Body"/>
              <w:spacing w:before="80"/>
              <w:ind w:left="0"/>
              <w:jc w:val="right"/>
              <w:rPr>
                <w:sz w:val="22"/>
              </w:rPr>
            </w:pPr>
            <w:r>
              <w:rPr>
                <w:b/>
                <w:sz w:val="22"/>
              </w:rPr>
              <w:t>(1,324,167</w:t>
            </w:r>
            <w:r w:rsidRPr="00DD3B67">
              <w:rPr>
                <w:b/>
                <w:sz w:val="22"/>
              </w:rPr>
              <w:t>)</w:t>
            </w:r>
          </w:p>
        </w:tc>
        <w:tc>
          <w:tcPr>
            <w:tcW w:w="1418" w:type="dxa"/>
            <w:tcBorders>
              <w:top w:val="single" w:sz="4" w:space="0" w:color="E0DCCB" w:themeColor="accent4" w:themeTint="66"/>
              <w:bottom w:val="single" w:sz="4" w:space="0" w:color="B2A97E" w:themeColor="accent4"/>
            </w:tcBorders>
          </w:tcPr>
          <w:p w:rsidR="000A0087" w:rsidRPr="00DD3B67" w:rsidRDefault="000A0087" w:rsidP="000A0087">
            <w:pPr>
              <w:pStyle w:val="Body"/>
              <w:spacing w:before="80"/>
              <w:ind w:left="0"/>
              <w:jc w:val="right"/>
              <w:rPr>
                <w:sz w:val="22"/>
              </w:rPr>
            </w:pPr>
            <w:r w:rsidRPr="00DD3B67">
              <w:rPr>
                <w:b/>
                <w:sz w:val="22"/>
              </w:rPr>
              <w:t>(1,827,214)</w:t>
            </w:r>
          </w:p>
        </w:tc>
      </w:tr>
    </w:tbl>
    <w:p w:rsidR="000A0087" w:rsidRDefault="000A0087" w:rsidP="000A0087">
      <w:pPr>
        <w:pStyle w:val="Heading4"/>
      </w:pPr>
      <w:bookmarkStart w:id="227" w:name="_Toc264275282"/>
      <w:bookmarkStart w:id="228" w:name="_Toc264895174"/>
      <w:bookmarkStart w:id="229" w:name="_Toc265493294"/>
      <w:bookmarkStart w:id="230" w:name="_Toc268084805"/>
      <w:bookmarkStart w:id="231" w:name="_Toc278880961"/>
      <w:bookmarkStart w:id="232" w:name="_Toc317079420"/>
      <w:bookmarkStart w:id="233" w:name="_Toc317590682"/>
    </w:p>
    <w:p w:rsidR="000A0087" w:rsidRDefault="000A0087" w:rsidP="000A0087">
      <w:pPr>
        <w:rPr>
          <w:rFonts w:eastAsiaTheme="majorEastAsia" w:cstheme="majorBidi"/>
          <w:b/>
          <w:iCs/>
          <w:color w:val="B2A97E" w:themeColor="accent4"/>
          <w:sz w:val="26"/>
        </w:rPr>
      </w:pPr>
      <w:r>
        <w:br w:type="page"/>
      </w:r>
    </w:p>
    <w:p w:rsidR="000A0087" w:rsidRDefault="000A0087" w:rsidP="008A3773">
      <w:pPr>
        <w:pStyle w:val="Financialsheading3"/>
      </w:pPr>
      <w:bookmarkStart w:id="234" w:name="_Toc427745940"/>
      <w:proofErr w:type="gramStart"/>
      <w:r w:rsidRPr="005D6BC7">
        <w:lastRenderedPageBreak/>
        <w:t>Note 2</w:t>
      </w:r>
      <w:r>
        <w:t>4</w:t>
      </w:r>
      <w:r w:rsidRPr="005D6BC7">
        <w:t>.</w:t>
      </w:r>
      <w:proofErr w:type="gramEnd"/>
      <w:r w:rsidRPr="005D6BC7">
        <w:t xml:space="preserve"> Notes to the Statement of Cash Flows</w:t>
      </w:r>
      <w:bookmarkEnd w:id="227"/>
      <w:bookmarkEnd w:id="228"/>
      <w:bookmarkEnd w:id="229"/>
      <w:bookmarkEnd w:id="230"/>
      <w:bookmarkEnd w:id="231"/>
      <w:bookmarkEnd w:id="232"/>
      <w:bookmarkEnd w:id="233"/>
      <w:bookmarkEnd w:id="234"/>
    </w:p>
    <w:p w:rsidR="000A0087" w:rsidRPr="005D6BC7" w:rsidRDefault="000A0087" w:rsidP="008A3773">
      <w:pPr>
        <w:pStyle w:val="Financialsheading4"/>
      </w:pPr>
      <w:bookmarkStart w:id="235" w:name="_Toc264275283"/>
      <w:bookmarkStart w:id="236" w:name="_Toc264895175"/>
      <w:bookmarkStart w:id="237" w:name="_Toc265493295"/>
      <w:bookmarkStart w:id="238" w:name="_Toc268084806"/>
      <w:bookmarkStart w:id="239" w:name="_Toc278880962"/>
      <w:bookmarkStart w:id="240" w:name="_Toc317079421"/>
      <w:bookmarkStart w:id="241" w:name="_Toc317590683"/>
      <w:r w:rsidRPr="005D6BC7">
        <w:t>Reconciliation of cash</w:t>
      </w:r>
      <w:bookmarkEnd w:id="235"/>
      <w:bookmarkEnd w:id="236"/>
      <w:bookmarkEnd w:id="237"/>
      <w:bookmarkEnd w:id="238"/>
      <w:bookmarkEnd w:id="239"/>
      <w:bookmarkEnd w:id="240"/>
      <w:bookmarkEnd w:id="241"/>
    </w:p>
    <w:p w:rsidR="000A0087" w:rsidRPr="00DD3B67" w:rsidRDefault="000A0087" w:rsidP="000A0087">
      <w:pPr>
        <w:pStyle w:val="Body"/>
        <w:rPr>
          <w:sz w:val="22"/>
        </w:rPr>
      </w:pPr>
      <w:r w:rsidRPr="00DD3B67">
        <w:rPr>
          <w:sz w:val="22"/>
        </w:rPr>
        <w:t>Cash at the end of the financial year as shown in the Statement of Cash Flows is reconciled to the related items in the Statement of Financial Position as follows:</w:t>
      </w:r>
    </w:p>
    <w:tbl>
      <w:tblPr>
        <w:tblStyle w:val="TableGrid"/>
        <w:tblW w:w="8417"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44"/>
        <w:gridCol w:w="1444"/>
      </w:tblGrid>
      <w:tr w:rsidR="000A0087" w:rsidRPr="00DD3B67" w:rsidTr="008A3773">
        <w:tc>
          <w:tcPr>
            <w:tcW w:w="5529" w:type="dxa"/>
          </w:tcPr>
          <w:p w:rsidR="000A0087" w:rsidRPr="00DD3B67" w:rsidRDefault="000A0087" w:rsidP="000A0087">
            <w:pPr>
              <w:pStyle w:val="Body"/>
              <w:spacing w:before="80"/>
              <w:ind w:left="34"/>
              <w:rPr>
                <w:sz w:val="22"/>
              </w:rPr>
            </w:pPr>
          </w:p>
        </w:tc>
        <w:tc>
          <w:tcPr>
            <w:tcW w:w="1444"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5</w:t>
            </w:r>
            <w:r w:rsidRPr="00DD3B67">
              <w:rPr>
                <w:b/>
                <w:sz w:val="22"/>
              </w:rPr>
              <w:br/>
              <w:t>$</w:t>
            </w:r>
          </w:p>
        </w:tc>
        <w:tc>
          <w:tcPr>
            <w:tcW w:w="1444"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4</w:t>
            </w:r>
            <w:r w:rsidRPr="00DD3B67">
              <w:rPr>
                <w:b/>
                <w:sz w:val="22"/>
              </w:rPr>
              <w:br/>
              <w:t>$</w:t>
            </w:r>
          </w:p>
        </w:tc>
      </w:tr>
      <w:tr w:rsidR="000A0087" w:rsidRPr="00DD3B67" w:rsidTr="008A3773">
        <w:tc>
          <w:tcPr>
            <w:tcW w:w="5529" w:type="dxa"/>
          </w:tcPr>
          <w:p w:rsidR="000A0087" w:rsidRPr="00DD3B67" w:rsidRDefault="000A0087" w:rsidP="008A3773">
            <w:pPr>
              <w:pStyle w:val="Body"/>
              <w:spacing w:before="80"/>
              <w:ind w:left="176"/>
              <w:rPr>
                <w:sz w:val="22"/>
              </w:rPr>
            </w:pPr>
            <w:r w:rsidRPr="00DD3B67">
              <w:rPr>
                <w:sz w:val="22"/>
              </w:rPr>
              <w:t>Cash and cash equivalents</w:t>
            </w:r>
          </w:p>
        </w:tc>
        <w:tc>
          <w:tcPr>
            <w:tcW w:w="1444" w:type="dxa"/>
            <w:shd w:val="clear" w:color="auto" w:fill="E0DCCB" w:themeFill="accent4" w:themeFillTint="66"/>
          </w:tcPr>
          <w:p w:rsidR="000A0087" w:rsidRPr="00DD3B67" w:rsidRDefault="000A0087" w:rsidP="000A0087">
            <w:pPr>
              <w:pStyle w:val="Body"/>
              <w:spacing w:before="80"/>
              <w:ind w:left="0"/>
              <w:jc w:val="right"/>
              <w:rPr>
                <w:sz w:val="22"/>
              </w:rPr>
            </w:pPr>
            <w:r>
              <w:rPr>
                <w:sz w:val="22"/>
              </w:rPr>
              <w:t>184,116</w:t>
            </w:r>
          </w:p>
        </w:tc>
        <w:tc>
          <w:tcPr>
            <w:tcW w:w="1444" w:type="dxa"/>
          </w:tcPr>
          <w:p w:rsidR="000A0087" w:rsidRPr="00DD3B67" w:rsidRDefault="000A0087" w:rsidP="000A0087">
            <w:pPr>
              <w:pStyle w:val="Body"/>
              <w:spacing w:before="80"/>
              <w:ind w:left="0"/>
              <w:jc w:val="right"/>
              <w:rPr>
                <w:sz w:val="22"/>
              </w:rPr>
            </w:pPr>
            <w:r w:rsidRPr="00DD3B67">
              <w:rPr>
                <w:sz w:val="22"/>
              </w:rPr>
              <w:t>199,220</w:t>
            </w:r>
          </w:p>
        </w:tc>
      </w:tr>
      <w:tr w:rsidR="000A0087" w:rsidRPr="00DD3B67" w:rsidTr="008A3773">
        <w:tc>
          <w:tcPr>
            <w:tcW w:w="5529" w:type="dxa"/>
          </w:tcPr>
          <w:p w:rsidR="000A0087" w:rsidRPr="00DD3B67" w:rsidRDefault="000A0087" w:rsidP="008A3773">
            <w:pPr>
              <w:pStyle w:val="Body"/>
              <w:spacing w:before="80"/>
              <w:ind w:left="176"/>
              <w:rPr>
                <w:sz w:val="22"/>
              </w:rPr>
            </w:pPr>
            <w:r w:rsidRPr="00DD3B67">
              <w:rPr>
                <w:sz w:val="22"/>
              </w:rPr>
              <w:t>Restricted cash and cash equivalents (</w:t>
            </w:r>
            <w:r w:rsidRPr="00DD3B67">
              <w:rPr>
                <w:i/>
                <w:sz w:val="22"/>
              </w:rPr>
              <w:t>note 13 ‘Restricted cash and cash equivalents’</w:t>
            </w:r>
            <w:r w:rsidRPr="00DD3B67">
              <w:rPr>
                <w:sz w:val="22"/>
              </w:rPr>
              <w:t>)</w:t>
            </w:r>
          </w:p>
        </w:tc>
        <w:tc>
          <w:tcPr>
            <w:tcW w:w="1444" w:type="dxa"/>
            <w:tcBorders>
              <w:bottom w:val="single" w:sz="4" w:space="0" w:color="FFFFFF" w:themeColor="background1"/>
            </w:tcBorders>
            <w:shd w:val="clear" w:color="auto" w:fill="E0DCCB" w:themeFill="accent4" w:themeFillTint="66"/>
          </w:tcPr>
          <w:p w:rsidR="000A0087" w:rsidRPr="00DD3B67" w:rsidRDefault="000A0087" w:rsidP="000A0087">
            <w:pPr>
              <w:jc w:val="right"/>
              <w:rPr>
                <w:sz w:val="22"/>
              </w:rPr>
            </w:pPr>
          </w:p>
          <w:p w:rsidR="000A0087" w:rsidRPr="00DD3B67" w:rsidRDefault="000A0087" w:rsidP="000A0087">
            <w:pPr>
              <w:pStyle w:val="Body"/>
              <w:spacing w:before="80"/>
              <w:ind w:left="0"/>
              <w:jc w:val="right"/>
              <w:rPr>
                <w:sz w:val="22"/>
              </w:rPr>
            </w:pPr>
            <w:r>
              <w:rPr>
                <w:sz w:val="22"/>
              </w:rPr>
              <w:t>354,067</w:t>
            </w:r>
          </w:p>
        </w:tc>
        <w:tc>
          <w:tcPr>
            <w:tcW w:w="1444" w:type="dxa"/>
            <w:tcBorders>
              <w:bottom w:val="single" w:sz="4" w:space="0" w:color="E0DCCB" w:themeColor="accent4" w:themeTint="66"/>
            </w:tcBorders>
          </w:tcPr>
          <w:p w:rsidR="000A0087" w:rsidRPr="00DD3B67" w:rsidRDefault="000A0087" w:rsidP="000A0087">
            <w:pPr>
              <w:jc w:val="right"/>
              <w:rPr>
                <w:sz w:val="22"/>
              </w:rPr>
            </w:pPr>
          </w:p>
          <w:p w:rsidR="000A0087" w:rsidRPr="00DD3B67" w:rsidRDefault="000A0087" w:rsidP="000A0087">
            <w:pPr>
              <w:pStyle w:val="Body"/>
              <w:spacing w:before="80"/>
              <w:ind w:left="0"/>
              <w:jc w:val="right"/>
              <w:rPr>
                <w:sz w:val="22"/>
              </w:rPr>
            </w:pPr>
            <w:r w:rsidRPr="00DD3B67">
              <w:rPr>
                <w:sz w:val="22"/>
              </w:rPr>
              <w:t>510,595</w:t>
            </w:r>
          </w:p>
        </w:tc>
      </w:tr>
      <w:tr w:rsidR="000A0087" w:rsidRPr="00DD3B67" w:rsidTr="008A3773">
        <w:tc>
          <w:tcPr>
            <w:tcW w:w="5529" w:type="dxa"/>
          </w:tcPr>
          <w:p w:rsidR="000A0087" w:rsidRPr="00DD3B67" w:rsidRDefault="000A0087" w:rsidP="000A0087">
            <w:pPr>
              <w:pStyle w:val="Body"/>
              <w:spacing w:before="80"/>
              <w:ind w:left="-108"/>
              <w:rPr>
                <w:sz w:val="22"/>
              </w:rPr>
            </w:pPr>
          </w:p>
        </w:tc>
        <w:tc>
          <w:tcPr>
            <w:tcW w:w="1444" w:type="dxa"/>
            <w:tcBorders>
              <w:top w:val="single" w:sz="4" w:space="0" w:color="FFFFFF" w:themeColor="background1"/>
              <w:bottom w:val="single" w:sz="4" w:space="0" w:color="B2A97E" w:themeColor="accent4"/>
            </w:tcBorders>
            <w:shd w:val="clear" w:color="auto" w:fill="E0DCCB" w:themeFill="accent4" w:themeFillTint="66"/>
          </w:tcPr>
          <w:p w:rsidR="000A0087" w:rsidRPr="00DD3B67" w:rsidRDefault="000A0087" w:rsidP="000A0087">
            <w:pPr>
              <w:pStyle w:val="Body"/>
              <w:spacing w:before="80"/>
              <w:ind w:left="0"/>
              <w:jc w:val="right"/>
              <w:rPr>
                <w:sz w:val="22"/>
              </w:rPr>
            </w:pPr>
            <w:r w:rsidRPr="00DD3B67">
              <w:rPr>
                <w:b/>
                <w:sz w:val="22"/>
              </w:rPr>
              <w:fldChar w:fldCharType="begin"/>
            </w:r>
            <w:r w:rsidRPr="00DD3B67">
              <w:rPr>
                <w:b/>
                <w:sz w:val="22"/>
              </w:rPr>
              <w:instrText xml:space="preserve"> =SUM(ABOVE) </w:instrText>
            </w:r>
            <w:r w:rsidRPr="00DD3B67">
              <w:rPr>
                <w:b/>
                <w:sz w:val="22"/>
              </w:rPr>
              <w:fldChar w:fldCharType="separate"/>
            </w:r>
            <w:r>
              <w:rPr>
                <w:b/>
                <w:noProof/>
                <w:sz w:val="22"/>
              </w:rPr>
              <w:t>538,183</w:t>
            </w:r>
            <w:r w:rsidRPr="00DD3B67">
              <w:rPr>
                <w:b/>
                <w:sz w:val="22"/>
              </w:rPr>
              <w:fldChar w:fldCharType="end"/>
            </w:r>
          </w:p>
        </w:tc>
        <w:tc>
          <w:tcPr>
            <w:tcW w:w="1444" w:type="dxa"/>
            <w:tcBorders>
              <w:top w:val="single" w:sz="4" w:space="0" w:color="E0DCCB" w:themeColor="accent4" w:themeTint="66"/>
              <w:bottom w:val="single" w:sz="4" w:space="0" w:color="B2A97E" w:themeColor="accent4"/>
            </w:tcBorders>
          </w:tcPr>
          <w:p w:rsidR="000A0087" w:rsidRPr="00DD3B67" w:rsidRDefault="000A0087" w:rsidP="000A0087">
            <w:pPr>
              <w:pStyle w:val="Body"/>
              <w:spacing w:before="80"/>
              <w:ind w:left="0"/>
              <w:jc w:val="right"/>
              <w:rPr>
                <w:sz w:val="22"/>
              </w:rPr>
            </w:pPr>
            <w:r w:rsidRPr="00DD3B67">
              <w:rPr>
                <w:b/>
                <w:sz w:val="22"/>
              </w:rPr>
              <w:fldChar w:fldCharType="begin"/>
            </w:r>
            <w:r w:rsidRPr="00DD3B67">
              <w:rPr>
                <w:b/>
                <w:sz w:val="22"/>
              </w:rPr>
              <w:instrText xml:space="preserve"> =SUM(ABOVE) </w:instrText>
            </w:r>
            <w:r w:rsidRPr="00DD3B67">
              <w:rPr>
                <w:b/>
                <w:sz w:val="22"/>
              </w:rPr>
              <w:fldChar w:fldCharType="separate"/>
            </w:r>
            <w:r w:rsidRPr="00DD3B67">
              <w:rPr>
                <w:b/>
                <w:noProof/>
                <w:sz w:val="22"/>
              </w:rPr>
              <w:t>709,815</w:t>
            </w:r>
            <w:r w:rsidRPr="00DD3B67">
              <w:rPr>
                <w:b/>
                <w:sz w:val="22"/>
              </w:rPr>
              <w:fldChar w:fldCharType="end"/>
            </w:r>
          </w:p>
        </w:tc>
      </w:tr>
    </w:tbl>
    <w:p w:rsidR="000A0087" w:rsidRDefault="000A0087" w:rsidP="008A3773">
      <w:pPr>
        <w:pStyle w:val="Financialsheading4"/>
      </w:pPr>
      <w:r w:rsidRPr="005D6BC7">
        <w:t>Reconciliation of net cost of services to net cash flows provided by</w:t>
      </w:r>
      <w:proofErr w:type="gramStart"/>
      <w:r w:rsidRPr="005D6BC7">
        <w:t>/(</w:t>
      </w:r>
      <w:proofErr w:type="gramEnd"/>
      <w:r w:rsidRPr="005D6BC7">
        <w:t>used in) operating activities</w:t>
      </w:r>
    </w:p>
    <w:tbl>
      <w:tblPr>
        <w:tblStyle w:val="TableGrid"/>
        <w:tblW w:w="8457"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64"/>
        <w:gridCol w:w="1464"/>
      </w:tblGrid>
      <w:tr w:rsidR="000A0087" w:rsidRPr="00DD3B67" w:rsidTr="008A3773">
        <w:tc>
          <w:tcPr>
            <w:tcW w:w="5529" w:type="dxa"/>
          </w:tcPr>
          <w:p w:rsidR="000A0087" w:rsidRPr="00DD3B67" w:rsidRDefault="000A0087" w:rsidP="008A3773">
            <w:pPr>
              <w:pStyle w:val="Body"/>
              <w:spacing w:before="80"/>
              <w:ind w:left="176"/>
              <w:rPr>
                <w:sz w:val="22"/>
              </w:rPr>
            </w:pPr>
          </w:p>
        </w:tc>
        <w:tc>
          <w:tcPr>
            <w:tcW w:w="1464"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5</w:t>
            </w:r>
            <w:r w:rsidRPr="00DD3B67">
              <w:rPr>
                <w:b/>
                <w:sz w:val="22"/>
              </w:rPr>
              <w:br/>
              <w:t>$</w:t>
            </w:r>
          </w:p>
        </w:tc>
        <w:tc>
          <w:tcPr>
            <w:tcW w:w="1464"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4</w:t>
            </w:r>
            <w:r w:rsidRPr="00DD3B67">
              <w:rPr>
                <w:b/>
                <w:sz w:val="22"/>
              </w:rPr>
              <w:br/>
              <w:t>$</w:t>
            </w:r>
          </w:p>
        </w:tc>
      </w:tr>
      <w:tr w:rsidR="000A0087" w:rsidRPr="00DD3B67" w:rsidTr="008A3773">
        <w:tc>
          <w:tcPr>
            <w:tcW w:w="5529" w:type="dxa"/>
          </w:tcPr>
          <w:p w:rsidR="000A0087" w:rsidRPr="009D0E26" w:rsidRDefault="000A0087" w:rsidP="008A3773">
            <w:pPr>
              <w:pStyle w:val="Body"/>
              <w:spacing w:before="80"/>
              <w:ind w:left="176"/>
              <w:rPr>
                <w:rFonts w:cstheme="minorHAnsi"/>
                <w:sz w:val="22"/>
              </w:rPr>
            </w:pPr>
            <w:r w:rsidRPr="009D0E26">
              <w:rPr>
                <w:rFonts w:cstheme="minorHAnsi"/>
                <w:sz w:val="22"/>
              </w:rPr>
              <w:t>Net cost of services</w:t>
            </w: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r w:rsidRPr="009D0E26">
              <w:rPr>
                <w:rFonts w:cstheme="minorHAnsi"/>
                <w:sz w:val="22"/>
              </w:rPr>
              <w:t>(</w:t>
            </w:r>
            <w:r>
              <w:rPr>
                <w:rFonts w:cstheme="minorHAnsi"/>
                <w:sz w:val="22"/>
              </w:rPr>
              <w:t>14,530,854</w:t>
            </w:r>
            <w:r w:rsidRPr="009D0E26">
              <w:rPr>
                <w:rFonts w:cstheme="minorHAnsi"/>
                <w:sz w:val="22"/>
              </w:rPr>
              <w:t>)</w:t>
            </w:r>
          </w:p>
        </w:tc>
        <w:tc>
          <w:tcPr>
            <w:tcW w:w="1464" w:type="dxa"/>
          </w:tcPr>
          <w:p w:rsidR="000A0087" w:rsidRPr="009D0E26" w:rsidRDefault="000A0087" w:rsidP="000A0087">
            <w:pPr>
              <w:pStyle w:val="Body"/>
              <w:spacing w:before="80"/>
              <w:ind w:left="0"/>
              <w:jc w:val="right"/>
              <w:rPr>
                <w:rFonts w:cstheme="minorHAnsi"/>
                <w:sz w:val="22"/>
              </w:rPr>
            </w:pPr>
            <w:r w:rsidRPr="009D0E26">
              <w:rPr>
                <w:rFonts w:cstheme="minorHAnsi"/>
                <w:sz w:val="22"/>
              </w:rPr>
              <w:t>(15,955,527)</w:t>
            </w:r>
          </w:p>
        </w:tc>
      </w:tr>
      <w:tr w:rsidR="000A0087" w:rsidRPr="00DD3B67" w:rsidTr="008A3773">
        <w:tc>
          <w:tcPr>
            <w:tcW w:w="5529" w:type="dxa"/>
          </w:tcPr>
          <w:p w:rsidR="000A0087" w:rsidRPr="009D0E26" w:rsidRDefault="000A0087" w:rsidP="008A3773">
            <w:pPr>
              <w:pStyle w:val="Body"/>
              <w:spacing w:before="80"/>
              <w:ind w:left="176"/>
              <w:rPr>
                <w:rFonts w:cstheme="minorHAnsi"/>
                <w:sz w:val="22"/>
                <w:u w:val="single"/>
              </w:rPr>
            </w:pP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p>
        </w:tc>
        <w:tc>
          <w:tcPr>
            <w:tcW w:w="1464" w:type="dxa"/>
          </w:tcPr>
          <w:p w:rsidR="000A0087" w:rsidRPr="009D0E26" w:rsidRDefault="000A0087" w:rsidP="000A0087">
            <w:pPr>
              <w:pStyle w:val="Body"/>
              <w:spacing w:before="80"/>
              <w:ind w:left="0"/>
              <w:jc w:val="right"/>
              <w:rPr>
                <w:rFonts w:cstheme="minorHAnsi"/>
                <w:sz w:val="22"/>
              </w:rPr>
            </w:pPr>
          </w:p>
        </w:tc>
      </w:tr>
      <w:tr w:rsidR="000A0087" w:rsidRPr="00DD3B67" w:rsidTr="008A3773">
        <w:tc>
          <w:tcPr>
            <w:tcW w:w="5529" w:type="dxa"/>
          </w:tcPr>
          <w:p w:rsidR="000A0087" w:rsidRPr="009D0E26" w:rsidRDefault="000A0087" w:rsidP="008A3773">
            <w:pPr>
              <w:pStyle w:val="Body"/>
              <w:spacing w:before="80"/>
              <w:ind w:left="176"/>
              <w:rPr>
                <w:rFonts w:cstheme="minorHAnsi"/>
                <w:sz w:val="22"/>
                <w:u w:val="single"/>
              </w:rPr>
            </w:pPr>
            <w:r w:rsidRPr="00987AF8">
              <w:rPr>
                <w:rFonts w:cstheme="minorHAnsi"/>
                <w:sz w:val="22"/>
                <w:u w:val="single"/>
              </w:rPr>
              <w:t>Non-cash items</w:t>
            </w: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p>
        </w:tc>
        <w:tc>
          <w:tcPr>
            <w:tcW w:w="1464" w:type="dxa"/>
          </w:tcPr>
          <w:p w:rsidR="000A0087" w:rsidRPr="009D0E26" w:rsidRDefault="000A0087" w:rsidP="000A0087">
            <w:pPr>
              <w:pStyle w:val="Body"/>
              <w:spacing w:before="80"/>
              <w:ind w:left="0"/>
              <w:jc w:val="right"/>
              <w:rPr>
                <w:rFonts w:cstheme="minorHAnsi"/>
                <w:sz w:val="22"/>
              </w:rPr>
            </w:pPr>
          </w:p>
        </w:tc>
      </w:tr>
      <w:tr w:rsidR="000A0087" w:rsidRPr="00DD3B67" w:rsidTr="008A3773">
        <w:tc>
          <w:tcPr>
            <w:tcW w:w="5529" w:type="dxa"/>
          </w:tcPr>
          <w:p w:rsidR="000A0087" w:rsidRPr="009D0E26" w:rsidRDefault="000A0087" w:rsidP="008A3773">
            <w:pPr>
              <w:pStyle w:val="Body"/>
              <w:spacing w:before="80"/>
              <w:ind w:left="176"/>
              <w:rPr>
                <w:rFonts w:cstheme="minorHAnsi"/>
                <w:sz w:val="22"/>
                <w:u w:val="single"/>
              </w:rPr>
            </w:pPr>
            <w:r w:rsidRPr="009D0E26">
              <w:rPr>
                <w:rFonts w:cstheme="minorHAnsi"/>
                <w:sz w:val="22"/>
              </w:rPr>
              <w:t>Depreciation and amortisation expense (</w:t>
            </w:r>
            <w:r w:rsidRPr="009D0E26">
              <w:rPr>
                <w:rFonts w:cstheme="minorHAnsi"/>
                <w:i/>
                <w:sz w:val="22"/>
              </w:rPr>
              <w:t>note 7 ‘Depreciation and amortisation expense’</w:t>
            </w:r>
            <w:r w:rsidRPr="009D0E26">
              <w:rPr>
                <w:rFonts w:cstheme="minorHAnsi"/>
                <w:sz w:val="22"/>
              </w:rPr>
              <w:t>)</w:t>
            </w:r>
          </w:p>
        </w:tc>
        <w:tc>
          <w:tcPr>
            <w:tcW w:w="1464" w:type="dxa"/>
            <w:shd w:val="clear" w:color="auto" w:fill="E0DCCB" w:themeFill="accent4" w:themeFillTint="66"/>
            <w:vAlign w:val="bottom"/>
          </w:tcPr>
          <w:p w:rsidR="000A0087" w:rsidRPr="009D0E26" w:rsidRDefault="000A0087" w:rsidP="000A0087">
            <w:pPr>
              <w:pStyle w:val="Body"/>
              <w:spacing w:before="80"/>
              <w:ind w:left="0"/>
              <w:jc w:val="right"/>
              <w:rPr>
                <w:rFonts w:cstheme="minorHAnsi"/>
                <w:sz w:val="22"/>
              </w:rPr>
            </w:pPr>
            <w:r>
              <w:rPr>
                <w:rFonts w:cstheme="minorHAnsi"/>
                <w:sz w:val="22"/>
              </w:rPr>
              <w:t>197,321</w:t>
            </w:r>
          </w:p>
        </w:tc>
        <w:tc>
          <w:tcPr>
            <w:tcW w:w="1464" w:type="dxa"/>
            <w:vAlign w:val="bottom"/>
          </w:tcPr>
          <w:p w:rsidR="000A0087" w:rsidRPr="009D0E26" w:rsidRDefault="000A0087" w:rsidP="000A0087">
            <w:pPr>
              <w:pStyle w:val="Body"/>
              <w:spacing w:before="80"/>
              <w:ind w:left="0"/>
              <w:jc w:val="right"/>
              <w:rPr>
                <w:rFonts w:cstheme="minorHAnsi"/>
                <w:sz w:val="22"/>
              </w:rPr>
            </w:pPr>
            <w:r w:rsidRPr="009D0E26">
              <w:rPr>
                <w:rFonts w:cstheme="minorHAnsi"/>
                <w:sz w:val="22"/>
              </w:rPr>
              <w:t>202,044</w:t>
            </w:r>
          </w:p>
        </w:tc>
      </w:tr>
      <w:tr w:rsidR="000A0087" w:rsidRPr="00DD3B67" w:rsidTr="008A3773">
        <w:tc>
          <w:tcPr>
            <w:tcW w:w="5529" w:type="dxa"/>
          </w:tcPr>
          <w:p w:rsidR="000A0087" w:rsidRPr="009D0E26" w:rsidRDefault="000A0087" w:rsidP="002E0A36">
            <w:pPr>
              <w:pStyle w:val="Body"/>
              <w:spacing w:before="80"/>
              <w:ind w:left="176"/>
              <w:rPr>
                <w:rFonts w:cstheme="minorHAnsi"/>
                <w:sz w:val="22"/>
                <w:u w:val="single"/>
              </w:rPr>
            </w:pPr>
            <w:r w:rsidRPr="009D0E26">
              <w:rPr>
                <w:rFonts w:cstheme="minorHAnsi"/>
                <w:sz w:val="22"/>
              </w:rPr>
              <w:t>Services received free of charge (</w:t>
            </w:r>
            <w:r w:rsidRPr="009D0E26">
              <w:rPr>
                <w:rFonts w:cstheme="minorHAnsi"/>
                <w:i/>
                <w:sz w:val="22"/>
              </w:rPr>
              <w:t>note 1</w:t>
            </w:r>
            <w:r w:rsidR="002E0A36">
              <w:rPr>
                <w:rFonts w:cstheme="minorHAnsi"/>
                <w:i/>
                <w:sz w:val="22"/>
              </w:rPr>
              <w:t>3</w:t>
            </w:r>
            <w:r w:rsidRPr="009D0E26">
              <w:rPr>
                <w:rFonts w:cstheme="minorHAnsi"/>
                <w:i/>
                <w:sz w:val="22"/>
              </w:rPr>
              <w:t xml:space="preserve"> ‘Income from State Government’</w:t>
            </w:r>
            <w:r w:rsidRPr="009D0E26">
              <w:rPr>
                <w:rFonts w:cstheme="minorHAnsi"/>
                <w:sz w:val="22"/>
              </w:rPr>
              <w:t>)</w:t>
            </w:r>
          </w:p>
        </w:tc>
        <w:tc>
          <w:tcPr>
            <w:tcW w:w="1464" w:type="dxa"/>
            <w:shd w:val="clear" w:color="auto" w:fill="E0DCCB" w:themeFill="accent4" w:themeFillTint="66"/>
            <w:vAlign w:val="bottom"/>
          </w:tcPr>
          <w:p w:rsidR="000A0087" w:rsidRPr="009D0E26" w:rsidRDefault="000A0087" w:rsidP="000A0087">
            <w:pPr>
              <w:pStyle w:val="Body"/>
              <w:spacing w:before="80"/>
              <w:ind w:left="0"/>
              <w:jc w:val="right"/>
              <w:rPr>
                <w:rFonts w:cstheme="minorHAnsi"/>
                <w:sz w:val="22"/>
              </w:rPr>
            </w:pPr>
            <w:r>
              <w:rPr>
                <w:rFonts w:cstheme="minorHAnsi"/>
                <w:sz w:val="22"/>
              </w:rPr>
              <w:t>78,902</w:t>
            </w:r>
          </w:p>
        </w:tc>
        <w:tc>
          <w:tcPr>
            <w:tcW w:w="1464" w:type="dxa"/>
            <w:vAlign w:val="bottom"/>
          </w:tcPr>
          <w:p w:rsidR="000A0087" w:rsidRPr="009D0E26" w:rsidRDefault="000A0087" w:rsidP="000A0087">
            <w:pPr>
              <w:pStyle w:val="Body"/>
              <w:spacing w:before="80"/>
              <w:ind w:left="0"/>
              <w:jc w:val="right"/>
              <w:rPr>
                <w:rFonts w:cstheme="minorHAnsi"/>
                <w:sz w:val="22"/>
              </w:rPr>
            </w:pPr>
            <w:r w:rsidRPr="009D0E26">
              <w:rPr>
                <w:rFonts w:cstheme="minorHAnsi"/>
                <w:sz w:val="22"/>
              </w:rPr>
              <w:t>100,144</w:t>
            </w:r>
          </w:p>
        </w:tc>
      </w:tr>
      <w:tr w:rsidR="000A0087" w:rsidRPr="00DD3B67" w:rsidTr="008A3773">
        <w:tc>
          <w:tcPr>
            <w:tcW w:w="5529" w:type="dxa"/>
          </w:tcPr>
          <w:p w:rsidR="000A0087" w:rsidRPr="009D0E26" w:rsidRDefault="000A0087" w:rsidP="002E0A36">
            <w:pPr>
              <w:pStyle w:val="Body"/>
              <w:spacing w:before="80"/>
              <w:ind w:left="176"/>
              <w:rPr>
                <w:rFonts w:cstheme="minorHAnsi"/>
                <w:sz w:val="22"/>
                <w:u w:val="single"/>
              </w:rPr>
            </w:pPr>
            <w:r w:rsidRPr="009D0E26">
              <w:rPr>
                <w:rFonts w:cstheme="minorHAnsi"/>
                <w:sz w:val="22"/>
              </w:rPr>
              <w:t>Net (gain)/loss on disposal of property, plant and equipment (</w:t>
            </w:r>
            <w:r w:rsidRPr="009D0E26">
              <w:rPr>
                <w:rFonts w:cstheme="minorHAnsi"/>
                <w:i/>
                <w:sz w:val="22"/>
              </w:rPr>
              <w:t>note 1</w:t>
            </w:r>
            <w:r>
              <w:rPr>
                <w:rFonts w:cstheme="minorHAnsi"/>
                <w:i/>
                <w:sz w:val="22"/>
              </w:rPr>
              <w:t>2</w:t>
            </w:r>
            <w:r w:rsidRPr="009D0E26">
              <w:rPr>
                <w:rFonts w:cstheme="minorHAnsi"/>
                <w:i/>
                <w:sz w:val="22"/>
              </w:rPr>
              <w:t xml:space="preserve"> ‘Net gain on disposal of non-current assets'</w:t>
            </w:r>
            <w:r w:rsidRPr="009D0E26">
              <w:rPr>
                <w:rFonts w:cstheme="minorHAnsi"/>
                <w:sz w:val="22"/>
              </w:rPr>
              <w:t>)</w:t>
            </w:r>
          </w:p>
        </w:tc>
        <w:tc>
          <w:tcPr>
            <w:tcW w:w="1464" w:type="dxa"/>
            <w:shd w:val="clear" w:color="auto" w:fill="E0DCCB" w:themeFill="accent4" w:themeFillTint="66"/>
            <w:vAlign w:val="bottom"/>
          </w:tcPr>
          <w:p w:rsidR="000A0087" w:rsidRPr="009D0E26" w:rsidRDefault="000A0087" w:rsidP="000A0087">
            <w:pPr>
              <w:pStyle w:val="Body"/>
              <w:spacing w:before="80"/>
              <w:ind w:left="0"/>
              <w:jc w:val="right"/>
              <w:rPr>
                <w:rFonts w:cstheme="minorHAnsi"/>
                <w:sz w:val="22"/>
              </w:rPr>
            </w:pPr>
            <w:r>
              <w:rPr>
                <w:rFonts w:cstheme="minorHAnsi"/>
                <w:sz w:val="22"/>
              </w:rPr>
              <w:t>(9,135)</w:t>
            </w:r>
          </w:p>
        </w:tc>
        <w:tc>
          <w:tcPr>
            <w:tcW w:w="1464" w:type="dxa"/>
            <w:vAlign w:val="bottom"/>
          </w:tcPr>
          <w:p w:rsidR="000A0087" w:rsidRPr="009D0E26" w:rsidRDefault="000A0087" w:rsidP="000A0087">
            <w:pPr>
              <w:pStyle w:val="Body"/>
              <w:spacing w:before="80"/>
              <w:ind w:left="0"/>
              <w:jc w:val="right"/>
              <w:rPr>
                <w:rFonts w:cstheme="minorHAnsi"/>
                <w:sz w:val="22"/>
              </w:rPr>
            </w:pPr>
            <w:r w:rsidRPr="009D0E26">
              <w:rPr>
                <w:rFonts w:cstheme="minorHAnsi"/>
                <w:sz w:val="22"/>
              </w:rPr>
              <w:t>-</w:t>
            </w:r>
          </w:p>
        </w:tc>
      </w:tr>
      <w:tr w:rsidR="000A0087" w:rsidRPr="00DD3B67" w:rsidTr="008A3773">
        <w:tc>
          <w:tcPr>
            <w:tcW w:w="5529" w:type="dxa"/>
          </w:tcPr>
          <w:p w:rsidR="000A0087" w:rsidRPr="009D0E26" w:rsidRDefault="000A0087" w:rsidP="008A3773">
            <w:pPr>
              <w:pStyle w:val="Body"/>
              <w:spacing w:before="80"/>
              <w:ind w:left="176"/>
              <w:rPr>
                <w:rFonts w:cstheme="minorHAnsi"/>
                <w:sz w:val="22"/>
                <w:u w:val="single"/>
              </w:rPr>
            </w:pP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p>
        </w:tc>
        <w:tc>
          <w:tcPr>
            <w:tcW w:w="1464" w:type="dxa"/>
          </w:tcPr>
          <w:p w:rsidR="000A0087" w:rsidRPr="009D0E26" w:rsidRDefault="000A0087" w:rsidP="000A0087">
            <w:pPr>
              <w:pStyle w:val="Body"/>
              <w:spacing w:before="80"/>
              <w:ind w:left="0"/>
              <w:jc w:val="right"/>
              <w:rPr>
                <w:rFonts w:cstheme="minorHAnsi"/>
                <w:sz w:val="22"/>
              </w:rPr>
            </w:pPr>
          </w:p>
        </w:tc>
      </w:tr>
      <w:tr w:rsidR="000A0087" w:rsidRPr="00DD3B67" w:rsidTr="008A3773">
        <w:tc>
          <w:tcPr>
            <w:tcW w:w="5529" w:type="dxa"/>
          </w:tcPr>
          <w:p w:rsidR="000A0087" w:rsidRPr="009D0E26" w:rsidRDefault="000A0087" w:rsidP="008A3773">
            <w:pPr>
              <w:pStyle w:val="Body"/>
              <w:spacing w:before="80"/>
              <w:ind w:left="176"/>
              <w:rPr>
                <w:rFonts w:cstheme="minorHAnsi"/>
                <w:sz w:val="22"/>
                <w:u w:val="single"/>
              </w:rPr>
            </w:pPr>
            <w:r w:rsidRPr="009D0E26">
              <w:rPr>
                <w:rFonts w:cstheme="minorHAnsi"/>
                <w:sz w:val="22"/>
                <w:u w:val="single"/>
              </w:rPr>
              <w:t>(Increase)/decrease in assets</w:t>
            </w: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p>
        </w:tc>
        <w:tc>
          <w:tcPr>
            <w:tcW w:w="1464" w:type="dxa"/>
          </w:tcPr>
          <w:p w:rsidR="000A0087" w:rsidRPr="009D0E26" w:rsidRDefault="000A0087" w:rsidP="000A0087">
            <w:pPr>
              <w:pStyle w:val="Body"/>
              <w:spacing w:before="80"/>
              <w:ind w:left="0"/>
              <w:jc w:val="right"/>
              <w:rPr>
                <w:rFonts w:cstheme="minorHAnsi"/>
                <w:sz w:val="22"/>
              </w:rPr>
            </w:pPr>
          </w:p>
        </w:tc>
      </w:tr>
      <w:tr w:rsidR="000A0087" w:rsidRPr="00DD3B67" w:rsidTr="008A3773">
        <w:tc>
          <w:tcPr>
            <w:tcW w:w="5529" w:type="dxa"/>
          </w:tcPr>
          <w:p w:rsidR="000A0087" w:rsidRPr="009D0E26" w:rsidRDefault="000A0087" w:rsidP="008A3773">
            <w:pPr>
              <w:pStyle w:val="Body"/>
              <w:spacing w:before="80"/>
              <w:ind w:left="176"/>
              <w:rPr>
                <w:rFonts w:cstheme="minorHAnsi"/>
                <w:sz w:val="22"/>
                <w:u w:val="single"/>
              </w:rPr>
            </w:pPr>
            <w:r w:rsidRPr="009D0E26">
              <w:rPr>
                <w:rFonts w:cstheme="minorHAnsi"/>
                <w:sz w:val="22"/>
              </w:rPr>
              <w:t>Current receivables</w:t>
            </w: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r>
              <w:rPr>
                <w:rFonts w:cstheme="minorHAnsi"/>
                <w:sz w:val="22"/>
              </w:rPr>
              <w:t>(16,413)</w:t>
            </w:r>
          </w:p>
        </w:tc>
        <w:tc>
          <w:tcPr>
            <w:tcW w:w="1464" w:type="dxa"/>
          </w:tcPr>
          <w:p w:rsidR="000A0087" w:rsidRPr="009D0E26" w:rsidRDefault="000A0087" w:rsidP="000A0087">
            <w:pPr>
              <w:pStyle w:val="Body"/>
              <w:spacing w:before="80"/>
              <w:ind w:left="0"/>
              <w:jc w:val="right"/>
              <w:rPr>
                <w:rFonts w:cstheme="minorHAnsi"/>
                <w:sz w:val="22"/>
              </w:rPr>
            </w:pPr>
            <w:r w:rsidRPr="009D0E26">
              <w:rPr>
                <w:rFonts w:cstheme="minorHAnsi"/>
                <w:sz w:val="22"/>
              </w:rPr>
              <w:t>71,388</w:t>
            </w:r>
          </w:p>
        </w:tc>
      </w:tr>
      <w:tr w:rsidR="000A0087" w:rsidRPr="00DD3B67" w:rsidTr="008A3773">
        <w:tc>
          <w:tcPr>
            <w:tcW w:w="5529" w:type="dxa"/>
          </w:tcPr>
          <w:p w:rsidR="000A0087" w:rsidRPr="009D0E26" w:rsidRDefault="000A0087" w:rsidP="008A3773">
            <w:pPr>
              <w:pStyle w:val="Body"/>
              <w:spacing w:before="80"/>
              <w:ind w:left="176"/>
              <w:rPr>
                <w:rFonts w:cstheme="minorHAnsi"/>
                <w:sz w:val="22"/>
                <w:u w:val="single"/>
              </w:rPr>
            </w:pPr>
            <w:r w:rsidRPr="009D0E26">
              <w:rPr>
                <w:rFonts w:cstheme="minorHAnsi"/>
                <w:sz w:val="22"/>
              </w:rPr>
              <w:t>Other current assets</w:t>
            </w: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r>
              <w:rPr>
                <w:rFonts w:cstheme="minorHAnsi"/>
                <w:sz w:val="22"/>
              </w:rPr>
              <w:t>(29,419)</w:t>
            </w:r>
          </w:p>
        </w:tc>
        <w:tc>
          <w:tcPr>
            <w:tcW w:w="1464" w:type="dxa"/>
          </w:tcPr>
          <w:p w:rsidR="000A0087" w:rsidRPr="009D0E26" w:rsidRDefault="000A0087" w:rsidP="000A0087">
            <w:pPr>
              <w:pStyle w:val="Body"/>
              <w:spacing w:before="80"/>
              <w:ind w:left="0"/>
              <w:jc w:val="right"/>
              <w:rPr>
                <w:rFonts w:cstheme="minorHAnsi"/>
                <w:sz w:val="22"/>
              </w:rPr>
            </w:pPr>
            <w:r w:rsidRPr="009D0E26">
              <w:rPr>
                <w:rFonts w:cstheme="minorHAnsi"/>
                <w:sz w:val="22"/>
              </w:rPr>
              <w:t>4,148</w:t>
            </w:r>
          </w:p>
        </w:tc>
      </w:tr>
      <w:tr w:rsidR="000A0087" w:rsidRPr="00DD3B67" w:rsidTr="008A3773">
        <w:tc>
          <w:tcPr>
            <w:tcW w:w="5529" w:type="dxa"/>
          </w:tcPr>
          <w:p w:rsidR="000A0087" w:rsidRPr="009D0E26" w:rsidRDefault="000A0087" w:rsidP="008A3773">
            <w:pPr>
              <w:pStyle w:val="Body"/>
              <w:spacing w:before="80"/>
              <w:ind w:left="176"/>
              <w:rPr>
                <w:rFonts w:cstheme="minorHAnsi"/>
                <w:sz w:val="22"/>
                <w:u w:val="single"/>
              </w:rPr>
            </w:pP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p>
        </w:tc>
        <w:tc>
          <w:tcPr>
            <w:tcW w:w="1464" w:type="dxa"/>
          </w:tcPr>
          <w:p w:rsidR="000A0087" w:rsidRPr="009D0E26" w:rsidRDefault="000A0087" w:rsidP="000A0087">
            <w:pPr>
              <w:pStyle w:val="Body"/>
              <w:spacing w:before="80"/>
              <w:ind w:left="0"/>
              <w:jc w:val="right"/>
              <w:rPr>
                <w:rFonts w:cstheme="minorHAnsi"/>
                <w:sz w:val="22"/>
              </w:rPr>
            </w:pPr>
          </w:p>
        </w:tc>
      </w:tr>
      <w:tr w:rsidR="000A0087" w:rsidRPr="00DD3B67" w:rsidTr="008A3773">
        <w:tc>
          <w:tcPr>
            <w:tcW w:w="5529" w:type="dxa"/>
          </w:tcPr>
          <w:p w:rsidR="000A0087" w:rsidRPr="009D0E26" w:rsidRDefault="000A0087" w:rsidP="008A3773">
            <w:pPr>
              <w:pStyle w:val="Body"/>
              <w:spacing w:before="80"/>
              <w:ind w:left="176"/>
              <w:rPr>
                <w:rFonts w:cstheme="minorHAnsi"/>
                <w:sz w:val="22"/>
                <w:u w:val="single"/>
              </w:rPr>
            </w:pPr>
            <w:r w:rsidRPr="009D0E26">
              <w:rPr>
                <w:rFonts w:cstheme="minorHAnsi"/>
                <w:sz w:val="22"/>
                <w:u w:val="single"/>
              </w:rPr>
              <w:t>Increase/(decrease) in liabilities</w:t>
            </w: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p>
        </w:tc>
        <w:tc>
          <w:tcPr>
            <w:tcW w:w="1464" w:type="dxa"/>
          </w:tcPr>
          <w:p w:rsidR="000A0087" w:rsidRPr="009D0E26" w:rsidRDefault="000A0087" w:rsidP="000A0087">
            <w:pPr>
              <w:pStyle w:val="Body"/>
              <w:spacing w:before="80"/>
              <w:ind w:left="0"/>
              <w:jc w:val="right"/>
              <w:rPr>
                <w:rFonts w:cstheme="minorHAnsi"/>
                <w:sz w:val="22"/>
              </w:rPr>
            </w:pPr>
          </w:p>
        </w:tc>
      </w:tr>
      <w:tr w:rsidR="000A0087" w:rsidRPr="00DD3B67" w:rsidTr="008A3773">
        <w:tc>
          <w:tcPr>
            <w:tcW w:w="5529" w:type="dxa"/>
          </w:tcPr>
          <w:p w:rsidR="000A0087" w:rsidRPr="009D0E26" w:rsidRDefault="000A0087" w:rsidP="008A3773">
            <w:pPr>
              <w:pStyle w:val="Body"/>
              <w:spacing w:before="80"/>
              <w:ind w:left="176"/>
              <w:rPr>
                <w:rFonts w:cstheme="minorHAnsi"/>
                <w:sz w:val="22"/>
                <w:u w:val="single"/>
              </w:rPr>
            </w:pPr>
            <w:r w:rsidRPr="009D0E26">
              <w:rPr>
                <w:rFonts w:cstheme="minorHAnsi"/>
                <w:sz w:val="22"/>
              </w:rPr>
              <w:t>Current payables</w:t>
            </w: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r>
              <w:rPr>
                <w:rFonts w:cstheme="minorHAnsi"/>
                <w:sz w:val="22"/>
              </w:rPr>
              <w:t>(550,475)</w:t>
            </w:r>
          </w:p>
        </w:tc>
        <w:tc>
          <w:tcPr>
            <w:tcW w:w="1464" w:type="dxa"/>
          </w:tcPr>
          <w:p w:rsidR="000A0087" w:rsidRPr="009D0E26" w:rsidRDefault="000A0087" w:rsidP="000A0087">
            <w:pPr>
              <w:pStyle w:val="Body"/>
              <w:spacing w:before="80"/>
              <w:ind w:left="0"/>
              <w:jc w:val="right"/>
              <w:rPr>
                <w:rFonts w:cstheme="minorHAnsi"/>
                <w:sz w:val="22"/>
              </w:rPr>
            </w:pPr>
            <w:r w:rsidRPr="009D0E26">
              <w:rPr>
                <w:rFonts w:cstheme="minorHAnsi"/>
                <w:sz w:val="22"/>
              </w:rPr>
              <w:t>543,795</w:t>
            </w:r>
          </w:p>
        </w:tc>
      </w:tr>
      <w:tr w:rsidR="000A0087" w:rsidRPr="009D0E26" w:rsidTr="008A3773">
        <w:tc>
          <w:tcPr>
            <w:tcW w:w="5529" w:type="dxa"/>
          </w:tcPr>
          <w:p w:rsidR="000A0087" w:rsidRPr="009D0E26" w:rsidRDefault="000A0087" w:rsidP="008A3773">
            <w:pPr>
              <w:pStyle w:val="Body"/>
              <w:spacing w:before="80"/>
              <w:ind w:left="176"/>
              <w:rPr>
                <w:rFonts w:cstheme="minorHAnsi"/>
                <w:sz w:val="22"/>
                <w:u w:val="single"/>
              </w:rPr>
            </w:pPr>
            <w:r w:rsidRPr="009D0E26">
              <w:rPr>
                <w:sz w:val="22"/>
              </w:rPr>
              <w:t>Current provisions</w:t>
            </w:r>
          </w:p>
        </w:tc>
        <w:tc>
          <w:tcPr>
            <w:tcW w:w="1464" w:type="dxa"/>
            <w:shd w:val="clear" w:color="auto" w:fill="E0DCCB" w:themeFill="accent4" w:themeFillTint="66"/>
          </w:tcPr>
          <w:p w:rsidR="000A0087" w:rsidRPr="00B44F45" w:rsidRDefault="000A0087" w:rsidP="000A0087">
            <w:pPr>
              <w:pStyle w:val="Body"/>
              <w:spacing w:before="80"/>
              <w:ind w:left="0"/>
              <w:jc w:val="right"/>
              <w:rPr>
                <w:sz w:val="22"/>
              </w:rPr>
            </w:pPr>
            <w:r w:rsidRPr="009D0E26">
              <w:rPr>
                <w:sz w:val="22"/>
              </w:rPr>
              <w:t>(</w:t>
            </w:r>
            <w:r>
              <w:rPr>
                <w:sz w:val="22"/>
              </w:rPr>
              <w:t>161,542</w:t>
            </w:r>
            <w:r w:rsidRPr="009D0E26">
              <w:rPr>
                <w:sz w:val="22"/>
              </w:rPr>
              <w:t>)</w:t>
            </w:r>
          </w:p>
        </w:tc>
        <w:tc>
          <w:tcPr>
            <w:tcW w:w="1464" w:type="dxa"/>
          </w:tcPr>
          <w:p w:rsidR="000A0087" w:rsidRPr="009D0E26" w:rsidRDefault="000A0087" w:rsidP="000A0087">
            <w:pPr>
              <w:pStyle w:val="Body"/>
              <w:spacing w:before="80"/>
              <w:ind w:left="0"/>
              <w:jc w:val="right"/>
              <w:rPr>
                <w:rFonts w:cstheme="minorHAnsi"/>
                <w:sz w:val="22"/>
              </w:rPr>
            </w:pPr>
            <w:r w:rsidRPr="009D0E26">
              <w:rPr>
                <w:sz w:val="22"/>
              </w:rPr>
              <w:t>(204,852)</w:t>
            </w:r>
          </w:p>
        </w:tc>
      </w:tr>
      <w:tr w:rsidR="000A0087" w:rsidRPr="009D0E26" w:rsidTr="008A3773">
        <w:tc>
          <w:tcPr>
            <w:tcW w:w="5529" w:type="dxa"/>
          </w:tcPr>
          <w:p w:rsidR="000A0087" w:rsidRPr="009D0E26" w:rsidRDefault="000A0087" w:rsidP="008A3773">
            <w:pPr>
              <w:pStyle w:val="Body"/>
              <w:spacing w:before="80"/>
              <w:ind w:left="176"/>
              <w:rPr>
                <w:rFonts w:cstheme="minorHAnsi"/>
                <w:sz w:val="22"/>
                <w:u w:val="single"/>
              </w:rPr>
            </w:pPr>
            <w:r w:rsidRPr="009D0E26">
              <w:rPr>
                <w:sz w:val="22"/>
              </w:rPr>
              <w:t>Non-current provisions</w:t>
            </w: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r w:rsidRPr="009D0E26">
              <w:rPr>
                <w:sz w:val="22"/>
              </w:rPr>
              <w:t>(</w:t>
            </w:r>
            <w:r>
              <w:rPr>
                <w:sz w:val="22"/>
              </w:rPr>
              <w:t>155,156</w:t>
            </w:r>
            <w:r w:rsidRPr="009D0E26">
              <w:rPr>
                <w:sz w:val="22"/>
              </w:rPr>
              <w:t>)</w:t>
            </w:r>
          </w:p>
        </w:tc>
        <w:tc>
          <w:tcPr>
            <w:tcW w:w="1464" w:type="dxa"/>
          </w:tcPr>
          <w:p w:rsidR="000A0087" w:rsidRPr="009D0E26" w:rsidRDefault="000A0087" w:rsidP="000A0087">
            <w:pPr>
              <w:pStyle w:val="Body"/>
              <w:spacing w:before="80"/>
              <w:ind w:left="0"/>
              <w:jc w:val="right"/>
              <w:rPr>
                <w:rFonts w:cstheme="minorHAnsi"/>
                <w:sz w:val="22"/>
              </w:rPr>
            </w:pPr>
            <w:r w:rsidRPr="009D0E26">
              <w:rPr>
                <w:sz w:val="22"/>
              </w:rPr>
              <w:t>(183,030)</w:t>
            </w:r>
          </w:p>
        </w:tc>
      </w:tr>
      <w:tr w:rsidR="000A0087" w:rsidRPr="009D0E26" w:rsidTr="008A3773">
        <w:tc>
          <w:tcPr>
            <w:tcW w:w="5529" w:type="dxa"/>
          </w:tcPr>
          <w:p w:rsidR="000A0087" w:rsidRPr="009D0E26" w:rsidRDefault="000A0087" w:rsidP="008A3773">
            <w:pPr>
              <w:pStyle w:val="Body"/>
              <w:spacing w:before="80"/>
              <w:ind w:left="176"/>
              <w:rPr>
                <w:rFonts w:cstheme="minorHAnsi"/>
                <w:sz w:val="22"/>
              </w:rPr>
            </w:pPr>
            <w:r w:rsidRPr="009D0E26">
              <w:rPr>
                <w:sz w:val="22"/>
              </w:rPr>
              <w:t>Net GST receipts/(payments)</w:t>
            </w:r>
            <w:r w:rsidRPr="009D0E26">
              <w:rPr>
                <w:sz w:val="22"/>
                <w:vertAlign w:val="superscript"/>
              </w:rPr>
              <w:t>(a)</w:t>
            </w:r>
          </w:p>
        </w:tc>
        <w:tc>
          <w:tcPr>
            <w:tcW w:w="1464" w:type="dxa"/>
            <w:shd w:val="clear" w:color="auto" w:fill="E0DCCB" w:themeFill="accent4" w:themeFillTint="66"/>
          </w:tcPr>
          <w:p w:rsidR="000A0087" w:rsidRPr="009D0E26" w:rsidRDefault="000A0087" w:rsidP="000A0087">
            <w:pPr>
              <w:pStyle w:val="Body"/>
              <w:spacing w:before="80"/>
              <w:ind w:left="0"/>
              <w:jc w:val="right"/>
              <w:rPr>
                <w:rFonts w:cstheme="minorHAnsi"/>
                <w:sz w:val="22"/>
              </w:rPr>
            </w:pPr>
            <w:r>
              <w:rPr>
                <w:sz w:val="22"/>
              </w:rPr>
              <w:t>94,157</w:t>
            </w:r>
          </w:p>
        </w:tc>
        <w:tc>
          <w:tcPr>
            <w:tcW w:w="1464" w:type="dxa"/>
          </w:tcPr>
          <w:p w:rsidR="000A0087" w:rsidRPr="009D0E26" w:rsidRDefault="000A0087" w:rsidP="000A0087">
            <w:pPr>
              <w:pStyle w:val="Body"/>
              <w:spacing w:before="80"/>
              <w:ind w:left="0"/>
              <w:jc w:val="right"/>
              <w:rPr>
                <w:rFonts w:cstheme="minorHAnsi"/>
                <w:sz w:val="22"/>
              </w:rPr>
            </w:pPr>
            <w:r w:rsidRPr="009D0E26">
              <w:rPr>
                <w:sz w:val="22"/>
              </w:rPr>
              <w:t>62,423</w:t>
            </w:r>
          </w:p>
        </w:tc>
      </w:tr>
      <w:tr w:rsidR="000A0087" w:rsidRPr="009D0E26" w:rsidTr="008A3773">
        <w:tc>
          <w:tcPr>
            <w:tcW w:w="5529" w:type="dxa"/>
          </w:tcPr>
          <w:p w:rsidR="000A0087" w:rsidRPr="009D0E26" w:rsidRDefault="000A0087" w:rsidP="008A3773">
            <w:pPr>
              <w:pStyle w:val="Body"/>
              <w:spacing w:before="80"/>
              <w:ind w:left="176"/>
              <w:rPr>
                <w:rFonts w:cstheme="minorHAnsi"/>
                <w:sz w:val="22"/>
              </w:rPr>
            </w:pPr>
            <w:r w:rsidRPr="009D0E26">
              <w:rPr>
                <w:sz w:val="22"/>
              </w:rPr>
              <w:t>Change in GST in receivables/payables</w:t>
            </w:r>
            <w:r w:rsidRPr="009D0E26">
              <w:rPr>
                <w:sz w:val="22"/>
                <w:vertAlign w:val="superscript"/>
              </w:rPr>
              <w:t>(b)</w:t>
            </w:r>
          </w:p>
        </w:tc>
        <w:tc>
          <w:tcPr>
            <w:tcW w:w="1464" w:type="dxa"/>
            <w:tcBorders>
              <w:bottom w:val="single" w:sz="4" w:space="0" w:color="FFFFFF" w:themeColor="background1"/>
            </w:tcBorders>
            <w:shd w:val="clear" w:color="auto" w:fill="E0DCCB" w:themeFill="accent4" w:themeFillTint="66"/>
          </w:tcPr>
          <w:p w:rsidR="000A0087" w:rsidRPr="009D0E26" w:rsidRDefault="000A0087" w:rsidP="000A0087">
            <w:pPr>
              <w:pStyle w:val="Body"/>
              <w:spacing w:before="80"/>
              <w:ind w:left="0"/>
              <w:jc w:val="right"/>
              <w:rPr>
                <w:rFonts w:cstheme="minorHAnsi"/>
                <w:sz w:val="22"/>
              </w:rPr>
            </w:pPr>
            <w:r w:rsidRPr="009D0E26">
              <w:rPr>
                <w:sz w:val="22"/>
              </w:rPr>
              <w:t>(</w:t>
            </w:r>
            <w:r>
              <w:rPr>
                <w:sz w:val="22"/>
              </w:rPr>
              <w:t>51,012</w:t>
            </w:r>
            <w:r w:rsidRPr="009D0E26">
              <w:rPr>
                <w:sz w:val="22"/>
              </w:rPr>
              <w:t>)</w:t>
            </w:r>
          </w:p>
        </w:tc>
        <w:tc>
          <w:tcPr>
            <w:tcW w:w="1464" w:type="dxa"/>
            <w:tcBorders>
              <w:bottom w:val="single" w:sz="4" w:space="0" w:color="E0DCCB" w:themeColor="accent4" w:themeTint="66"/>
            </w:tcBorders>
          </w:tcPr>
          <w:p w:rsidR="000A0087" w:rsidRPr="009D0E26" w:rsidRDefault="000A0087" w:rsidP="000A0087">
            <w:pPr>
              <w:pStyle w:val="Body"/>
              <w:spacing w:before="80"/>
              <w:ind w:left="0"/>
              <w:jc w:val="right"/>
              <w:rPr>
                <w:rFonts w:cstheme="minorHAnsi"/>
                <w:sz w:val="22"/>
              </w:rPr>
            </w:pPr>
            <w:r w:rsidRPr="009D0E26">
              <w:rPr>
                <w:sz w:val="22"/>
              </w:rPr>
              <w:t>(51,543)</w:t>
            </w:r>
          </w:p>
        </w:tc>
      </w:tr>
      <w:tr w:rsidR="000A0087" w:rsidRPr="009D0E26" w:rsidTr="008A3773">
        <w:tc>
          <w:tcPr>
            <w:tcW w:w="5529" w:type="dxa"/>
          </w:tcPr>
          <w:p w:rsidR="000A0087" w:rsidRPr="009D0E26" w:rsidRDefault="000A0087" w:rsidP="008A3773">
            <w:pPr>
              <w:pStyle w:val="Body"/>
              <w:spacing w:before="80"/>
              <w:ind w:left="176"/>
              <w:rPr>
                <w:sz w:val="22"/>
              </w:rPr>
            </w:pPr>
            <w:r w:rsidRPr="009D0E26">
              <w:rPr>
                <w:b/>
                <w:sz w:val="22"/>
              </w:rPr>
              <w:t>Net cash provided by/(used in) operating activities</w:t>
            </w:r>
          </w:p>
        </w:tc>
        <w:tc>
          <w:tcPr>
            <w:tcW w:w="1464" w:type="dxa"/>
            <w:tcBorders>
              <w:top w:val="single" w:sz="4" w:space="0" w:color="FFFFFF" w:themeColor="background1"/>
              <w:bottom w:val="single" w:sz="4" w:space="0" w:color="B2A97E" w:themeColor="accent4"/>
            </w:tcBorders>
            <w:shd w:val="clear" w:color="auto" w:fill="E0DCCB" w:themeFill="accent4" w:themeFillTint="66"/>
          </w:tcPr>
          <w:p w:rsidR="000A0087" w:rsidRPr="009D0E26" w:rsidRDefault="000A0087" w:rsidP="000A0087">
            <w:pPr>
              <w:pStyle w:val="Body"/>
              <w:spacing w:before="80"/>
              <w:ind w:left="0"/>
              <w:jc w:val="right"/>
              <w:rPr>
                <w:sz w:val="22"/>
              </w:rPr>
            </w:pPr>
            <w:r w:rsidRPr="009D0E26">
              <w:rPr>
                <w:b/>
                <w:sz w:val="22"/>
              </w:rPr>
              <w:t>(</w:t>
            </w:r>
            <w:r>
              <w:rPr>
                <w:b/>
                <w:sz w:val="22"/>
              </w:rPr>
              <w:t>15,133,626</w:t>
            </w:r>
            <w:r w:rsidRPr="009D0E26">
              <w:rPr>
                <w:b/>
                <w:sz w:val="22"/>
              </w:rPr>
              <w:t>)</w:t>
            </w:r>
          </w:p>
        </w:tc>
        <w:tc>
          <w:tcPr>
            <w:tcW w:w="1464" w:type="dxa"/>
            <w:tcBorders>
              <w:top w:val="single" w:sz="4" w:space="0" w:color="E0DCCB" w:themeColor="accent4" w:themeTint="66"/>
              <w:bottom w:val="single" w:sz="4" w:space="0" w:color="B2A97E" w:themeColor="accent4"/>
            </w:tcBorders>
          </w:tcPr>
          <w:p w:rsidR="000A0087" w:rsidRPr="009D0E26" w:rsidRDefault="000A0087" w:rsidP="000A0087">
            <w:pPr>
              <w:pStyle w:val="Body"/>
              <w:spacing w:before="80"/>
              <w:ind w:left="0"/>
              <w:jc w:val="right"/>
              <w:rPr>
                <w:sz w:val="22"/>
              </w:rPr>
            </w:pPr>
            <w:r w:rsidRPr="009D0E26">
              <w:rPr>
                <w:b/>
                <w:sz w:val="22"/>
              </w:rPr>
              <w:t>(15,411,010)</w:t>
            </w:r>
          </w:p>
        </w:tc>
      </w:tr>
    </w:tbl>
    <w:p w:rsidR="000A0087" w:rsidRPr="005D6BC7" w:rsidRDefault="000A0087" w:rsidP="008D4CEC">
      <w:pPr>
        <w:pStyle w:val="Financialnotes"/>
        <w:numPr>
          <w:ilvl w:val="0"/>
          <w:numId w:val="14"/>
        </w:numPr>
        <w:spacing w:before="200" w:after="0"/>
        <w:ind w:left="1843" w:hanging="425"/>
      </w:pPr>
      <w:r w:rsidRPr="005D6BC7">
        <w:t>This is the net GST paid/received, i.e. cash transactions.</w:t>
      </w:r>
    </w:p>
    <w:p w:rsidR="000A0087" w:rsidRPr="005D6BC7" w:rsidRDefault="000A0087" w:rsidP="008D4CEC">
      <w:pPr>
        <w:pStyle w:val="Financialnotes"/>
        <w:numPr>
          <w:ilvl w:val="0"/>
          <w:numId w:val="14"/>
        </w:numPr>
        <w:spacing w:before="200" w:after="0"/>
        <w:ind w:left="1843" w:hanging="425"/>
      </w:pPr>
      <w:r w:rsidRPr="005D6BC7">
        <w:t>This reverses out the GST in receivables and payables</w:t>
      </w:r>
    </w:p>
    <w:p w:rsidR="00DD380D" w:rsidRDefault="00DD380D" w:rsidP="0024717B">
      <w:pPr>
        <w:pStyle w:val="Financialsheading3"/>
      </w:pPr>
      <w:bookmarkStart w:id="242" w:name="_Toc427745941"/>
      <w:r>
        <w:br w:type="page"/>
      </w:r>
    </w:p>
    <w:p w:rsidR="000A0087" w:rsidRPr="009D0E26" w:rsidRDefault="000A0087" w:rsidP="0024717B">
      <w:pPr>
        <w:pStyle w:val="Financialsheading3"/>
      </w:pPr>
      <w:proofErr w:type="gramStart"/>
      <w:r w:rsidRPr="009D0E26">
        <w:lastRenderedPageBreak/>
        <w:t>Note 2</w:t>
      </w:r>
      <w:r>
        <w:t>5</w:t>
      </w:r>
      <w:r w:rsidRPr="009D0E26">
        <w:t>.</w:t>
      </w:r>
      <w:proofErr w:type="gramEnd"/>
      <w:r w:rsidRPr="009D0E26">
        <w:t xml:space="preserve"> Commitments</w:t>
      </w:r>
      <w:bookmarkEnd w:id="242"/>
    </w:p>
    <w:p w:rsidR="000A0087" w:rsidRPr="00DD3B67" w:rsidRDefault="000A0087" w:rsidP="0024717B">
      <w:pPr>
        <w:pStyle w:val="Financialsheading4"/>
        <w:rPr>
          <w:sz w:val="22"/>
        </w:rPr>
      </w:pPr>
      <w:bookmarkStart w:id="243" w:name="_Toc317079426"/>
      <w:bookmarkStart w:id="244" w:name="_Toc317590688"/>
      <w:r w:rsidRPr="005D6BC7">
        <w:t>Non-cancellable operating lease commitments</w:t>
      </w:r>
      <w:bookmarkEnd w:id="243"/>
      <w:bookmarkEnd w:id="244"/>
      <w:r w:rsidRPr="00DD3B67">
        <w:rPr>
          <w:sz w:val="22"/>
        </w:rPr>
        <w:t xml:space="preserve"> </w:t>
      </w:r>
    </w:p>
    <w:tbl>
      <w:tblPr>
        <w:tblStyle w:val="TableGrid"/>
        <w:tblW w:w="8417"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1444"/>
        <w:gridCol w:w="1444"/>
      </w:tblGrid>
      <w:tr w:rsidR="000A0087" w:rsidRPr="00DD3B67" w:rsidTr="0024717B">
        <w:tc>
          <w:tcPr>
            <w:tcW w:w="5529" w:type="dxa"/>
          </w:tcPr>
          <w:p w:rsidR="000A0087" w:rsidRPr="00DD3B67" w:rsidRDefault="000A0087" w:rsidP="000A0087">
            <w:pPr>
              <w:pStyle w:val="Body"/>
              <w:spacing w:before="80"/>
              <w:ind w:left="34"/>
              <w:rPr>
                <w:sz w:val="22"/>
              </w:rPr>
            </w:pPr>
          </w:p>
        </w:tc>
        <w:tc>
          <w:tcPr>
            <w:tcW w:w="1444"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5</w:t>
            </w:r>
            <w:r w:rsidRPr="00DD3B67">
              <w:rPr>
                <w:b/>
                <w:sz w:val="22"/>
              </w:rPr>
              <w:br/>
              <w:t>$</w:t>
            </w:r>
          </w:p>
        </w:tc>
        <w:tc>
          <w:tcPr>
            <w:tcW w:w="1444"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4</w:t>
            </w:r>
            <w:r w:rsidRPr="00DD3B67">
              <w:rPr>
                <w:b/>
                <w:sz w:val="22"/>
              </w:rPr>
              <w:br/>
              <w:t>$</w:t>
            </w:r>
          </w:p>
        </w:tc>
      </w:tr>
      <w:tr w:rsidR="000A0087" w:rsidRPr="009D0E26" w:rsidTr="0024717B">
        <w:tc>
          <w:tcPr>
            <w:tcW w:w="5529" w:type="dxa"/>
          </w:tcPr>
          <w:p w:rsidR="000A0087" w:rsidRPr="009D0E26" w:rsidRDefault="000A0087" w:rsidP="0024717B">
            <w:pPr>
              <w:pStyle w:val="Body"/>
              <w:spacing w:before="80"/>
              <w:ind w:left="176"/>
              <w:rPr>
                <w:sz w:val="22"/>
              </w:rPr>
            </w:pPr>
            <w:r w:rsidRPr="009D0E26">
              <w:rPr>
                <w:sz w:val="22"/>
              </w:rPr>
              <w:t>Commitments for minimum lease payments are payable as follows:</w:t>
            </w:r>
          </w:p>
        </w:tc>
        <w:tc>
          <w:tcPr>
            <w:tcW w:w="1444" w:type="dxa"/>
            <w:shd w:val="clear" w:color="auto" w:fill="E0DCCB" w:themeFill="accent4" w:themeFillTint="66"/>
          </w:tcPr>
          <w:p w:rsidR="000A0087" w:rsidRPr="009D0E26" w:rsidRDefault="000A0087" w:rsidP="000A0087">
            <w:pPr>
              <w:pStyle w:val="Body"/>
              <w:spacing w:before="80"/>
              <w:ind w:left="0"/>
              <w:jc w:val="right"/>
              <w:rPr>
                <w:sz w:val="22"/>
              </w:rPr>
            </w:pPr>
          </w:p>
        </w:tc>
        <w:tc>
          <w:tcPr>
            <w:tcW w:w="1444" w:type="dxa"/>
          </w:tcPr>
          <w:p w:rsidR="000A0087" w:rsidRPr="009D0E26" w:rsidRDefault="000A0087" w:rsidP="000A0087">
            <w:pPr>
              <w:pStyle w:val="Body"/>
              <w:spacing w:before="80"/>
              <w:ind w:left="0"/>
              <w:jc w:val="right"/>
              <w:rPr>
                <w:sz w:val="22"/>
              </w:rPr>
            </w:pPr>
          </w:p>
        </w:tc>
      </w:tr>
      <w:tr w:rsidR="000A0087" w:rsidRPr="009D0E26" w:rsidTr="0024717B">
        <w:tc>
          <w:tcPr>
            <w:tcW w:w="5529" w:type="dxa"/>
          </w:tcPr>
          <w:p w:rsidR="000A0087" w:rsidRPr="009D0E26" w:rsidRDefault="000A0087" w:rsidP="0024717B">
            <w:pPr>
              <w:pStyle w:val="Body"/>
              <w:spacing w:before="80"/>
              <w:ind w:left="176"/>
              <w:rPr>
                <w:sz w:val="22"/>
              </w:rPr>
            </w:pPr>
            <w:r w:rsidRPr="009D0E26">
              <w:rPr>
                <w:sz w:val="22"/>
              </w:rPr>
              <w:t>Within 1 year</w:t>
            </w:r>
          </w:p>
        </w:tc>
        <w:tc>
          <w:tcPr>
            <w:tcW w:w="1444" w:type="dxa"/>
            <w:tcBorders>
              <w:bottom w:val="single" w:sz="4" w:space="0" w:color="FFFFFF" w:themeColor="background1"/>
            </w:tcBorders>
            <w:shd w:val="clear" w:color="auto" w:fill="E0DCCB" w:themeFill="accent4" w:themeFillTint="66"/>
          </w:tcPr>
          <w:p w:rsidR="000A0087" w:rsidRPr="009D0E26" w:rsidRDefault="000A0087" w:rsidP="000A0087">
            <w:pPr>
              <w:pStyle w:val="Body"/>
              <w:spacing w:before="80"/>
              <w:ind w:left="0"/>
              <w:jc w:val="right"/>
              <w:rPr>
                <w:sz w:val="22"/>
              </w:rPr>
            </w:pPr>
            <w:r>
              <w:rPr>
                <w:sz w:val="22"/>
              </w:rPr>
              <w:t>57,158</w:t>
            </w:r>
          </w:p>
        </w:tc>
        <w:tc>
          <w:tcPr>
            <w:tcW w:w="1444" w:type="dxa"/>
            <w:tcBorders>
              <w:bottom w:val="single" w:sz="4" w:space="0" w:color="E0DCCB" w:themeColor="accent4" w:themeTint="66"/>
            </w:tcBorders>
          </w:tcPr>
          <w:p w:rsidR="000A0087" w:rsidRPr="009D0E26" w:rsidRDefault="000A0087" w:rsidP="000A0087">
            <w:pPr>
              <w:pStyle w:val="Body"/>
              <w:spacing w:before="80"/>
              <w:ind w:left="0"/>
              <w:jc w:val="right"/>
              <w:rPr>
                <w:sz w:val="22"/>
              </w:rPr>
            </w:pPr>
            <w:r w:rsidRPr="009D0E26">
              <w:rPr>
                <w:sz w:val="22"/>
              </w:rPr>
              <w:t>46,296</w:t>
            </w:r>
          </w:p>
        </w:tc>
      </w:tr>
      <w:tr w:rsidR="000A0087" w:rsidRPr="009D0E26" w:rsidTr="0024717B">
        <w:tc>
          <w:tcPr>
            <w:tcW w:w="5529" w:type="dxa"/>
          </w:tcPr>
          <w:p w:rsidR="000A0087" w:rsidRPr="009D0E26" w:rsidRDefault="000A0087" w:rsidP="0024717B">
            <w:pPr>
              <w:pStyle w:val="Body"/>
              <w:spacing w:before="80"/>
              <w:ind w:left="176"/>
              <w:rPr>
                <w:sz w:val="22"/>
              </w:rPr>
            </w:pPr>
            <w:r w:rsidRPr="009D0E26">
              <w:rPr>
                <w:sz w:val="22"/>
              </w:rPr>
              <w:t>Later than 1 year and not later than 5 years</w:t>
            </w:r>
          </w:p>
        </w:tc>
        <w:tc>
          <w:tcPr>
            <w:tcW w:w="1444" w:type="dxa"/>
            <w:tcBorders>
              <w:top w:val="single" w:sz="4" w:space="0" w:color="FFFFFF" w:themeColor="background1"/>
              <w:bottom w:val="single" w:sz="4" w:space="0" w:color="FFFFFF" w:themeColor="background1"/>
            </w:tcBorders>
            <w:shd w:val="clear" w:color="auto" w:fill="E0DCCB" w:themeFill="accent4" w:themeFillTint="66"/>
          </w:tcPr>
          <w:p w:rsidR="000A0087" w:rsidRPr="009D0E26" w:rsidRDefault="000A0087" w:rsidP="000A0087">
            <w:pPr>
              <w:pStyle w:val="Body"/>
              <w:spacing w:before="80"/>
              <w:ind w:left="0"/>
              <w:jc w:val="right"/>
              <w:rPr>
                <w:sz w:val="22"/>
              </w:rPr>
            </w:pPr>
            <w:r>
              <w:rPr>
                <w:sz w:val="22"/>
              </w:rPr>
              <w:t>36,442</w:t>
            </w:r>
          </w:p>
        </w:tc>
        <w:tc>
          <w:tcPr>
            <w:tcW w:w="1444" w:type="dxa"/>
            <w:tcBorders>
              <w:top w:val="single" w:sz="4" w:space="0" w:color="E0DCCB" w:themeColor="accent4" w:themeTint="66"/>
              <w:bottom w:val="single" w:sz="4" w:space="0" w:color="E0DCCB" w:themeColor="accent4" w:themeTint="66"/>
            </w:tcBorders>
          </w:tcPr>
          <w:p w:rsidR="000A0087" w:rsidRPr="009D0E26" w:rsidRDefault="000A0087" w:rsidP="000A0087">
            <w:pPr>
              <w:pStyle w:val="Body"/>
              <w:spacing w:before="80"/>
              <w:ind w:left="0"/>
              <w:jc w:val="right"/>
              <w:rPr>
                <w:sz w:val="22"/>
              </w:rPr>
            </w:pPr>
            <w:r w:rsidRPr="009D0E26">
              <w:rPr>
                <w:sz w:val="22"/>
              </w:rPr>
              <w:t>33,585</w:t>
            </w:r>
          </w:p>
        </w:tc>
      </w:tr>
      <w:tr w:rsidR="000A0087" w:rsidRPr="009D0E26" w:rsidTr="0024717B">
        <w:tc>
          <w:tcPr>
            <w:tcW w:w="5529" w:type="dxa"/>
          </w:tcPr>
          <w:p w:rsidR="000A0087" w:rsidRPr="009D0E26" w:rsidRDefault="000A0087" w:rsidP="000A0087">
            <w:pPr>
              <w:pStyle w:val="Body"/>
              <w:spacing w:before="80"/>
              <w:ind w:left="-108"/>
              <w:rPr>
                <w:sz w:val="22"/>
              </w:rPr>
            </w:pPr>
          </w:p>
        </w:tc>
        <w:tc>
          <w:tcPr>
            <w:tcW w:w="1444" w:type="dxa"/>
            <w:tcBorders>
              <w:top w:val="single" w:sz="4" w:space="0" w:color="FFFFFF" w:themeColor="background1"/>
              <w:bottom w:val="single" w:sz="4" w:space="0" w:color="B2A97E" w:themeColor="accent4"/>
            </w:tcBorders>
            <w:shd w:val="clear" w:color="auto" w:fill="E0DCCB" w:themeFill="accent4" w:themeFillTint="66"/>
          </w:tcPr>
          <w:p w:rsidR="000A0087" w:rsidRPr="009D0E26" w:rsidRDefault="000A0087" w:rsidP="000A0087">
            <w:pPr>
              <w:pStyle w:val="Body"/>
              <w:spacing w:before="80"/>
              <w:ind w:left="0"/>
              <w:jc w:val="right"/>
              <w:rPr>
                <w:sz w:val="22"/>
              </w:rPr>
            </w:pPr>
            <w:r w:rsidRPr="009D0E26">
              <w:rPr>
                <w:b/>
                <w:sz w:val="22"/>
              </w:rPr>
              <w:fldChar w:fldCharType="begin"/>
            </w:r>
            <w:r w:rsidRPr="009D0E26">
              <w:rPr>
                <w:b/>
                <w:sz w:val="22"/>
              </w:rPr>
              <w:instrText xml:space="preserve"> =SUM(ABOVE) </w:instrText>
            </w:r>
            <w:r w:rsidRPr="009D0E26">
              <w:rPr>
                <w:b/>
                <w:sz w:val="22"/>
              </w:rPr>
              <w:fldChar w:fldCharType="separate"/>
            </w:r>
            <w:r>
              <w:rPr>
                <w:b/>
                <w:noProof/>
                <w:sz w:val="22"/>
              </w:rPr>
              <w:t>93,600</w:t>
            </w:r>
            <w:r w:rsidRPr="009D0E26">
              <w:rPr>
                <w:b/>
                <w:sz w:val="22"/>
              </w:rPr>
              <w:fldChar w:fldCharType="end"/>
            </w:r>
          </w:p>
        </w:tc>
        <w:tc>
          <w:tcPr>
            <w:tcW w:w="1444" w:type="dxa"/>
            <w:tcBorders>
              <w:top w:val="single" w:sz="4" w:space="0" w:color="E0DCCB" w:themeColor="accent4" w:themeTint="66"/>
              <w:bottom w:val="single" w:sz="4" w:space="0" w:color="B2A97E" w:themeColor="accent4"/>
            </w:tcBorders>
          </w:tcPr>
          <w:p w:rsidR="000A0087" w:rsidRPr="009D0E26" w:rsidRDefault="000A0087" w:rsidP="000A0087">
            <w:pPr>
              <w:pStyle w:val="Body"/>
              <w:spacing w:before="80"/>
              <w:ind w:left="0"/>
              <w:jc w:val="right"/>
              <w:rPr>
                <w:sz w:val="22"/>
              </w:rPr>
            </w:pPr>
            <w:r w:rsidRPr="009D0E26">
              <w:rPr>
                <w:b/>
                <w:sz w:val="22"/>
              </w:rPr>
              <w:fldChar w:fldCharType="begin"/>
            </w:r>
            <w:r w:rsidRPr="009D0E26">
              <w:rPr>
                <w:b/>
                <w:sz w:val="22"/>
              </w:rPr>
              <w:instrText xml:space="preserve"> =SUM(ABOVE) </w:instrText>
            </w:r>
            <w:r w:rsidRPr="009D0E26">
              <w:rPr>
                <w:b/>
                <w:sz w:val="22"/>
              </w:rPr>
              <w:fldChar w:fldCharType="separate"/>
            </w:r>
            <w:r w:rsidRPr="009D0E26">
              <w:rPr>
                <w:b/>
                <w:noProof/>
                <w:sz w:val="22"/>
              </w:rPr>
              <w:t>79,881</w:t>
            </w:r>
            <w:r w:rsidRPr="009D0E26">
              <w:rPr>
                <w:b/>
                <w:sz w:val="22"/>
              </w:rPr>
              <w:fldChar w:fldCharType="end"/>
            </w:r>
          </w:p>
        </w:tc>
      </w:tr>
    </w:tbl>
    <w:p w:rsidR="000A0087" w:rsidRPr="0024717B" w:rsidRDefault="000A0087" w:rsidP="0024717B">
      <w:pPr>
        <w:pStyle w:val="Financialnotes"/>
        <w:spacing w:before="120"/>
      </w:pPr>
      <w:r w:rsidRPr="0024717B">
        <w:t>The Department has non-cancellable operating vehicle lease commitments. The lease terms vary dependent upon the vehicle and are for fixed terms payable monthly. The commitments are inclusive of GST.</w:t>
      </w:r>
    </w:p>
    <w:tbl>
      <w:tblPr>
        <w:tblW w:w="9853" w:type="dxa"/>
        <w:tblCellSpacing w:w="0" w:type="dxa"/>
        <w:tblLayout w:type="fixed"/>
        <w:tblCellMar>
          <w:left w:w="72" w:type="dxa"/>
          <w:right w:w="72" w:type="dxa"/>
        </w:tblCellMar>
        <w:tblLook w:val="0600" w:firstRow="0" w:lastRow="0" w:firstColumn="0" w:lastColumn="0" w:noHBand="1" w:noVBand="1"/>
      </w:tblPr>
      <w:tblGrid>
        <w:gridCol w:w="9853"/>
      </w:tblGrid>
      <w:tr w:rsidR="000A0087" w:rsidRPr="005D6BC7" w:rsidTr="000A0087">
        <w:trPr>
          <w:tblCellSpacing w:w="0" w:type="dxa"/>
        </w:trPr>
        <w:tc>
          <w:tcPr>
            <w:tcW w:w="9853" w:type="dxa"/>
            <w:shd w:val="clear" w:color="auto" w:fill="auto"/>
          </w:tcPr>
          <w:p w:rsidR="000A0087" w:rsidRPr="005D6BC7" w:rsidRDefault="000A0087" w:rsidP="0024717B">
            <w:pPr>
              <w:pStyle w:val="Financialsheading3"/>
            </w:pPr>
            <w:bookmarkStart w:id="245" w:name="_Toc317079429"/>
            <w:bookmarkStart w:id="246" w:name="_Toc317590691"/>
            <w:bookmarkStart w:id="247" w:name="_Toc427745942"/>
            <w:r w:rsidRPr="005D6BC7">
              <w:t>Note 2</w:t>
            </w:r>
            <w:r>
              <w:t>6</w:t>
            </w:r>
            <w:r w:rsidRPr="005D6BC7">
              <w:t>. Contingent liabilities and contingent assets</w:t>
            </w:r>
            <w:bookmarkEnd w:id="245"/>
            <w:bookmarkEnd w:id="246"/>
            <w:bookmarkEnd w:id="247"/>
          </w:p>
        </w:tc>
      </w:tr>
    </w:tbl>
    <w:p w:rsidR="000A0087" w:rsidRPr="0024717B" w:rsidRDefault="000A0087" w:rsidP="0024717B">
      <w:pPr>
        <w:pStyle w:val="Financialnotes"/>
      </w:pPr>
      <w:r w:rsidRPr="0024717B">
        <w:t>The Department has no contingent liabilities or contingent asserts as at 30 June 2015.</w:t>
      </w:r>
    </w:p>
    <w:tbl>
      <w:tblPr>
        <w:tblW w:w="9853" w:type="dxa"/>
        <w:tblCellSpacing w:w="0" w:type="dxa"/>
        <w:tblLayout w:type="fixed"/>
        <w:tblCellMar>
          <w:left w:w="72" w:type="dxa"/>
          <w:right w:w="72" w:type="dxa"/>
        </w:tblCellMar>
        <w:tblLook w:val="0600" w:firstRow="0" w:lastRow="0" w:firstColumn="0" w:lastColumn="0" w:noHBand="1" w:noVBand="1"/>
      </w:tblPr>
      <w:tblGrid>
        <w:gridCol w:w="9853"/>
      </w:tblGrid>
      <w:tr w:rsidR="000A0087" w:rsidRPr="005D6BC7" w:rsidTr="000A0087">
        <w:trPr>
          <w:tblCellSpacing w:w="0" w:type="dxa"/>
        </w:trPr>
        <w:tc>
          <w:tcPr>
            <w:tcW w:w="9853" w:type="dxa"/>
            <w:shd w:val="clear" w:color="auto" w:fill="auto"/>
          </w:tcPr>
          <w:p w:rsidR="000A0087" w:rsidRPr="005D6BC7" w:rsidRDefault="000A0087" w:rsidP="0024717B">
            <w:pPr>
              <w:pStyle w:val="Financialsheading3"/>
            </w:pPr>
            <w:bookmarkStart w:id="248" w:name="_Toc264275295"/>
            <w:bookmarkStart w:id="249" w:name="_Toc264895187"/>
            <w:bookmarkStart w:id="250" w:name="_Toc265493307"/>
            <w:bookmarkStart w:id="251" w:name="_Toc268084818"/>
            <w:bookmarkStart w:id="252" w:name="_Toc278880974"/>
            <w:bookmarkStart w:id="253" w:name="_Toc317079432"/>
            <w:bookmarkStart w:id="254" w:name="_Toc317590694"/>
            <w:bookmarkStart w:id="255" w:name="_Toc427745943"/>
            <w:r w:rsidRPr="005D6BC7">
              <w:t>Note 2</w:t>
            </w:r>
            <w:r>
              <w:t>7</w:t>
            </w:r>
            <w:r w:rsidRPr="005D6BC7">
              <w:t>. Events occurring after the end of the reporting period</w:t>
            </w:r>
            <w:bookmarkEnd w:id="248"/>
            <w:bookmarkEnd w:id="249"/>
            <w:bookmarkEnd w:id="250"/>
            <w:bookmarkEnd w:id="251"/>
            <w:bookmarkEnd w:id="252"/>
            <w:bookmarkEnd w:id="253"/>
            <w:bookmarkEnd w:id="254"/>
            <w:bookmarkEnd w:id="255"/>
          </w:p>
        </w:tc>
      </w:tr>
    </w:tbl>
    <w:p w:rsidR="000A0087" w:rsidRPr="0024717B" w:rsidRDefault="000A0087" w:rsidP="0024717B">
      <w:pPr>
        <w:pStyle w:val="Financialnotes"/>
      </w:pPr>
      <w:r w:rsidRPr="0024717B">
        <w:t>No events have occurred after the end of the reporting period which would materially impact on the financial statements.</w:t>
      </w:r>
    </w:p>
    <w:p w:rsidR="000A0087" w:rsidRDefault="000A0087" w:rsidP="0024717B">
      <w:pPr>
        <w:pStyle w:val="Financialsheading3"/>
      </w:pPr>
      <w:bookmarkStart w:id="256" w:name="_Toc427745944"/>
      <w:proofErr w:type="gramStart"/>
      <w:r w:rsidRPr="005D6BC7">
        <w:t>Note 2</w:t>
      </w:r>
      <w:r>
        <w:t>8</w:t>
      </w:r>
      <w:r w:rsidRPr="005D6BC7">
        <w:t>.</w:t>
      </w:r>
      <w:proofErr w:type="gramEnd"/>
      <w:r w:rsidRPr="005D6BC7">
        <w:t xml:space="preserve"> Explanatory statement</w:t>
      </w:r>
      <w:bookmarkEnd w:id="256"/>
    </w:p>
    <w:p w:rsidR="000A0087" w:rsidRDefault="005C1030" w:rsidP="0024717B">
      <w:pPr>
        <w:pStyle w:val="Financialnotes"/>
      </w:pPr>
      <w:r>
        <w:t>Major variances</w:t>
      </w:r>
      <w:r w:rsidR="000A0087" w:rsidRPr="002061BD">
        <w:t xml:space="preserve"> between estimates</w:t>
      </w:r>
      <w:r>
        <w:t xml:space="preserve"> (original budget)</w:t>
      </w:r>
      <w:r w:rsidR="000A0087" w:rsidRPr="002061BD">
        <w:t xml:space="preserve"> and actual results for </w:t>
      </w:r>
      <w:proofErr w:type="gramStart"/>
      <w:r>
        <w:t>2015,</w:t>
      </w:r>
      <w:proofErr w:type="gramEnd"/>
      <w:r>
        <w:t xml:space="preserve"> and between actual results for 2014 and 2015 </w:t>
      </w:r>
      <w:r w:rsidR="000A0087" w:rsidRPr="002061BD">
        <w:t>are shown below.</w:t>
      </w:r>
    </w:p>
    <w:p w:rsidR="000A0087" w:rsidRDefault="000A0087" w:rsidP="0024717B">
      <w:pPr>
        <w:pStyle w:val="Financialnotes"/>
      </w:pPr>
      <w:r w:rsidRPr="002061BD">
        <w:t>Major variances are considered greater than 10% or $</w:t>
      </w:r>
      <w:r>
        <w:t>10 million</w:t>
      </w:r>
      <w:r w:rsidRPr="002061BD">
        <w:t>.</w:t>
      </w:r>
    </w:p>
    <w:p w:rsidR="000A0087" w:rsidRDefault="000A0087" w:rsidP="000A0087">
      <w:pPr>
        <w:pStyle w:val="Financialnotes"/>
      </w:pPr>
    </w:p>
    <w:p w:rsidR="000A0087" w:rsidRDefault="000A0087" w:rsidP="000A0087">
      <w:pPr>
        <w:pStyle w:val="Financialnotes"/>
      </w:pPr>
    </w:p>
    <w:p w:rsidR="000A0087" w:rsidRDefault="000A0087" w:rsidP="000A0087">
      <w:pPr>
        <w:pStyle w:val="Financialnotes"/>
      </w:pPr>
    </w:p>
    <w:p w:rsidR="000A0087" w:rsidRDefault="000A0087" w:rsidP="000A0087">
      <w:pPr>
        <w:pStyle w:val="Heading4"/>
      </w:pPr>
      <w:r>
        <w:br w:type="page"/>
      </w:r>
    </w:p>
    <w:p w:rsidR="000A0087" w:rsidRDefault="000A0087" w:rsidP="000A0087">
      <w:pPr>
        <w:pStyle w:val="Heading4"/>
        <w:sectPr w:rsidR="000A0087" w:rsidSect="007A586B">
          <w:footerReference w:type="default" r:id="rId66"/>
          <w:pgSz w:w="11906" w:h="16838"/>
          <w:pgMar w:top="1440" w:right="1080" w:bottom="993" w:left="1080" w:header="568" w:footer="0" w:gutter="0"/>
          <w:cols w:space="709"/>
          <w:docGrid w:linePitch="360"/>
        </w:sectPr>
      </w:pPr>
    </w:p>
    <w:p w:rsidR="000A0087" w:rsidRPr="002061BD" w:rsidRDefault="000A0087" w:rsidP="00F6395E">
      <w:pPr>
        <w:pStyle w:val="Financialsheading4"/>
        <w:ind w:left="0"/>
        <w:rPr>
          <w:sz w:val="22"/>
        </w:rPr>
      </w:pPr>
      <w:r>
        <w:lastRenderedPageBreak/>
        <w:t>Summary of Consolidated Account Appropriations and Income Estimates</w:t>
      </w:r>
    </w:p>
    <w:tbl>
      <w:tblPr>
        <w:tblW w:w="0" w:type="auto"/>
        <w:tblInd w:w="108" w:type="dxa"/>
        <w:tblLook w:val="04A0" w:firstRow="1" w:lastRow="0" w:firstColumn="1" w:lastColumn="0" w:noHBand="0" w:noVBand="1"/>
      </w:tblPr>
      <w:tblGrid>
        <w:gridCol w:w="2653"/>
        <w:gridCol w:w="1126"/>
        <w:gridCol w:w="1162"/>
        <w:gridCol w:w="904"/>
        <w:gridCol w:w="904"/>
        <w:gridCol w:w="1472"/>
        <w:gridCol w:w="1633"/>
      </w:tblGrid>
      <w:tr w:rsidR="000A0087" w:rsidRPr="007043E4" w:rsidTr="00C05593">
        <w:trPr>
          <w:cantSplit/>
          <w:trHeight w:val="1134"/>
        </w:trPr>
        <w:tc>
          <w:tcPr>
            <w:tcW w:w="0" w:type="auto"/>
            <w:tcBorders>
              <w:top w:val="nil"/>
              <w:left w:val="nil"/>
              <w:bottom w:val="nil"/>
              <w:right w:val="nil"/>
            </w:tcBorders>
            <w:shd w:val="clear" w:color="auto" w:fill="E0DCCB" w:themeFill="accent4" w:themeFillTint="66"/>
            <w:hideMark/>
          </w:tcPr>
          <w:p w:rsidR="000A0087" w:rsidRPr="00C05593" w:rsidRDefault="000A0087" w:rsidP="00C05593">
            <w:pPr>
              <w:pStyle w:val="Financials"/>
            </w:pPr>
            <w:r w:rsidRPr="00C05593">
              <w:rPr>
                <w:rFonts w:ascii="Arial" w:eastAsia="Times New Roman" w:hAnsi="Arial" w:cs="Arial"/>
                <w:b/>
                <w:bCs/>
                <w:lang w:eastAsia="en-AU"/>
              </w:rPr>
              <w:t>Statement of Comprehensive Income</w:t>
            </w:r>
          </w:p>
        </w:tc>
        <w:tc>
          <w:tcPr>
            <w:tcW w:w="0" w:type="auto"/>
            <w:tcBorders>
              <w:top w:val="nil"/>
              <w:left w:val="nil"/>
              <w:bottom w:val="nil"/>
              <w:right w:val="nil"/>
            </w:tcBorders>
            <w:shd w:val="clear" w:color="auto" w:fill="E0DCCB" w:themeFill="accent4" w:themeFillTint="66"/>
            <w:hideMark/>
          </w:tcPr>
          <w:p w:rsidR="000A0087" w:rsidRPr="007043E4" w:rsidRDefault="000A0087" w:rsidP="00C05593">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Variance Note</w:t>
            </w:r>
          </w:p>
        </w:tc>
        <w:tc>
          <w:tcPr>
            <w:tcW w:w="0" w:type="auto"/>
            <w:tcBorders>
              <w:top w:val="nil"/>
              <w:left w:val="nil"/>
              <w:bottom w:val="nil"/>
              <w:right w:val="nil"/>
            </w:tcBorders>
            <w:shd w:val="clear" w:color="auto" w:fill="E0DCCB" w:themeFill="accent4" w:themeFillTint="66"/>
          </w:tcPr>
          <w:p w:rsidR="000A0087" w:rsidRDefault="000A0087" w:rsidP="00C05593">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Original Budget 2015</w:t>
            </w:r>
          </w:p>
          <w:p w:rsidR="000A0087" w:rsidRPr="007043E4" w:rsidRDefault="000A0087" w:rsidP="00C05593">
            <w:pPr>
              <w:pStyle w:val="Financials"/>
              <w:jc w:val="center"/>
              <w:rPr>
                <w:rFonts w:ascii="Arial" w:eastAsia="Times New Roman" w:hAnsi="Arial" w:cs="Arial"/>
                <w:b/>
                <w:bCs/>
                <w:sz w:val="20"/>
                <w:szCs w:val="20"/>
                <w:lang w:eastAsia="en-AU"/>
              </w:rPr>
            </w:pPr>
          </w:p>
        </w:tc>
        <w:tc>
          <w:tcPr>
            <w:tcW w:w="0" w:type="auto"/>
            <w:tcBorders>
              <w:top w:val="nil"/>
              <w:left w:val="nil"/>
              <w:bottom w:val="nil"/>
              <w:right w:val="nil"/>
            </w:tcBorders>
            <w:shd w:val="clear" w:color="auto" w:fill="E0DCCB" w:themeFill="accent4" w:themeFillTint="66"/>
          </w:tcPr>
          <w:p w:rsidR="000A0087" w:rsidRPr="007043E4" w:rsidRDefault="000A0087" w:rsidP="00C05593">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Actual 2015</w:t>
            </w:r>
          </w:p>
        </w:tc>
        <w:tc>
          <w:tcPr>
            <w:tcW w:w="0" w:type="auto"/>
            <w:tcBorders>
              <w:top w:val="nil"/>
              <w:left w:val="nil"/>
              <w:bottom w:val="nil"/>
              <w:right w:val="nil"/>
            </w:tcBorders>
            <w:shd w:val="clear" w:color="auto" w:fill="E0DCCB" w:themeFill="accent4" w:themeFillTint="66"/>
          </w:tcPr>
          <w:p w:rsidR="000A0087" w:rsidRPr="007043E4" w:rsidRDefault="000A0087" w:rsidP="00C05593">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 xml:space="preserve">Actual </w:t>
            </w:r>
            <w:r w:rsidRPr="007043E4">
              <w:rPr>
                <w:rFonts w:ascii="Arial" w:eastAsia="Times New Roman" w:hAnsi="Arial" w:cs="Arial"/>
                <w:b/>
                <w:bCs/>
                <w:sz w:val="20"/>
                <w:szCs w:val="20"/>
                <w:lang w:eastAsia="en-AU"/>
              </w:rPr>
              <w:t>201</w:t>
            </w:r>
            <w:r>
              <w:rPr>
                <w:rFonts w:ascii="Arial" w:eastAsia="Times New Roman" w:hAnsi="Arial" w:cs="Arial"/>
                <w:b/>
                <w:bCs/>
                <w:sz w:val="20"/>
                <w:szCs w:val="20"/>
                <w:lang w:eastAsia="en-AU"/>
              </w:rPr>
              <w:t>4</w:t>
            </w:r>
          </w:p>
        </w:tc>
        <w:tc>
          <w:tcPr>
            <w:tcW w:w="0" w:type="auto"/>
            <w:tcBorders>
              <w:top w:val="nil"/>
              <w:left w:val="nil"/>
              <w:bottom w:val="nil"/>
              <w:right w:val="nil"/>
            </w:tcBorders>
            <w:shd w:val="clear" w:color="auto" w:fill="E0DCCB" w:themeFill="accent4" w:themeFillTint="66"/>
          </w:tcPr>
          <w:p w:rsidR="000A0087" w:rsidRPr="007043E4" w:rsidRDefault="000A0087" w:rsidP="00C05593">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Variance between estimate and actual</w:t>
            </w:r>
          </w:p>
        </w:tc>
        <w:tc>
          <w:tcPr>
            <w:tcW w:w="0" w:type="auto"/>
            <w:tcBorders>
              <w:top w:val="nil"/>
              <w:left w:val="nil"/>
              <w:bottom w:val="nil"/>
              <w:right w:val="nil"/>
            </w:tcBorders>
            <w:shd w:val="clear" w:color="auto" w:fill="E0DCCB" w:themeFill="accent4" w:themeFillTint="66"/>
            <w:hideMark/>
          </w:tcPr>
          <w:p w:rsidR="000A0087" w:rsidRPr="007043E4" w:rsidRDefault="000A0087" w:rsidP="00C05593">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Variance between actual result for 2015 and 2014</w:t>
            </w:r>
          </w:p>
        </w:tc>
      </w:tr>
      <w:tr w:rsidR="000A0087" w:rsidRPr="007043E4" w:rsidTr="00C05593">
        <w:trPr>
          <w:trHeight w:val="255"/>
        </w:trPr>
        <w:tc>
          <w:tcPr>
            <w:tcW w:w="0" w:type="auto"/>
            <w:tcBorders>
              <w:top w:val="nil"/>
              <w:left w:val="nil"/>
              <w:bottom w:val="nil"/>
              <w:right w:val="nil"/>
            </w:tcBorders>
            <w:shd w:val="clear" w:color="auto" w:fill="E0DCCB" w:themeFill="accent4" w:themeFillTint="66"/>
            <w:vAlign w:val="center"/>
            <w:hideMark/>
          </w:tcPr>
          <w:p w:rsidR="000A0087" w:rsidRPr="007043E4" w:rsidRDefault="000A0087" w:rsidP="00C05593">
            <w:pPr>
              <w:pStyle w:val="Financials"/>
              <w:rPr>
                <w:rFonts w:ascii="Arial" w:eastAsia="Times New Roman" w:hAnsi="Arial" w:cs="Arial"/>
                <w:sz w:val="20"/>
                <w:szCs w:val="20"/>
                <w:lang w:eastAsia="en-AU"/>
              </w:rPr>
            </w:pPr>
          </w:p>
        </w:tc>
        <w:tc>
          <w:tcPr>
            <w:tcW w:w="0" w:type="auto"/>
            <w:tcBorders>
              <w:top w:val="nil"/>
              <w:left w:val="nil"/>
              <w:bottom w:val="nil"/>
              <w:right w:val="nil"/>
            </w:tcBorders>
            <w:shd w:val="clear" w:color="auto" w:fill="E0DCCB" w:themeFill="accent4" w:themeFillTint="66"/>
            <w:vAlign w:val="center"/>
            <w:hideMark/>
          </w:tcPr>
          <w:p w:rsidR="000A0087" w:rsidRPr="007043E4" w:rsidRDefault="000A0087" w:rsidP="00C05593">
            <w:pPr>
              <w:pStyle w:val="Financials"/>
              <w:jc w:val="center"/>
              <w:rPr>
                <w:rFonts w:ascii="Arial" w:eastAsia="Times New Roman" w:hAnsi="Arial" w:cs="Arial"/>
                <w:b/>
                <w:bCs/>
                <w:sz w:val="20"/>
                <w:szCs w:val="20"/>
                <w:lang w:eastAsia="en-AU"/>
              </w:rPr>
            </w:pPr>
          </w:p>
        </w:tc>
        <w:tc>
          <w:tcPr>
            <w:tcW w:w="0" w:type="auto"/>
            <w:tcBorders>
              <w:top w:val="nil"/>
              <w:left w:val="nil"/>
              <w:bottom w:val="nil"/>
              <w:right w:val="nil"/>
            </w:tcBorders>
            <w:shd w:val="clear" w:color="auto" w:fill="E0DCCB" w:themeFill="accent4" w:themeFillTint="66"/>
            <w:vAlign w:val="center"/>
          </w:tcPr>
          <w:p w:rsidR="000A0087" w:rsidRPr="007043E4" w:rsidRDefault="000A0087" w:rsidP="00C05593">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$’000</w:t>
            </w:r>
          </w:p>
        </w:tc>
        <w:tc>
          <w:tcPr>
            <w:tcW w:w="0" w:type="auto"/>
            <w:tcBorders>
              <w:top w:val="nil"/>
              <w:left w:val="nil"/>
              <w:bottom w:val="nil"/>
              <w:right w:val="nil"/>
            </w:tcBorders>
            <w:shd w:val="clear" w:color="auto" w:fill="E0DCCB" w:themeFill="accent4" w:themeFillTint="66"/>
            <w:vAlign w:val="center"/>
          </w:tcPr>
          <w:p w:rsidR="000A0087" w:rsidRPr="007043E4" w:rsidRDefault="000A0087" w:rsidP="00C05593">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$’000</w:t>
            </w:r>
          </w:p>
        </w:tc>
        <w:tc>
          <w:tcPr>
            <w:tcW w:w="0" w:type="auto"/>
            <w:tcBorders>
              <w:top w:val="nil"/>
              <w:left w:val="nil"/>
              <w:bottom w:val="nil"/>
              <w:right w:val="nil"/>
            </w:tcBorders>
            <w:shd w:val="clear" w:color="auto" w:fill="E0DCCB" w:themeFill="accent4" w:themeFillTint="66"/>
            <w:vAlign w:val="center"/>
          </w:tcPr>
          <w:p w:rsidR="000A0087" w:rsidRPr="007043E4" w:rsidRDefault="000A0087" w:rsidP="00C05593">
            <w:pPr>
              <w:pStyle w:val="Financials"/>
              <w:jc w:val="center"/>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w:t>
            </w:r>
            <w:r>
              <w:rPr>
                <w:rFonts w:ascii="Arial" w:eastAsia="Times New Roman" w:hAnsi="Arial" w:cs="Arial"/>
                <w:b/>
                <w:bCs/>
                <w:sz w:val="20"/>
                <w:szCs w:val="20"/>
                <w:lang w:eastAsia="en-AU"/>
              </w:rPr>
              <w:t>’000</w:t>
            </w:r>
          </w:p>
        </w:tc>
        <w:tc>
          <w:tcPr>
            <w:tcW w:w="0" w:type="auto"/>
            <w:tcBorders>
              <w:top w:val="nil"/>
              <w:left w:val="nil"/>
              <w:bottom w:val="nil"/>
              <w:right w:val="nil"/>
            </w:tcBorders>
            <w:shd w:val="clear" w:color="auto" w:fill="E0DCCB" w:themeFill="accent4" w:themeFillTint="66"/>
            <w:vAlign w:val="center"/>
          </w:tcPr>
          <w:p w:rsidR="000A0087" w:rsidRPr="007043E4" w:rsidRDefault="000A0087" w:rsidP="00C05593">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$’000</w:t>
            </w:r>
          </w:p>
        </w:tc>
        <w:tc>
          <w:tcPr>
            <w:tcW w:w="0" w:type="auto"/>
            <w:tcBorders>
              <w:top w:val="nil"/>
              <w:left w:val="nil"/>
              <w:bottom w:val="nil"/>
              <w:right w:val="nil"/>
            </w:tcBorders>
            <w:shd w:val="clear" w:color="auto" w:fill="E0DCCB" w:themeFill="accent4" w:themeFillTint="66"/>
            <w:vAlign w:val="center"/>
            <w:hideMark/>
          </w:tcPr>
          <w:p w:rsidR="000A0087" w:rsidRPr="007043E4" w:rsidRDefault="000A0087" w:rsidP="00C05593">
            <w:pPr>
              <w:pStyle w:val="Financials"/>
              <w:jc w:val="center"/>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w:t>
            </w:r>
            <w:r>
              <w:rPr>
                <w:rFonts w:ascii="Arial" w:eastAsia="Times New Roman" w:hAnsi="Arial" w:cs="Arial"/>
                <w:b/>
                <w:bCs/>
                <w:sz w:val="20"/>
                <w:szCs w:val="20"/>
                <w:lang w:eastAsia="en-AU"/>
              </w:rPr>
              <w:t>’000</w:t>
            </w:r>
          </w:p>
        </w:tc>
      </w:tr>
      <w:tr w:rsidR="000A0087" w:rsidRPr="007043E4" w:rsidTr="000A0087">
        <w:trPr>
          <w:trHeight w:val="255"/>
        </w:trPr>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COST OF SERVICES</w:t>
            </w:r>
          </w:p>
        </w:tc>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E0DCCB" w:themeFill="accent4" w:themeFillTint="66"/>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auto"/>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r>
      <w:tr w:rsidR="000A0087" w:rsidRPr="007043E4" w:rsidTr="000A0087">
        <w:trPr>
          <w:trHeight w:val="255"/>
        </w:trPr>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Expenses</w:t>
            </w:r>
          </w:p>
        </w:tc>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E0DCCB" w:themeFill="accent4" w:themeFillTint="66"/>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auto"/>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r>
      <w:tr w:rsidR="000A0087" w:rsidRPr="007043E4" w:rsidTr="005804A8">
        <w:trPr>
          <w:trHeight w:val="255"/>
        </w:trPr>
        <w:tc>
          <w:tcPr>
            <w:tcW w:w="0" w:type="auto"/>
            <w:tcBorders>
              <w:top w:val="nil"/>
              <w:left w:val="nil"/>
              <w:bottom w:val="nil"/>
              <w:right w:val="nil"/>
            </w:tcBorders>
            <w:shd w:val="clear" w:color="auto" w:fill="auto"/>
            <w:hideMark/>
          </w:tcPr>
          <w:p w:rsidR="000A0087" w:rsidRPr="007043E4" w:rsidRDefault="000A0087" w:rsidP="005804A8">
            <w:pPr>
              <w:pStyle w:val="Financials"/>
              <w:rPr>
                <w:rFonts w:ascii="Arial" w:eastAsia="Times New Roman" w:hAnsi="Arial" w:cs="Arial"/>
                <w:sz w:val="20"/>
                <w:szCs w:val="20"/>
                <w:lang w:eastAsia="en-AU"/>
              </w:rPr>
            </w:pPr>
            <w:r w:rsidRPr="007043E4">
              <w:rPr>
                <w:rFonts w:ascii="Arial" w:eastAsia="Times New Roman" w:hAnsi="Arial" w:cs="Arial"/>
                <w:sz w:val="20"/>
                <w:szCs w:val="20"/>
                <w:lang w:eastAsia="en-AU"/>
              </w:rPr>
              <w:t>Employee benefits expense</w:t>
            </w:r>
          </w:p>
        </w:tc>
        <w:tc>
          <w:tcPr>
            <w:tcW w:w="0" w:type="auto"/>
            <w:tcBorders>
              <w:top w:val="nil"/>
              <w:left w:val="nil"/>
              <w:bottom w:val="nil"/>
              <w:right w:val="nil"/>
            </w:tcBorders>
            <w:shd w:val="clear" w:color="auto" w:fill="auto"/>
          </w:tcPr>
          <w:p w:rsidR="000A0087" w:rsidRPr="007043E4" w:rsidRDefault="000A0087" w:rsidP="005804A8">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12,</w:t>
            </w:r>
            <w:r w:rsidR="005C1030">
              <w:rPr>
                <w:rFonts w:ascii="Arial" w:eastAsia="Times New Roman" w:hAnsi="Arial" w:cs="Arial"/>
                <w:sz w:val="20"/>
                <w:szCs w:val="20"/>
                <w:lang w:eastAsia="en-AU"/>
              </w:rPr>
              <w:t>449</w:t>
            </w:r>
          </w:p>
        </w:tc>
        <w:tc>
          <w:tcPr>
            <w:tcW w:w="0" w:type="auto"/>
            <w:tcBorders>
              <w:top w:val="nil"/>
              <w:left w:val="nil"/>
              <w:bottom w:val="nil"/>
              <w:right w:val="nil"/>
            </w:tcBorders>
            <w:shd w:val="clear" w:color="auto" w:fill="E0DCCB" w:themeFill="accent4" w:themeFillTint="66"/>
          </w:tcPr>
          <w:p w:rsidR="000A0087"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11,638</w:t>
            </w:r>
          </w:p>
        </w:tc>
        <w:tc>
          <w:tcPr>
            <w:tcW w:w="0" w:type="auto"/>
            <w:tcBorders>
              <w:top w:val="nil"/>
              <w:left w:val="nil"/>
              <w:bottom w:val="nil"/>
              <w:right w:val="nil"/>
            </w:tcBorders>
            <w:shd w:val="clear" w:color="auto" w:fill="auto"/>
          </w:tcPr>
          <w:p w:rsidR="000A0087" w:rsidRPr="007043E4" w:rsidRDefault="000A0087" w:rsidP="005804A8">
            <w:pPr>
              <w:pStyle w:val="Financials"/>
              <w:jc w:val="right"/>
              <w:rPr>
                <w:rFonts w:ascii="Arial" w:eastAsia="Times New Roman" w:hAnsi="Arial" w:cs="Arial"/>
                <w:sz w:val="20"/>
                <w:szCs w:val="20"/>
                <w:highlight w:val="yellow"/>
                <w:lang w:eastAsia="en-AU"/>
              </w:rPr>
            </w:pPr>
            <w:r>
              <w:rPr>
                <w:rFonts w:ascii="Arial" w:eastAsia="Times New Roman" w:hAnsi="Arial" w:cs="Arial"/>
                <w:sz w:val="20"/>
                <w:szCs w:val="20"/>
                <w:lang w:eastAsia="en-AU"/>
              </w:rPr>
              <w:t>12,069</w:t>
            </w:r>
          </w:p>
        </w:tc>
        <w:tc>
          <w:tcPr>
            <w:tcW w:w="0" w:type="auto"/>
            <w:tcBorders>
              <w:top w:val="nil"/>
              <w:left w:val="nil"/>
              <w:bottom w:val="nil"/>
              <w:right w:val="nil"/>
            </w:tcBorders>
          </w:tcPr>
          <w:p w:rsidR="000A0087" w:rsidRDefault="00E73949"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(811)</w:t>
            </w:r>
          </w:p>
        </w:tc>
        <w:tc>
          <w:tcPr>
            <w:tcW w:w="0" w:type="auto"/>
            <w:tcBorders>
              <w:top w:val="nil"/>
              <w:left w:val="nil"/>
              <w:bottom w:val="nil"/>
              <w:right w:val="nil"/>
            </w:tcBorders>
            <w:shd w:val="clear" w:color="auto" w:fill="auto"/>
            <w:hideMark/>
          </w:tcPr>
          <w:p w:rsidR="000A0087" w:rsidRPr="007043E4" w:rsidRDefault="000A0087" w:rsidP="005804A8">
            <w:pPr>
              <w:pStyle w:val="Financials"/>
              <w:jc w:val="right"/>
              <w:rPr>
                <w:rFonts w:ascii="Arial" w:eastAsia="Times New Roman" w:hAnsi="Arial" w:cs="Arial"/>
                <w:sz w:val="20"/>
                <w:szCs w:val="20"/>
                <w:highlight w:val="yellow"/>
                <w:lang w:eastAsia="en-AU"/>
              </w:rPr>
            </w:pPr>
            <w:r w:rsidRPr="00CD6BA6">
              <w:rPr>
                <w:rFonts w:ascii="Arial" w:eastAsia="Times New Roman" w:hAnsi="Arial" w:cs="Arial"/>
                <w:sz w:val="20"/>
                <w:szCs w:val="20"/>
                <w:lang w:eastAsia="en-AU"/>
              </w:rPr>
              <w:t>(</w:t>
            </w:r>
            <w:r>
              <w:rPr>
                <w:rFonts w:ascii="Arial" w:eastAsia="Times New Roman" w:hAnsi="Arial" w:cs="Arial"/>
                <w:sz w:val="20"/>
                <w:szCs w:val="20"/>
                <w:lang w:eastAsia="en-AU"/>
              </w:rPr>
              <w:t>431</w:t>
            </w:r>
            <w:r w:rsidRPr="00CD6BA6">
              <w:rPr>
                <w:rFonts w:ascii="Arial" w:eastAsia="Times New Roman" w:hAnsi="Arial" w:cs="Arial"/>
                <w:sz w:val="20"/>
                <w:szCs w:val="20"/>
                <w:lang w:eastAsia="en-AU"/>
              </w:rPr>
              <w:t>)</w:t>
            </w:r>
          </w:p>
        </w:tc>
      </w:tr>
      <w:tr w:rsidR="000A0087" w:rsidRPr="007043E4" w:rsidTr="000A0087">
        <w:trPr>
          <w:trHeight w:val="255"/>
        </w:trPr>
        <w:tc>
          <w:tcPr>
            <w:tcW w:w="0" w:type="auto"/>
            <w:tcBorders>
              <w:top w:val="nil"/>
              <w:left w:val="nil"/>
              <w:bottom w:val="nil"/>
              <w:right w:val="nil"/>
            </w:tcBorders>
            <w:shd w:val="clear" w:color="auto" w:fill="auto"/>
            <w:vAlign w:val="center"/>
          </w:tcPr>
          <w:p w:rsidR="000A0087" w:rsidRPr="007043E4" w:rsidRDefault="000A0087" w:rsidP="00C05593">
            <w:pPr>
              <w:pStyle w:val="Financials"/>
              <w:rPr>
                <w:rFonts w:ascii="Arial" w:eastAsia="Times New Roman" w:hAnsi="Arial" w:cs="Arial"/>
                <w:sz w:val="20"/>
                <w:szCs w:val="20"/>
                <w:lang w:eastAsia="en-AU"/>
              </w:rPr>
            </w:pPr>
            <w:r>
              <w:rPr>
                <w:rFonts w:ascii="Arial" w:eastAsia="Times New Roman" w:hAnsi="Arial" w:cs="Arial"/>
                <w:sz w:val="20"/>
                <w:szCs w:val="20"/>
                <w:lang w:eastAsia="en-AU"/>
              </w:rPr>
              <w:t>Accommodation</w:t>
            </w:r>
            <w:r w:rsidR="005804A8">
              <w:rPr>
                <w:rFonts w:ascii="Arial" w:eastAsia="Times New Roman" w:hAnsi="Arial" w:cs="Arial"/>
                <w:sz w:val="20"/>
                <w:szCs w:val="20"/>
                <w:lang w:eastAsia="en-AU"/>
              </w:rPr>
              <w:t xml:space="preserve"> expense</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w:t>
            </w:r>
          </w:p>
        </w:tc>
        <w:tc>
          <w:tcPr>
            <w:tcW w:w="0" w:type="auto"/>
            <w:tcBorders>
              <w:top w:val="nil"/>
              <w:left w:val="nil"/>
              <w:bottom w:val="nil"/>
              <w:right w:val="nil"/>
            </w:tcBorders>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0" w:type="auto"/>
            <w:tcBorders>
              <w:top w:val="nil"/>
              <w:left w:val="nil"/>
              <w:bottom w:val="nil"/>
              <w:right w:val="nil"/>
            </w:tcBorders>
            <w:shd w:val="clear" w:color="auto" w:fill="E0DCCB" w:themeFill="accent4" w:themeFillTint="66"/>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826</w:t>
            </w:r>
          </w:p>
        </w:tc>
        <w:tc>
          <w:tcPr>
            <w:tcW w:w="0" w:type="auto"/>
            <w:tcBorders>
              <w:top w:val="nil"/>
              <w:left w:val="nil"/>
              <w:bottom w:val="nil"/>
              <w:right w:val="nil"/>
            </w:tcBorders>
            <w:shd w:val="clear" w:color="auto" w:fill="auto"/>
            <w:vAlign w:val="center"/>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849</w:t>
            </w:r>
          </w:p>
        </w:tc>
        <w:tc>
          <w:tcPr>
            <w:tcW w:w="0" w:type="auto"/>
            <w:tcBorders>
              <w:top w:val="nil"/>
              <w:left w:val="nil"/>
              <w:bottom w:val="nil"/>
              <w:right w:val="nil"/>
            </w:tcBorders>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(826)</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(23)</w:t>
            </w:r>
          </w:p>
        </w:tc>
      </w:tr>
      <w:tr w:rsidR="000A0087" w:rsidRPr="007043E4" w:rsidTr="000A0087">
        <w:trPr>
          <w:trHeight w:val="255"/>
        </w:trPr>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rPr>
                <w:rFonts w:ascii="Arial" w:eastAsia="Times New Roman" w:hAnsi="Arial" w:cs="Arial"/>
                <w:sz w:val="20"/>
                <w:szCs w:val="20"/>
                <w:lang w:eastAsia="en-AU"/>
              </w:rPr>
            </w:pPr>
            <w:r w:rsidRPr="007043E4">
              <w:rPr>
                <w:rFonts w:ascii="Arial" w:eastAsia="Times New Roman" w:hAnsi="Arial" w:cs="Arial"/>
                <w:sz w:val="20"/>
                <w:szCs w:val="20"/>
                <w:lang w:eastAsia="en-AU"/>
              </w:rPr>
              <w:t>Supplies and services</w:t>
            </w:r>
          </w:p>
        </w:tc>
        <w:tc>
          <w:tcPr>
            <w:tcW w:w="0" w:type="auto"/>
            <w:tcBorders>
              <w:top w:val="nil"/>
              <w:left w:val="nil"/>
              <w:bottom w:val="nil"/>
              <w:right w:val="nil"/>
            </w:tcBorders>
            <w:shd w:val="clear" w:color="auto" w:fill="auto"/>
            <w:vAlign w:val="center"/>
          </w:tcPr>
          <w:p w:rsidR="000A0087" w:rsidRPr="007043E4" w:rsidRDefault="000A0087" w:rsidP="00E7394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w:t>
            </w:r>
            <w:r w:rsidR="00E20C70">
              <w:rPr>
                <w:rFonts w:ascii="Arial" w:eastAsia="Times New Roman" w:hAnsi="Arial" w:cs="Arial"/>
                <w:sz w:val="20"/>
                <w:szCs w:val="20"/>
                <w:lang w:eastAsia="en-AU"/>
              </w:rPr>
              <w:t>,</w:t>
            </w:r>
            <w:r w:rsidR="00E73949">
              <w:rPr>
                <w:rFonts w:ascii="Arial" w:eastAsia="Times New Roman" w:hAnsi="Arial" w:cs="Arial"/>
                <w:sz w:val="20"/>
                <w:szCs w:val="20"/>
                <w:lang w:eastAsia="en-AU"/>
              </w:rPr>
              <w:t>A</w:t>
            </w:r>
          </w:p>
        </w:tc>
        <w:tc>
          <w:tcPr>
            <w:tcW w:w="0" w:type="auto"/>
            <w:tcBorders>
              <w:top w:val="nil"/>
              <w:left w:val="nil"/>
              <w:bottom w:val="nil"/>
              <w:right w:val="nil"/>
            </w:tcBorders>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2,267</w:t>
            </w:r>
          </w:p>
        </w:tc>
        <w:tc>
          <w:tcPr>
            <w:tcW w:w="0" w:type="auto"/>
            <w:tcBorders>
              <w:top w:val="nil"/>
              <w:left w:val="nil"/>
              <w:bottom w:val="nil"/>
              <w:right w:val="nil"/>
            </w:tcBorders>
            <w:shd w:val="clear" w:color="auto" w:fill="E0DCCB" w:themeFill="accent4" w:themeFillTint="66"/>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1,574</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2,363</w:t>
            </w:r>
          </w:p>
        </w:tc>
        <w:tc>
          <w:tcPr>
            <w:tcW w:w="0" w:type="auto"/>
            <w:tcBorders>
              <w:top w:val="nil"/>
              <w:left w:val="nil"/>
              <w:bottom w:val="nil"/>
              <w:right w:val="nil"/>
            </w:tcBorders>
          </w:tcPr>
          <w:p w:rsidR="000A0087" w:rsidRDefault="00E73949"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0A0087">
              <w:rPr>
                <w:rFonts w:ascii="Arial" w:eastAsia="Times New Roman" w:hAnsi="Arial" w:cs="Arial"/>
                <w:sz w:val="20"/>
                <w:szCs w:val="20"/>
                <w:lang w:eastAsia="en-AU"/>
              </w:rPr>
              <w:t>693</w:t>
            </w:r>
            <w:r>
              <w:rPr>
                <w:rFonts w:ascii="Arial" w:eastAsia="Times New Roman" w:hAnsi="Arial" w:cs="Arial"/>
                <w:sz w:val="20"/>
                <w:szCs w:val="20"/>
                <w:lang w:eastAsia="en-AU"/>
              </w:rPr>
              <w:t>)</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(789)</w:t>
            </w:r>
          </w:p>
        </w:tc>
      </w:tr>
      <w:tr w:rsidR="000A0087" w:rsidRPr="007043E4" w:rsidTr="005804A8">
        <w:trPr>
          <w:trHeight w:val="255"/>
        </w:trPr>
        <w:tc>
          <w:tcPr>
            <w:tcW w:w="0" w:type="auto"/>
            <w:tcBorders>
              <w:top w:val="nil"/>
              <w:left w:val="nil"/>
              <w:bottom w:val="nil"/>
              <w:right w:val="nil"/>
            </w:tcBorders>
            <w:shd w:val="clear" w:color="auto" w:fill="auto"/>
            <w:hideMark/>
          </w:tcPr>
          <w:p w:rsidR="000A0087" w:rsidRPr="007043E4" w:rsidRDefault="000A0087" w:rsidP="005804A8">
            <w:pPr>
              <w:pStyle w:val="Financials"/>
              <w:rPr>
                <w:rFonts w:ascii="Arial" w:eastAsia="Times New Roman" w:hAnsi="Arial" w:cs="Arial"/>
                <w:sz w:val="20"/>
                <w:szCs w:val="20"/>
                <w:lang w:eastAsia="en-AU"/>
              </w:rPr>
            </w:pPr>
            <w:r w:rsidRPr="007043E4">
              <w:rPr>
                <w:rFonts w:ascii="Arial" w:eastAsia="Times New Roman" w:hAnsi="Arial" w:cs="Arial"/>
                <w:sz w:val="20"/>
                <w:szCs w:val="20"/>
                <w:lang w:eastAsia="en-AU"/>
              </w:rPr>
              <w:t>Depreciation and amortisation expense</w:t>
            </w:r>
          </w:p>
        </w:tc>
        <w:tc>
          <w:tcPr>
            <w:tcW w:w="0" w:type="auto"/>
            <w:tcBorders>
              <w:top w:val="nil"/>
              <w:left w:val="nil"/>
              <w:bottom w:val="nil"/>
              <w:right w:val="nil"/>
            </w:tcBorders>
            <w:shd w:val="clear" w:color="auto" w:fill="auto"/>
          </w:tcPr>
          <w:p w:rsidR="000A0087" w:rsidRPr="007043E4"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w:t>
            </w:r>
          </w:p>
        </w:tc>
        <w:tc>
          <w:tcPr>
            <w:tcW w:w="0" w:type="auto"/>
            <w:tcBorders>
              <w:top w:val="nil"/>
              <w:left w:val="nil"/>
              <w:bottom w:val="nil"/>
              <w:right w:val="nil"/>
            </w:tcBorders>
          </w:tcPr>
          <w:p w:rsidR="000A0087"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50</w:t>
            </w:r>
          </w:p>
        </w:tc>
        <w:tc>
          <w:tcPr>
            <w:tcW w:w="0" w:type="auto"/>
            <w:tcBorders>
              <w:top w:val="nil"/>
              <w:left w:val="nil"/>
              <w:bottom w:val="nil"/>
              <w:right w:val="nil"/>
            </w:tcBorders>
            <w:shd w:val="clear" w:color="auto" w:fill="E0DCCB" w:themeFill="accent4" w:themeFillTint="66"/>
          </w:tcPr>
          <w:p w:rsidR="000A0087"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197</w:t>
            </w:r>
          </w:p>
        </w:tc>
        <w:tc>
          <w:tcPr>
            <w:tcW w:w="0" w:type="auto"/>
            <w:tcBorders>
              <w:top w:val="nil"/>
              <w:left w:val="nil"/>
              <w:bottom w:val="nil"/>
              <w:right w:val="nil"/>
            </w:tcBorders>
            <w:shd w:val="clear" w:color="auto" w:fill="auto"/>
          </w:tcPr>
          <w:p w:rsidR="000A0087" w:rsidRPr="007043E4"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202</w:t>
            </w:r>
          </w:p>
        </w:tc>
        <w:tc>
          <w:tcPr>
            <w:tcW w:w="0" w:type="auto"/>
            <w:tcBorders>
              <w:top w:val="nil"/>
              <w:left w:val="nil"/>
              <w:bottom w:val="nil"/>
              <w:right w:val="nil"/>
            </w:tcBorders>
          </w:tcPr>
          <w:p w:rsidR="000A0087" w:rsidRDefault="000A0087" w:rsidP="00E7394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147</w:t>
            </w:r>
          </w:p>
        </w:tc>
        <w:tc>
          <w:tcPr>
            <w:tcW w:w="0" w:type="auto"/>
            <w:tcBorders>
              <w:top w:val="nil"/>
              <w:left w:val="nil"/>
              <w:bottom w:val="nil"/>
              <w:right w:val="nil"/>
            </w:tcBorders>
            <w:shd w:val="clear" w:color="auto" w:fill="auto"/>
          </w:tcPr>
          <w:p w:rsidR="000A0087" w:rsidRPr="007043E4"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w:t>
            </w:r>
          </w:p>
        </w:tc>
      </w:tr>
      <w:tr w:rsidR="000A0087" w:rsidRPr="007043E4" w:rsidTr="000A0087">
        <w:trPr>
          <w:trHeight w:val="270"/>
        </w:trPr>
        <w:tc>
          <w:tcPr>
            <w:tcW w:w="0" w:type="auto"/>
            <w:tcBorders>
              <w:top w:val="nil"/>
              <w:left w:val="nil"/>
              <w:bottom w:val="nil"/>
              <w:right w:val="nil"/>
            </w:tcBorders>
            <w:shd w:val="clear" w:color="auto" w:fill="auto"/>
            <w:vAlign w:val="center"/>
          </w:tcPr>
          <w:p w:rsidR="000A0087" w:rsidRPr="007043E4" w:rsidRDefault="000A0087" w:rsidP="00C05593">
            <w:pPr>
              <w:pStyle w:val="Financials"/>
              <w:rPr>
                <w:rFonts w:ascii="Arial" w:eastAsia="Times New Roman" w:hAnsi="Arial" w:cs="Arial"/>
                <w:sz w:val="20"/>
                <w:szCs w:val="20"/>
                <w:lang w:eastAsia="en-AU"/>
              </w:rPr>
            </w:pPr>
            <w:r w:rsidRPr="007043E4">
              <w:rPr>
                <w:rFonts w:ascii="Arial" w:eastAsia="Times New Roman" w:hAnsi="Arial" w:cs="Arial"/>
                <w:sz w:val="20"/>
                <w:szCs w:val="20"/>
                <w:lang w:eastAsia="en-AU"/>
              </w:rPr>
              <w:t>Grants and Subsidies</w:t>
            </w:r>
          </w:p>
        </w:tc>
        <w:tc>
          <w:tcPr>
            <w:tcW w:w="0" w:type="auto"/>
            <w:tcBorders>
              <w:top w:val="nil"/>
              <w:left w:val="nil"/>
              <w:bottom w:val="nil"/>
              <w:right w:val="nil"/>
            </w:tcBorders>
            <w:shd w:val="clear" w:color="auto" w:fill="auto"/>
            <w:vAlign w:val="center"/>
          </w:tcPr>
          <w:p w:rsidR="000A0087" w:rsidRPr="007043E4" w:rsidRDefault="00E73949"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B</w:t>
            </w:r>
          </w:p>
        </w:tc>
        <w:tc>
          <w:tcPr>
            <w:tcW w:w="0" w:type="auto"/>
            <w:tcBorders>
              <w:top w:val="nil"/>
              <w:left w:val="nil"/>
              <w:bottom w:val="nil"/>
              <w:right w:val="nil"/>
            </w:tcBorders>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0" w:type="auto"/>
            <w:tcBorders>
              <w:top w:val="nil"/>
              <w:left w:val="nil"/>
              <w:bottom w:val="nil"/>
              <w:right w:val="nil"/>
            </w:tcBorders>
            <w:shd w:val="clear" w:color="auto" w:fill="E0DCCB" w:themeFill="accent4" w:themeFillTint="66"/>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110</w:t>
            </w:r>
          </w:p>
        </w:tc>
        <w:tc>
          <w:tcPr>
            <w:tcW w:w="0" w:type="auto"/>
            <w:tcBorders>
              <w:top w:val="nil"/>
              <w:left w:val="nil"/>
              <w:bottom w:val="nil"/>
              <w:right w:val="nil"/>
            </w:tcBorders>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(110)</w:t>
            </w:r>
          </w:p>
        </w:tc>
      </w:tr>
      <w:tr w:rsidR="000A0087" w:rsidRPr="007043E4" w:rsidTr="00F6395E">
        <w:trPr>
          <w:trHeight w:val="270"/>
        </w:trPr>
        <w:tc>
          <w:tcPr>
            <w:tcW w:w="0" w:type="auto"/>
            <w:tcBorders>
              <w:top w:val="nil"/>
              <w:left w:val="nil"/>
              <w:bottom w:val="single" w:sz="4" w:space="0" w:color="E0DCCB" w:themeColor="accent4" w:themeTint="66"/>
              <w:right w:val="nil"/>
            </w:tcBorders>
            <w:shd w:val="clear" w:color="auto" w:fill="auto"/>
            <w:vAlign w:val="center"/>
            <w:hideMark/>
          </w:tcPr>
          <w:p w:rsidR="000A0087" w:rsidRPr="007043E4" w:rsidRDefault="000A0087" w:rsidP="00C05593">
            <w:pPr>
              <w:pStyle w:val="Financials"/>
              <w:rPr>
                <w:rFonts w:ascii="Arial" w:eastAsia="Times New Roman" w:hAnsi="Arial" w:cs="Arial"/>
                <w:sz w:val="20"/>
                <w:szCs w:val="20"/>
                <w:lang w:eastAsia="en-AU"/>
              </w:rPr>
            </w:pPr>
            <w:r w:rsidRPr="007043E4">
              <w:rPr>
                <w:rFonts w:ascii="Arial" w:eastAsia="Times New Roman" w:hAnsi="Arial" w:cs="Arial"/>
                <w:sz w:val="20"/>
                <w:szCs w:val="20"/>
                <w:lang w:eastAsia="en-AU"/>
              </w:rPr>
              <w:t>Other expenses</w:t>
            </w:r>
          </w:p>
        </w:tc>
        <w:tc>
          <w:tcPr>
            <w:tcW w:w="0" w:type="auto"/>
            <w:tcBorders>
              <w:top w:val="nil"/>
              <w:left w:val="nil"/>
              <w:bottom w:val="single" w:sz="4" w:space="0" w:color="E0DCCB" w:themeColor="accent4" w:themeTint="66"/>
              <w:right w:val="nil"/>
            </w:tcBorders>
            <w:shd w:val="clear" w:color="auto" w:fill="auto"/>
            <w:vAlign w:val="center"/>
          </w:tcPr>
          <w:p w:rsidR="000A0087" w:rsidRPr="007043E4" w:rsidRDefault="00E20C70"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4,</w:t>
            </w:r>
            <w:r w:rsidR="00E73949">
              <w:rPr>
                <w:rFonts w:ascii="Arial" w:eastAsia="Times New Roman" w:hAnsi="Arial" w:cs="Arial"/>
                <w:sz w:val="20"/>
                <w:szCs w:val="20"/>
                <w:lang w:eastAsia="en-AU"/>
              </w:rPr>
              <w:t>C</w:t>
            </w:r>
          </w:p>
        </w:tc>
        <w:tc>
          <w:tcPr>
            <w:tcW w:w="0" w:type="auto"/>
            <w:tcBorders>
              <w:top w:val="nil"/>
              <w:left w:val="nil"/>
              <w:bottom w:val="single" w:sz="4" w:space="0" w:color="E0DCCB" w:themeColor="accent4" w:themeTint="66"/>
              <w:right w:val="nil"/>
            </w:tcBorders>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181</w:t>
            </w:r>
          </w:p>
        </w:tc>
        <w:tc>
          <w:tcPr>
            <w:tcW w:w="0" w:type="auto"/>
            <w:tcBorders>
              <w:top w:val="nil"/>
              <w:left w:val="nil"/>
              <w:bottom w:val="single" w:sz="4" w:space="0" w:color="FFFFFF" w:themeColor="background1"/>
              <w:right w:val="nil"/>
            </w:tcBorders>
            <w:shd w:val="clear" w:color="auto" w:fill="E0DCCB" w:themeFill="accent4" w:themeFillTint="66"/>
          </w:tcPr>
          <w:p w:rsidR="000A0087" w:rsidRDefault="00E20C70"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325</w:t>
            </w:r>
          </w:p>
        </w:tc>
        <w:tc>
          <w:tcPr>
            <w:tcW w:w="0" w:type="auto"/>
            <w:tcBorders>
              <w:top w:val="nil"/>
              <w:left w:val="nil"/>
              <w:bottom w:val="single" w:sz="4" w:space="0" w:color="E0DCCB" w:themeColor="accent4" w:themeTint="66"/>
              <w:right w:val="nil"/>
            </w:tcBorders>
            <w:shd w:val="clear" w:color="auto" w:fill="auto"/>
            <w:vAlign w:val="center"/>
          </w:tcPr>
          <w:p w:rsidR="000A0087" w:rsidRPr="007043E4" w:rsidRDefault="00E20C70" w:rsidP="00C05593">
            <w:pPr>
              <w:pStyle w:val="Financials"/>
              <w:jc w:val="right"/>
              <w:rPr>
                <w:rFonts w:ascii="Arial" w:eastAsia="Times New Roman" w:hAnsi="Arial" w:cs="Arial"/>
                <w:sz w:val="20"/>
                <w:szCs w:val="20"/>
                <w:highlight w:val="yellow"/>
                <w:lang w:eastAsia="en-AU"/>
              </w:rPr>
            </w:pPr>
            <w:r>
              <w:rPr>
                <w:rFonts w:ascii="Arial" w:eastAsia="Times New Roman" w:hAnsi="Arial" w:cs="Arial"/>
                <w:sz w:val="20"/>
                <w:szCs w:val="20"/>
                <w:lang w:eastAsia="en-AU"/>
              </w:rPr>
              <w:t>450</w:t>
            </w:r>
          </w:p>
        </w:tc>
        <w:tc>
          <w:tcPr>
            <w:tcW w:w="0" w:type="auto"/>
            <w:tcBorders>
              <w:top w:val="nil"/>
              <w:left w:val="nil"/>
              <w:bottom w:val="single" w:sz="4" w:space="0" w:color="E0DCCB" w:themeColor="accent4" w:themeTint="66"/>
              <w:right w:val="nil"/>
            </w:tcBorders>
          </w:tcPr>
          <w:p w:rsidR="000A0087" w:rsidRDefault="00E20C70"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14</w:t>
            </w:r>
            <w:r w:rsidR="000A0087">
              <w:rPr>
                <w:rFonts w:ascii="Arial" w:eastAsia="Times New Roman" w:hAnsi="Arial" w:cs="Arial"/>
                <w:sz w:val="20"/>
                <w:szCs w:val="20"/>
                <w:lang w:eastAsia="en-AU"/>
              </w:rPr>
              <w:t>4</w:t>
            </w:r>
          </w:p>
        </w:tc>
        <w:tc>
          <w:tcPr>
            <w:tcW w:w="0" w:type="auto"/>
            <w:tcBorders>
              <w:top w:val="nil"/>
              <w:left w:val="nil"/>
              <w:bottom w:val="single" w:sz="4" w:space="0" w:color="E0DCCB" w:themeColor="accent4" w:themeTint="66"/>
              <w:right w:val="nil"/>
            </w:tcBorders>
            <w:shd w:val="clear" w:color="auto" w:fill="auto"/>
            <w:vAlign w:val="center"/>
            <w:hideMark/>
          </w:tcPr>
          <w:p w:rsidR="000A0087" w:rsidRPr="007043E4" w:rsidRDefault="000A0087" w:rsidP="00E20C70">
            <w:pPr>
              <w:pStyle w:val="Financials"/>
              <w:jc w:val="right"/>
              <w:rPr>
                <w:rFonts w:ascii="Arial" w:eastAsia="Times New Roman" w:hAnsi="Arial" w:cs="Arial"/>
                <w:sz w:val="20"/>
                <w:szCs w:val="20"/>
                <w:highlight w:val="yellow"/>
                <w:lang w:eastAsia="en-AU"/>
              </w:rPr>
            </w:pPr>
            <w:r>
              <w:rPr>
                <w:rFonts w:ascii="Arial" w:eastAsia="Times New Roman" w:hAnsi="Arial" w:cs="Arial"/>
                <w:sz w:val="20"/>
                <w:szCs w:val="20"/>
                <w:lang w:eastAsia="en-AU"/>
              </w:rPr>
              <w:t>(</w:t>
            </w:r>
            <w:r w:rsidR="00E20C70">
              <w:rPr>
                <w:rFonts w:ascii="Arial" w:eastAsia="Times New Roman" w:hAnsi="Arial" w:cs="Arial"/>
                <w:sz w:val="20"/>
                <w:szCs w:val="20"/>
                <w:lang w:eastAsia="en-AU"/>
              </w:rPr>
              <w:t>124</w:t>
            </w:r>
            <w:r>
              <w:rPr>
                <w:rFonts w:ascii="Arial" w:eastAsia="Times New Roman" w:hAnsi="Arial" w:cs="Arial"/>
                <w:sz w:val="20"/>
                <w:szCs w:val="20"/>
                <w:lang w:eastAsia="en-AU"/>
              </w:rPr>
              <w:t>)</w:t>
            </w:r>
          </w:p>
        </w:tc>
      </w:tr>
      <w:tr w:rsidR="000A0087" w:rsidRPr="007043E4" w:rsidTr="00E20C70">
        <w:trPr>
          <w:trHeight w:val="270"/>
        </w:trPr>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7043E4" w:rsidRDefault="000A0087" w:rsidP="00E20C70">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Total cost of services</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E20C70">
            <w:pPr>
              <w:pStyle w:val="Financials"/>
              <w:rPr>
                <w:rFonts w:ascii="Arial" w:eastAsia="Times New Roman" w:hAnsi="Arial" w:cs="Arial"/>
                <w:sz w:val="20"/>
                <w:szCs w:val="20"/>
                <w:lang w:eastAsia="en-AU"/>
              </w:rPr>
            </w:pPr>
          </w:p>
        </w:tc>
        <w:tc>
          <w:tcPr>
            <w:tcW w:w="0" w:type="auto"/>
            <w:tcBorders>
              <w:top w:val="single" w:sz="4" w:space="0" w:color="E0DCCB" w:themeColor="accent4" w:themeTint="66"/>
              <w:left w:val="nil"/>
              <w:bottom w:val="single" w:sz="4" w:space="0" w:color="E0DCCB" w:themeColor="accent4" w:themeTint="66"/>
              <w:right w:val="nil"/>
            </w:tcBorders>
            <w:vAlign w:val="center"/>
          </w:tcPr>
          <w:p w:rsidR="000A0087" w:rsidRDefault="000A0087" w:rsidP="00E20C7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14,947</w:t>
            </w:r>
          </w:p>
        </w:tc>
        <w:tc>
          <w:tcPr>
            <w:tcW w:w="0" w:type="auto"/>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0A0087" w:rsidRDefault="000A0087" w:rsidP="00E20C7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14,560</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E20C70">
            <w:pPr>
              <w:pStyle w:val="Financials"/>
              <w:jc w:val="right"/>
              <w:rPr>
                <w:rFonts w:ascii="Arial" w:eastAsia="Times New Roman" w:hAnsi="Arial" w:cs="Arial"/>
                <w:b/>
                <w:bCs/>
                <w:sz w:val="20"/>
                <w:szCs w:val="20"/>
                <w:highlight w:val="yellow"/>
                <w:lang w:eastAsia="en-AU"/>
              </w:rPr>
            </w:pPr>
            <w:r>
              <w:rPr>
                <w:rFonts w:ascii="Arial" w:eastAsia="Times New Roman" w:hAnsi="Arial" w:cs="Arial"/>
                <w:b/>
                <w:bCs/>
                <w:sz w:val="20"/>
                <w:szCs w:val="20"/>
                <w:lang w:eastAsia="en-AU"/>
              </w:rPr>
              <w:fldChar w:fldCharType="begin"/>
            </w:r>
            <w:r>
              <w:rPr>
                <w:rFonts w:ascii="Arial" w:eastAsia="Times New Roman" w:hAnsi="Arial" w:cs="Arial"/>
                <w:b/>
                <w:bCs/>
                <w:sz w:val="20"/>
                <w:szCs w:val="20"/>
                <w:lang w:eastAsia="en-AU"/>
              </w:rPr>
              <w:instrText xml:space="preserve"> =SUM(ABOVE) </w:instrText>
            </w:r>
            <w:r>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16,043</w:t>
            </w:r>
            <w:r>
              <w:rPr>
                <w:rFonts w:ascii="Arial" w:eastAsia="Times New Roman" w:hAnsi="Arial" w:cs="Arial"/>
                <w:b/>
                <w:bCs/>
                <w:sz w:val="20"/>
                <w:szCs w:val="20"/>
                <w:lang w:eastAsia="en-AU"/>
              </w:rPr>
              <w:fldChar w:fldCharType="end"/>
            </w:r>
          </w:p>
        </w:tc>
        <w:tc>
          <w:tcPr>
            <w:tcW w:w="0" w:type="auto"/>
            <w:tcBorders>
              <w:top w:val="single" w:sz="4" w:space="0" w:color="E0DCCB" w:themeColor="accent4" w:themeTint="66"/>
              <w:left w:val="nil"/>
              <w:bottom w:val="single" w:sz="4" w:space="0" w:color="E0DCCB" w:themeColor="accent4" w:themeTint="66"/>
              <w:right w:val="nil"/>
            </w:tcBorders>
            <w:vAlign w:val="center"/>
          </w:tcPr>
          <w:p w:rsidR="000A0087" w:rsidRPr="007043E4" w:rsidRDefault="00E20C70" w:rsidP="00E20C7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(387)</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7043E4" w:rsidRDefault="000A0087" w:rsidP="00E20C7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(1,4</w:t>
            </w:r>
            <w:r w:rsidR="00E20C70">
              <w:rPr>
                <w:rFonts w:ascii="Arial" w:eastAsia="Times New Roman" w:hAnsi="Arial" w:cs="Arial"/>
                <w:b/>
                <w:bCs/>
                <w:sz w:val="20"/>
                <w:szCs w:val="20"/>
                <w:lang w:eastAsia="en-AU"/>
              </w:rPr>
              <w:t>82</w:t>
            </w:r>
            <w:r>
              <w:rPr>
                <w:rFonts w:ascii="Arial" w:eastAsia="Times New Roman" w:hAnsi="Arial" w:cs="Arial"/>
                <w:b/>
                <w:bCs/>
                <w:sz w:val="20"/>
                <w:szCs w:val="20"/>
                <w:lang w:eastAsia="en-AU"/>
              </w:rPr>
              <w:t>)</w:t>
            </w:r>
          </w:p>
        </w:tc>
      </w:tr>
      <w:tr w:rsidR="000A0087" w:rsidRPr="007043E4" w:rsidTr="00F6395E">
        <w:trPr>
          <w:trHeight w:val="113"/>
        </w:trPr>
        <w:tc>
          <w:tcPr>
            <w:tcW w:w="0" w:type="auto"/>
            <w:tcBorders>
              <w:top w:val="single" w:sz="4" w:space="0" w:color="E0DCCB" w:themeColor="accent4" w:themeTint="66"/>
              <w:left w:val="nil"/>
              <w:bottom w:val="nil"/>
              <w:right w:val="nil"/>
            </w:tcBorders>
            <w:shd w:val="clear" w:color="auto" w:fill="auto"/>
            <w:vAlign w:val="center"/>
            <w:hideMark/>
          </w:tcPr>
          <w:p w:rsidR="000A0087" w:rsidRPr="007043E4" w:rsidRDefault="000A0087" w:rsidP="00C05593">
            <w:pPr>
              <w:pStyle w:val="Financials"/>
              <w:rPr>
                <w:rFonts w:ascii="Arial" w:eastAsia="Times New Roman" w:hAnsi="Arial" w:cs="Arial"/>
                <w:sz w:val="20"/>
                <w:szCs w:val="20"/>
                <w:lang w:eastAsia="en-AU"/>
              </w:rPr>
            </w:pPr>
          </w:p>
        </w:tc>
        <w:tc>
          <w:tcPr>
            <w:tcW w:w="0" w:type="auto"/>
            <w:tcBorders>
              <w:top w:val="single" w:sz="4" w:space="0" w:color="E0DCCB" w:themeColor="accent4" w:themeTint="66"/>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E0DCCB" w:themeColor="accent4" w:themeTint="66"/>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FFFFFF" w:themeColor="background1"/>
              <w:left w:val="nil"/>
              <w:bottom w:val="nil"/>
              <w:right w:val="nil"/>
            </w:tcBorders>
            <w:shd w:val="clear" w:color="auto" w:fill="E0DCCB" w:themeFill="accent4" w:themeFillTint="66"/>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E0DCCB" w:themeColor="accent4" w:themeTint="66"/>
              <w:left w:val="nil"/>
              <w:bottom w:val="nil"/>
              <w:right w:val="nil"/>
            </w:tcBorders>
            <w:shd w:val="clear" w:color="auto" w:fill="auto"/>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E0DCCB" w:themeColor="accent4" w:themeTint="66"/>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E0DCCB" w:themeColor="accent4" w:themeTint="66"/>
              <w:left w:val="nil"/>
              <w:bottom w:val="nil"/>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r>
      <w:tr w:rsidR="000A0087" w:rsidRPr="007043E4" w:rsidTr="000A0087">
        <w:trPr>
          <w:trHeight w:val="255"/>
        </w:trPr>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Income</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E0DCCB" w:themeFill="accent4" w:themeFillTint="66"/>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auto"/>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r>
      <w:tr w:rsidR="000A0087" w:rsidRPr="007043E4" w:rsidTr="000A0087">
        <w:trPr>
          <w:trHeight w:val="255"/>
        </w:trPr>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rPr>
                <w:rFonts w:ascii="Arial" w:eastAsia="Times New Roman" w:hAnsi="Arial" w:cs="Arial"/>
                <w:i/>
                <w:iCs/>
                <w:sz w:val="20"/>
                <w:szCs w:val="20"/>
                <w:lang w:eastAsia="en-AU"/>
              </w:rPr>
            </w:pPr>
            <w:r w:rsidRPr="007043E4">
              <w:rPr>
                <w:rFonts w:ascii="Arial" w:eastAsia="Times New Roman" w:hAnsi="Arial" w:cs="Arial"/>
                <w:i/>
                <w:iCs/>
                <w:sz w:val="20"/>
                <w:szCs w:val="20"/>
                <w:lang w:eastAsia="en-AU"/>
              </w:rPr>
              <w:t>Revenue</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E0DCCB" w:themeFill="accent4" w:themeFillTint="66"/>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auto"/>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r>
      <w:tr w:rsidR="000A0087" w:rsidRPr="007043E4" w:rsidTr="00F6395E">
        <w:trPr>
          <w:trHeight w:val="270"/>
        </w:trPr>
        <w:tc>
          <w:tcPr>
            <w:tcW w:w="0" w:type="auto"/>
            <w:tcBorders>
              <w:top w:val="nil"/>
              <w:left w:val="nil"/>
              <w:bottom w:val="single" w:sz="4" w:space="0" w:color="E0DCCB" w:themeColor="accent4" w:themeTint="66"/>
              <w:right w:val="nil"/>
            </w:tcBorders>
            <w:shd w:val="clear" w:color="auto" w:fill="auto"/>
            <w:vAlign w:val="center"/>
            <w:hideMark/>
          </w:tcPr>
          <w:p w:rsidR="000A0087" w:rsidRPr="007043E4" w:rsidRDefault="000A0087" w:rsidP="00C05593">
            <w:pPr>
              <w:pStyle w:val="Financials"/>
              <w:rPr>
                <w:rFonts w:ascii="Arial" w:eastAsia="Times New Roman" w:hAnsi="Arial" w:cs="Arial"/>
                <w:sz w:val="20"/>
                <w:szCs w:val="20"/>
                <w:lang w:eastAsia="en-AU"/>
              </w:rPr>
            </w:pPr>
            <w:r w:rsidRPr="007043E4">
              <w:rPr>
                <w:rFonts w:ascii="Arial" w:eastAsia="Times New Roman" w:hAnsi="Arial" w:cs="Arial"/>
                <w:sz w:val="20"/>
                <w:szCs w:val="20"/>
                <w:lang w:eastAsia="en-AU"/>
              </w:rPr>
              <w:t>Other revenue</w:t>
            </w:r>
          </w:p>
        </w:tc>
        <w:tc>
          <w:tcPr>
            <w:tcW w:w="0" w:type="auto"/>
            <w:tcBorders>
              <w:top w:val="nil"/>
              <w:left w:val="nil"/>
              <w:bottom w:val="single" w:sz="4" w:space="0" w:color="E0DCCB" w:themeColor="accent4" w:themeTint="66"/>
              <w:right w:val="nil"/>
            </w:tcBorders>
            <w:shd w:val="clear" w:color="auto" w:fill="auto"/>
            <w:vAlign w:val="center"/>
          </w:tcPr>
          <w:p w:rsidR="000A0087" w:rsidRPr="007043E4" w:rsidRDefault="00E20C70"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5,D</w:t>
            </w:r>
          </w:p>
        </w:tc>
        <w:tc>
          <w:tcPr>
            <w:tcW w:w="0" w:type="auto"/>
            <w:tcBorders>
              <w:top w:val="nil"/>
              <w:left w:val="nil"/>
              <w:bottom w:val="single" w:sz="4" w:space="0" w:color="E0DCCB" w:themeColor="accent4" w:themeTint="66"/>
              <w:right w:val="nil"/>
            </w:tcBorders>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150</w:t>
            </w:r>
          </w:p>
        </w:tc>
        <w:tc>
          <w:tcPr>
            <w:tcW w:w="0" w:type="auto"/>
            <w:tcBorders>
              <w:top w:val="nil"/>
              <w:left w:val="nil"/>
              <w:bottom w:val="single" w:sz="4" w:space="0" w:color="FFFFFF" w:themeColor="background1"/>
              <w:right w:val="nil"/>
            </w:tcBorders>
            <w:shd w:val="clear" w:color="auto" w:fill="E0DCCB" w:themeFill="accent4" w:themeFillTint="66"/>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20</w:t>
            </w:r>
          </w:p>
        </w:tc>
        <w:tc>
          <w:tcPr>
            <w:tcW w:w="0" w:type="auto"/>
            <w:tcBorders>
              <w:top w:val="nil"/>
              <w:left w:val="nil"/>
              <w:bottom w:val="single" w:sz="4" w:space="0" w:color="E0DCCB" w:themeColor="accent4" w:themeTint="66"/>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88</w:t>
            </w:r>
          </w:p>
        </w:tc>
        <w:tc>
          <w:tcPr>
            <w:tcW w:w="0" w:type="auto"/>
            <w:tcBorders>
              <w:top w:val="nil"/>
              <w:left w:val="nil"/>
              <w:bottom w:val="single" w:sz="4" w:space="0" w:color="E0DCCB" w:themeColor="accent4" w:themeTint="66"/>
              <w:right w:val="nil"/>
            </w:tcBorders>
          </w:tcPr>
          <w:p w:rsidR="000A0087" w:rsidRDefault="00E20C70"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0A0087">
              <w:rPr>
                <w:rFonts w:ascii="Arial" w:eastAsia="Times New Roman" w:hAnsi="Arial" w:cs="Arial"/>
                <w:sz w:val="20"/>
                <w:szCs w:val="20"/>
                <w:lang w:eastAsia="en-AU"/>
              </w:rPr>
              <w:t>130</w:t>
            </w:r>
            <w:r>
              <w:rPr>
                <w:rFonts w:ascii="Arial" w:eastAsia="Times New Roman" w:hAnsi="Arial" w:cs="Arial"/>
                <w:sz w:val="20"/>
                <w:szCs w:val="20"/>
                <w:lang w:eastAsia="en-AU"/>
              </w:rPr>
              <w:t>)</w:t>
            </w:r>
          </w:p>
        </w:tc>
        <w:tc>
          <w:tcPr>
            <w:tcW w:w="0" w:type="auto"/>
            <w:tcBorders>
              <w:top w:val="nil"/>
              <w:left w:val="nil"/>
              <w:bottom w:val="single" w:sz="4" w:space="0" w:color="E0DCCB" w:themeColor="accent4" w:themeTint="66"/>
              <w:right w:val="nil"/>
            </w:tcBorders>
            <w:shd w:val="clear" w:color="auto" w:fill="auto"/>
            <w:vAlign w:val="center"/>
            <w:hideMark/>
          </w:tcPr>
          <w:p w:rsidR="000A0087" w:rsidRPr="007043E4" w:rsidRDefault="000A0087" w:rsidP="00E20C7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(6</w:t>
            </w:r>
            <w:r w:rsidR="00E20C70">
              <w:rPr>
                <w:rFonts w:ascii="Arial" w:eastAsia="Times New Roman" w:hAnsi="Arial" w:cs="Arial"/>
                <w:sz w:val="20"/>
                <w:szCs w:val="20"/>
                <w:lang w:eastAsia="en-AU"/>
              </w:rPr>
              <w:t>7</w:t>
            </w:r>
            <w:r>
              <w:rPr>
                <w:rFonts w:ascii="Arial" w:eastAsia="Times New Roman" w:hAnsi="Arial" w:cs="Arial"/>
                <w:sz w:val="20"/>
                <w:szCs w:val="20"/>
                <w:lang w:eastAsia="en-AU"/>
              </w:rPr>
              <w:t>)</w:t>
            </w:r>
          </w:p>
        </w:tc>
      </w:tr>
      <w:tr w:rsidR="000A0087" w:rsidRPr="007043E4" w:rsidTr="00F6395E">
        <w:trPr>
          <w:trHeight w:val="270"/>
        </w:trPr>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7043E4" w:rsidRDefault="000A0087" w:rsidP="00C05593">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Total Revenue</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E0DCCB" w:themeColor="accent4" w:themeTint="66"/>
              <w:left w:val="nil"/>
              <w:bottom w:val="single" w:sz="4" w:space="0" w:color="E0DCCB" w:themeColor="accent4" w:themeTint="66"/>
              <w:right w:val="nil"/>
            </w:tcBorders>
          </w:tcPr>
          <w:p w:rsidR="000A0087" w:rsidRPr="005D6BC7"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fldChar w:fldCharType="begin"/>
            </w:r>
            <w:r>
              <w:rPr>
                <w:rFonts w:ascii="Arial" w:eastAsia="Times New Roman" w:hAnsi="Arial" w:cs="Arial"/>
                <w:b/>
                <w:bCs/>
                <w:sz w:val="20"/>
                <w:szCs w:val="20"/>
                <w:lang w:eastAsia="en-AU"/>
              </w:rPr>
              <w:instrText xml:space="preserve"> =SUM(ABOVE) </w:instrText>
            </w:r>
            <w:r>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150</w:t>
            </w:r>
            <w:r>
              <w:rPr>
                <w:rFonts w:ascii="Arial" w:eastAsia="Times New Roman" w:hAnsi="Arial" w:cs="Arial"/>
                <w:b/>
                <w:bCs/>
                <w:sz w:val="20"/>
                <w:szCs w:val="20"/>
                <w:lang w:eastAsia="en-AU"/>
              </w:rPr>
              <w:fldChar w:fldCharType="end"/>
            </w:r>
          </w:p>
        </w:tc>
        <w:tc>
          <w:tcPr>
            <w:tcW w:w="0" w:type="auto"/>
            <w:tcBorders>
              <w:top w:val="single" w:sz="4" w:space="0" w:color="FFFFFF" w:themeColor="background1"/>
              <w:left w:val="nil"/>
              <w:bottom w:val="single" w:sz="4" w:space="0" w:color="FFFFFF" w:themeColor="background1"/>
              <w:right w:val="nil"/>
            </w:tcBorders>
            <w:shd w:val="clear" w:color="auto" w:fill="E0DCCB" w:themeFill="accent4" w:themeFillTint="66"/>
          </w:tcPr>
          <w:p w:rsidR="000A0087" w:rsidRPr="005D6BC7"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fldChar w:fldCharType="begin"/>
            </w:r>
            <w:r>
              <w:rPr>
                <w:rFonts w:ascii="Arial" w:eastAsia="Times New Roman" w:hAnsi="Arial" w:cs="Arial"/>
                <w:b/>
                <w:bCs/>
                <w:sz w:val="20"/>
                <w:szCs w:val="20"/>
                <w:lang w:eastAsia="en-AU"/>
              </w:rPr>
              <w:instrText xml:space="preserve"> =SUM(ABOVE) </w:instrText>
            </w:r>
            <w:r>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20</w:t>
            </w:r>
            <w:r>
              <w:rPr>
                <w:rFonts w:ascii="Arial" w:eastAsia="Times New Roman" w:hAnsi="Arial" w:cs="Arial"/>
                <w:b/>
                <w:bCs/>
                <w:sz w:val="20"/>
                <w:szCs w:val="20"/>
                <w:lang w:eastAsia="en-AU"/>
              </w:rPr>
              <w:fldChar w:fldCharType="end"/>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C05593">
            <w:pPr>
              <w:pStyle w:val="Financials"/>
              <w:jc w:val="right"/>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fldChar w:fldCharType="begin"/>
            </w:r>
            <w:r w:rsidRPr="005D6BC7">
              <w:rPr>
                <w:rFonts w:ascii="Arial" w:eastAsia="Times New Roman" w:hAnsi="Arial" w:cs="Arial"/>
                <w:b/>
                <w:bCs/>
                <w:sz w:val="20"/>
                <w:szCs w:val="20"/>
                <w:lang w:eastAsia="en-AU"/>
              </w:rPr>
              <w:instrText xml:space="preserve"> =SUM(ABOVE) </w:instrText>
            </w:r>
            <w:r w:rsidRPr="005D6BC7">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88</w:t>
            </w:r>
            <w:r w:rsidRPr="005D6BC7">
              <w:rPr>
                <w:rFonts w:ascii="Arial" w:eastAsia="Times New Roman" w:hAnsi="Arial" w:cs="Arial"/>
                <w:b/>
                <w:bCs/>
                <w:sz w:val="20"/>
                <w:szCs w:val="20"/>
                <w:lang w:eastAsia="en-AU"/>
              </w:rPr>
              <w:fldChar w:fldCharType="end"/>
            </w:r>
          </w:p>
        </w:tc>
        <w:tc>
          <w:tcPr>
            <w:tcW w:w="0" w:type="auto"/>
            <w:tcBorders>
              <w:top w:val="single" w:sz="4" w:space="0" w:color="E0DCCB" w:themeColor="accent4" w:themeTint="66"/>
              <w:left w:val="nil"/>
              <w:bottom w:val="single" w:sz="4" w:space="0" w:color="E0DCCB" w:themeColor="accent4" w:themeTint="66"/>
              <w:right w:val="nil"/>
            </w:tcBorders>
          </w:tcPr>
          <w:p w:rsidR="000A0087" w:rsidRPr="007043E4" w:rsidRDefault="00E20C70"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w:t>
            </w:r>
            <w:r w:rsidR="000A0087">
              <w:rPr>
                <w:rFonts w:ascii="Arial" w:eastAsia="Times New Roman" w:hAnsi="Arial" w:cs="Arial"/>
                <w:b/>
                <w:bCs/>
                <w:sz w:val="20"/>
                <w:szCs w:val="20"/>
                <w:lang w:eastAsia="en-AU"/>
              </w:rPr>
              <w:fldChar w:fldCharType="begin"/>
            </w:r>
            <w:r w:rsidR="000A0087">
              <w:rPr>
                <w:rFonts w:ascii="Arial" w:eastAsia="Times New Roman" w:hAnsi="Arial" w:cs="Arial"/>
                <w:b/>
                <w:bCs/>
                <w:sz w:val="20"/>
                <w:szCs w:val="20"/>
                <w:lang w:eastAsia="en-AU"/>
              </w:rPr>
              <w:instrText xml:space="preserve"> =SUM(ABOVE) </w:instrText>
            </w:r>
            <w:r w:rsidR="000A0087">
              <w:rPr>
                <w:rFonts w:ascii="Arial" w:eastAsia="Times New Roman" w:hAnsi="Arial" w:cs="Arial"/>
                <w:b/>
                <w:bCs/>
                <w:sz w:val="20"/>
                <w:szCs w:val="20"/>
                <w:lang w:eastAsia="en-AU"/>
              </w:rPr>
              <w:fldChar w:fldCharType="separate"/>
            </w:r>
            <w:r w:rsidR="000A0087">
              <w:rPr>
                <w:rFonts w:ascii="Arial" w:eastAsia="Times New Roman" w:hAnsi="Arial" w:cs="Arial"/>
                <w:b/>
                <w:bCs/>
                <w:noProof/>
                <w:sz w:val="20"/>
                <w:szCs w:val="20"/>
                <w:lang w:eastAsia="en-AU"/>
              </w:rPr>
              <w:t>130</w:t>
            </w:r>
            <w:r w:rsidR="000A0087">
              <w:rPr>
                <w:rFonts w:ascii="Arial" w:eastAsia="Times New Roman" w:hAnsi="Arial" w:cs="Arial"/>
                <w:b/>
                <w:bCs/>
                <w:sz w:val="20"/>
                <w:szCs w:val="20"/>
                <w:lang w:eastAsia="en-AU"/>
              </w:rPr>
              <w:fldChar w:fldCharType="end"/>
            </w:r>
            <w:r>
              <w:rPr>
                <w:rFonts w:ascii="Arial" w:eastAsia="Times New Roman" w:hAnsi="Arial" w:cs="Arial"/>
                <w:b/>
                <w:bCs/>
                <w:sz w:val="20"/>
                <w:szCs w:val="20"/>
                <w:lang w:eastAsia="en-AU"/>
              </w:rPr>
              <w:t>)</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7043E4" w:rsidRDefault="000A0087" w:rsidP="00E20C7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(6</w:t>
            </w:r>
            <w:r w:rsidR="00E20C70">
              <w:rPr>
                <w:rFonts w:ascii="Arial" w:eastAsia="Times New Roman" w:hAnsi="Arial" w:cs="Arial"/>
                <w:b/>
                <w:bCs/>
                <w:sz w:val="20"/>
                <w:szCs w:val="20"/>
                <w:lang w:eastAsia="en-AU"/>
              </w:rPr>
              <w:t>7</w:t>
            </w:r>
            <w:r>
              <w:rPr>
                <w:rFonts w:ascii="Arial" w:eastAsia="Times New Roman" w:hAnsi="Arial" w:cs="Arial"/>
                <w:b/>
                <w:bCs/>
                <w:sz w:val="20"/>
                <w:szCs w:val="20"/>
                <w:lang w:eastAsia="en-AU"/>
              </w:rPr>
              <w:t>)</w:t>
            </w:r>
          </w:p>
        </w:tc>
      </w:tr>
      <w:tr w:rsidR="000A0087" w:rsidRPr="007043E4" w:rsidTr="00F6395E">
        <w:trPr>
          <w:trHeight w:val="255"/>
        </w:trPr>
        <w:tc>
          <w:tcPr>
            <w:tcW w:w="0" w:type="auto"/>
            <w:tcBorders>
              <w:top w:val="nil"/>
              <w:left w:val="nil"/>
              <w:right w:val="nil"/>
            </w:tcBorders>
            <w:shd w:val="clear" w:color="auto" w:fill="auto"/>
            <w:vAlign w:val="center"/>
            <w:hideMark/>
          </w:tcPr>
          <w:p w:rsidR="000A0087" w:rsidRPr="007043E4" w:rsidRDefault="000A0087" w:rsidP="00C05593">
            <w:pPr>
              <w:pStyle w:val="Financials"/>
              <w:rPr>
                <w:rFonts w:ascii="Arial" w:eastAsia="Times New Roman" w:hAnsi="Arial" w:cs="Arial"/>
                <w:i/>
                <w:iCs/>
                <w:sz w:val="20"/>
                <w:szCs w:val="20"/>
                <w:lang w:eastAsia="en-AU"/>
              </w:rPr>
            </w:pPr>
            <w:r w:rsidRPr="007043E4">
              <w:rPr>
                <w:rFonts w:ascii="Arial" w:eastAsia="Times New Roman" w:hAnsi="Arial" w:cs="Arial"/>
                <w:i/>
                <w:iCs/>
                <w:sz w:val="20"/>
                <w:szCs w:val="20"/>
                <w:lang w:eastAsia="en-AU"/>
              </w:rPr>
              <w:t>Gains</w:t>
            </w:r>
          </w:p>
        </w:tc>
        <w:tc>
          <w:tcPr>
            <w:tcW w:w="0" w:type="auto"/>
            <w:tcBorders>
              <w:top w:val="nil"/>
              <w:left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E0DCCB" w:themeColor="accent4" w:themeTint="66"/>
              <w:left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right w:val="nil"/>
            </w:tcBorders>
            <w:shd w:val="clear" w:color="auto" w:fill="E0DCCB" w:themeFill="accent4" w:themeFillTint="66"/>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E0DCCB" w:themeColor="accent4" w:themeTint="66"/>
              <w:left w:val="nil"/>
              <w:right w:val="nil"/>
            </w:tcBorders>
            <w:shd w:val="clear" w:color="auto" w:fill="auto"/>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r>
      <w:tr w:rsidR="000A0087" w:rsidRPr="007043E4" w:rsidTr="005804A8">
        <w:trPr>
          <w:trHeight w:val="270"/>
        </w:trPr>
        <w:tc>
          <w:tcPr>
            <w:tcW w:w="0" w:type="auto"/>
            <w:tcBorders>
              <w:top w:val="nil"/>
              <w:left w:val="nil"/>
              <w:bottom w:val="single" w:sz="4" w:space="0" w:color="E0DCCB" w:themeColor="accent4" w:themeTint="66"/>
              <w:right w:val="nil"/>
            </w:tcBorders>
            <w:shd w:val="clear" w:color="auto" w:fill="auto"/>
            <w:hideMark/>
          </w:tcPr>
          <w:p w:rsidR="000A0087" w:rsidRPr="007043E4" w:rsidRDefault="000A0087" w:rsidP="005804A8">
            <w:pPr>
              <w:pStyle w:val="Financials"/>
              <w:rPr>
                <w:rFonts w:ascii="Arial" w:eastAsia="Times New Roman" w:hAnsi="Arial" w:cs="Arial"/>
                <w:sz w:val="20"/>
                <w:szCs w:val="20"/>
                <w:lang w:eastAsia="en-AU"/>
              </w:rPr>
            </w:pPr>
            <w:r w:rsidRPr="007043E4">
              <w:rPr>
                <w:rFonts w:ascii="Arial" w:eastAsia="Times New Roman" w:hAnsi="Arial" w:cs="Arial"/>
                <w:sz w:val="20"/>
                <w:szCs w:val="20"/>
                <w:lang w:eastAsia="en-AU"/>
              </w:rPr>
              <w:t>Gain on disposal of non-current assets</w:t>
            </w:r>
          </w:p>
        </w:tc>
        <w:tc>
          <w:tcPr>
            <w:tcW w:w="0" w:type="auto"/>
            <w:tcBorders>
              <w:top w:val="nil"/>
              <w:left w:val="nil"/>
              <w:bottom w:val="single" w:sz="4" w:space="0" w:color="E0DCCB" w:themeColor="accent4" w:themeTint="66"/>
              <w:right w:val="nil"/>
            </w:tcBorders>
            <w:shd w:val="clear" w:color="auto" w:fill="auto"/>
          </w:tcPr>
          <w:p w:rsidR="000A0087" w:rsidRPr="007043E4" w:rsidRDefault="000A0087" w:rsidP="005804A8">
            <w:pPr>
              <w:pStyle w:val="Financials"/>
              <w:jc w:val="right"/>
              <w:rPr>
                <w:rFonts w:ascii="Arial" w:eastAsia="Times New Roman" w:hAnsi="Arial" w:cs="Arial"/>
                <w:sz w:val="20"/>
                <w:szCs w:val="20"/>
                <w:lang w:eastAsia="en-AU"/>
              </w:rPr>
            </w:pPr>
          </w:p>
        </w:tc>
        <w:tc>
          <w:tcPr>
            <w:tcW w:w="0" w:type="auto"/>
            <w:tcBorders>
              <w:top w:val="nil"/>
              <w:left w:val="nil"/>
              <w:bottom w:val="single" w:sz="4" w:space="0" w:color="E0DCCB" w:themeColor="accent4" w:themeTint="66"/>
              <w:right w:val="nil"/>
            </w:tcBorders>
          </w:tcPr>
          <w:p w:rsidR="000A0087" w:rsidRPr="005D6BC7"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0" w:type="auto"/>
            <w:tcBorders>
              <w:top w:val="nil"/>
              <w:left w:val="nil"/>
              <w:bottom w:val="single" w:sz="4" w:space="0" w:color="FFFFFF" w:themeColor="background1"/>
              <w:right w:val="nil"/>
            </w:tcBorders>
            <w:shd w:val="clear" w:color="auto" w:fill="E0DCCB" w:themeFill="accent4" w:themeFillTint="66"/>
          </w:tcPr>
          <w:p w:rsidR="000A0087" w:rsidRPr="005D6BC7"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9</w:t>
            </w:r>
          </w:p>
        </w:tc>
        <w:tc>
          <w:tcPr>
            <w:tcW w:w="0" w:type="auto"/>
            <w:tcBorders>
              <w:top w:val="nil"/>
              <w:left w:val="nil"/>
              <w:bottom w:val="single" w:sz="4" w:space="0" w:color="E0DCCB" w:themeColor="accent4" w:themeTint="66"/>
              <w:right w:val="nil"/>
            </w:tcBorders>
            <w:shd w:val="clear" w:color="auto" w:fill="auto"/>
          </w:tcPr>
          <w:p w:rsidR="000A0087" w:rsidRPr="007043E4" w:rsidRDefault="000A0087" w:rsidP="005804A8">
            <w:pPr>
              <w:pStyle w:val="Financials"/>
              <w:jc w:val="right"/>
              <w:rPr>
                <w:rFonts w:ascii="Arial" w:eastAsia="Times New Roman" w:hAnsi="Arial" w:cs="Arial"/>
                <w:sz w:val="20"/>
                <w:szCs w:val="20"/>
                <w:lang w:eastAsia="en-AU"/>
              </w:rPr>
            </w:pPr>
            <w:r w:rsidRPr="005D6BC7">
              <w:rPr>
                <w:rFonts w:ascii="Arial" w:eastAsia="Times New Roman" w:hAnsi="Arial" w:cs="Arial"/>
                <w:sz w:val="20"/>
                <w:szCs w:val="20"/>
                <w:lang w:eastAsia="en-AU"/>
              </w:rPr>
              <w:t>-</w:t>
            </w:r>
          </w:p>
        </w:tc>
        <w:tc>
          <w:tcPr>
            <w:tcW w:w="0" w:type="auto"/>
            <w:tcBorders>
              <w:top w:val="nil"/>
              <w:left w:val="nil"/>
              <w:bottom w:val="single" w:sz="4" w:space="0" w:color="E0DCCB" w:themeColor="accent4" w:themeTint="66"/>
              <w:right w:val="nil"/>
            </w:tcBorders>
          </w:tcPr>
          <w:p w:rsidR="000A0087" w:rsidRDefault="000A0087" w:rsidP="00E20C7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9</w:t>
            </w:r>
          </w:p>
        </w:tc>
        <w:tc>
          <w:tcPr>
            <w:tcW w:w="0" w:type="auto"/>
            <w:tcBorders>
              <w:top w:val="nil"/>
              <w:left w:val="nil"/>
              <w:bottom w:val="single" w:sz="4" w:space="0" w:color="E0DCCB" w:themeColor="accent4" w:themeTint="66"/>
              <w:right w:val="nil"/>
            </w:tcBorders>
            <w:shd w:val="clear" w:color="auto" w:fill="auto"/>
            <w:hideMark/>
          </w:tcPr>
          <w:p w:rsidR="000A0087" w:rsidRPr="007043E4"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9</w:t>
            </w:r>
          </w:p>
        </w:tc>
      </w:tr>
      <w:tr w:rsidR="000A0087" w:rsidRPr="007043E4" w:rsidTr="00F6395E">
        <w:trPr>
          <w:trHeight w:val="270"/>
        </w:trPr>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7043E4" w:rsidRDefault="000A0087" w:rsidP="00C05593">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Total Gains</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E0DCCB" w:themeColor="accent4" w:themeTint="66"/>
              <w:left w:val="nil"/>
              <w:bottom w:val="single" w:sz="4" w:space="0" w:color="E0DCCB" w:themeColor="accent4" w:themeTint="66"/>
              <w:right w:val="nil"/>
            </w:tcBorders>
          </w:tcPr>
          <w:p w:rsidR="000A0087" w:rsidRPr="005D6BC7"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w:t>
            </w:r>
          </w:p>
        </w:tc>
        <w:tc>
          <w:tcPr>
            <w:tcW w:w="0" w:type="auto"/>
            <w:tcBorders>
              <w:top w:val="single" w:sz="4" w:space="0" w:color="FFFFFF" w:themeColor="background1"/>
              <w:left w:val="nil"/>
              <w:bottom w:val="single" w:sz="4" w:space="0" w:color="FFFFFF" w:themeColor="background1"/>
              <w:right w:val="nil"/>
            </w:tcBorders>
            <w:shd w:val="clear" w:color="auto" w:fill="E0DCCB" w:themeFill="accent4" w:themeFillTint="66"/>
          </w:tcPr>
          <w:p w:rsidR="000A0087" w:rsidRPr="005D6BC7"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9</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C05593">
            <w:pPr>
              <w:pStyle w:val="Financials"/>
              <w:jc w:val="right"/>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t>-</w:t>
            </w:r>
          </w:p>
        </w:tc>
        <w:tc>
          <w:tcPr>
            <w:tcW w:w="0" w:type="auto"/>
            <w:tcBorders>
              <w:top w:val="single" w:sz="4" w:space="0" w:color="E0DCCB" w:themeColor="accent4" w:themeTint="66"/>
              <w:left w:val="nil"/>
              <w:bottom w:val="single" w:sz="4" w:space="0" w:color="E0DCCB" w:themeColor="accent4" w:themeTint="66"/>
              <w:right w:val="nil"/>
            </w:tcBorders>
          </w:tcPr>
          <w:p w:rsidR="000A0087" w:rsidRDefault="000A0087" w:rsidP="00E20C7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9</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9</w:t>
            </w:r>
          </w:p>
        </w:tc>
      </w:tr>
      <w:tr w:rsidR="000A0087" w:rsidRPr="007043E4" w:rsidTr="005804A8">
        <w:trPr>
          <w:trHeight w:val="270"/>
        </w:trPr>
        <w:tc>
          <w:tcPr>
            <w:tcW w:w="0" w:type="auto"/>
            <w:tcBorders>
              <w:top w:val="single" w:sz="4" w:space="0" w:color="E0DCCB" w:themeColor="accent4" w:themeTint="66"/>
              <w:left w:val="nil"/>
              <w:bottom w:val="single" w:sz="4" w:space="0" w:color="E0DCCB" w:themeColor="accent4" w:themeTint="66"/>
              <w:right w:val="nil"/>
            </w:tcBorders>
            <w:shd w:val="clear" w:color="auto" w:fill="auto"/>
            <w:hideMark/>
          </w:tcPr>
          <w:p w:rsidR="000A0087" w:rsidRPr="007043E4" w:rsidRDefault="000A0087" w:rsidP="005804A8">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Total income other than income from State Government</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tcPr>
          <w:p w:rsidR="000A0087" w:rsidRPr="007043E4" w:rsidRDefault="000A0087" w:rsidP="005804A8">
            <w:pPr>
              <w:pStyle w:val="Financials"/>
              <w:jc w:val="right"/>
              <w:rPr>
                <w:rFonts w:ascii="Arial" w:eastAsia="Times New Roman" w:hAnsi="Arial" w:cs="Arial"/>
                <w:sz w:val="20"/>
                <w:szCs w:val="20"/>
                <w:lang w:eastAsia="en-AU"/>
              </w:rPr>
            </w:pPr>
          </w:p>
        </w:tc>
        <w:tc>
          <w:tcPr>
            <w:tcW w:w="0" w:type="auto"/>
            <w:tcBorders>
              <w:top w:val="single" w:sz="4" w:space="0" w:color="E0DCCB" w:themeColor="accent4" w:themeTint="66"/>
              <w:left w:val="nil"/>
              <w:bottom w:val="single" w:sz="4" w:space="0" w:color="E0DCCB" w:themeColor="accent4" w:themeTint="66"/>
              <w:right w:val="nil"/>
            </w:tcBorders>
          </w:tcPr>
          <w:p w:rsidR="000A0087" w:rsidRDefault="000A0087" w:rsidP="005804A8">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150</w:t>
            </w:r>
          </w:p>
        </w:tc>
        <w:tc>
          <w:tcPr>
            <w:tcW w:w="0" w:type="auto"/>
            <w:tcBorders>
              <w:top w:val="single" w:sz="4" w:space="0" w:color="FFFFFF" w:themeColor="background1"/>
              <w:left w:val="nil"/>
              <w:bottom w:val="single" w:sz="4" w:space="0" w:color="FFFFFF" w:themeColor="background1"/>
              <w:right w:val="nil"/>
            </w:tcBorders>
            <w:shd w:val="clear" w:color="auto" w:fill="E0DCCB" w:themeFill="accent4" w:themeFillTint="66"/>
          </w:tcPr>
          <w:p w:rsidR="000A0087" w:rsidRDefault="000A0087" w:rsidP="005804A8">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29</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tcPr>
          <w:p w:rsidR="000A0087" w:rsidRPr="007043E4" w:rsidRDefault="00E20C70" w:rsidP="005804A8">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88</w:t>
            </w:r>
          </w:p>
        </w:tc>
        <w:tc>
          <w:tcPr>
            <w:tcW w:w="0" w:type="auto"/>
            <w:tcBorders>
              <w:top w:val="single" w:sz="4" w:space="0" w:color="E0DCCB" w:themeColor="accent4" w:themeTint="66"/>
              <w:left w:val="nil"/>
              <w:bottom w:val="single" w:sz="4" w:space="0" w:color="E0DCCB" w:themeColor="accent4" w:themeTint="66"/>
              <w:right w:val="nil"/>
            </w:tcBorders>
          </w:tcPr>
          <w:p w:rsidR="000A0087" w:rsidRDefault="00E20C70" w:rsidP="005804A8">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w:t>
            </w:r>
            <w:r w:rsidR="000A0087">
              <w:rPr>
                <w:rFonts w:ascii="Arial" w:eastAsia="Times New Roman" w:hAnsi="Arial" w:cs="Arial"/>
                <w:b/>
                <w:bCs/>
                <w:sz w:val="20"/>
                <w:szCs w:val="20"/>
                <w:lang w:eastAsia="en-AU"/>
              </w:rPr>
              <w:t>121</w:t>
            </w:r>
            <w:r>
              <w:rPr>
                <w:rFonts w:ascii="Arial" w:eastAsia="Times New Roman" w:hAnsi="Arial" w:cs="Arial"/>
                <w:b/>
                <w:bCs/>
                <w:sz w:val="20"/>
                <w:szCs w:val="20"/>
                <w:lang w:eastAsia="en-AU"/>
              </w:rPr>
              <w:t>)</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hideMark/>
          </w:tcPr>
          <w:p w:rsidR="000A0087" w:rsidRPr="007043E4" w:rsidRDefault="00E20C70" w:rsidP="005804A8">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58</w:t>
            </w:r>
          </w:p>
        </w:tc>
      </w:tr>
      <w:tr w:rsidR="000A0087" w:rsidRPr="007043E4" w:rsidTr="00E20C70">
        <w:trPr>
          <w:trHeight w:val="270"/>
        </w:trPr>
        <w:tc>
          <w:tcPr>
            <w:tcW w:w="0" w:type="auto"/>
            <w:tcBorders>
              <w:top w:val="single" w:sz="4" w:space="0" w:color="E0DCCB" w:themeColor="accent4" w:themeTint="66"/>
              <w:left w:val="nil"/>
              <w:bottom w:val="single" w:sz="4" w:space="0" w:color="B2A97E" w:themeColor="accent4"/>
              <w:right w:val="nil"/>
            </w:tcBorders>
            <w:shd w:val="clear" w:color="auto" w:fill="auto"/>
            <w:vAlign w:val="center"/>
            <w:hideMark/>
          </w:tcPr>
          <w:p w:rsidR="000A0087" w:rsidRPr="007043E4" w:rsidRDefault="000A0087" w:rsidP="00E20C70">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NET COST OF SERVICES</w:t>
            </w:r>
          </w:p>
        </w:tc>
        <w:tc>
          <w:tcPr>
            <w:tcW w:w="0" w:type="auto"/>
            <w:tcBorders>
              <w:top w:val="single" w:sz="4" w:space="0" w:color="E0DCCB" w:themeColor="accent4" w:themeTint="66"/>
              <w:left w:val="nil"/>
              <w:bottom w:val="single" w:sz="4" w:space="0" w:color="B2A97E" w:themeColor="accent4"/>
              <w:right w:val="nil"/>
            </w:tcBorders>
            <w:shd w:val="clear" w:color="auto" w:fill="auto"/>
            <w:vAlign w:val="center"/>
          </w:tcPr>
          <w:p w:rsidR="000A0087" w:rsidRPr="007043E4" w:rsidRDefault="000A0087" w:rsidP="00E20C70">
            <w:pPr>
              <w:pStyle w:val="Financials"/>
              <w:rPr>
                <w:rFonts w:ascii="Arial" w:eastAsia="Times New Roman" w:hAnsi="Arial" w:cs="Arial"/>
                <w:sz w:val="20"/>
                <w:szCs w:val="20"/>
                <w:lang w:eastAsia="en-AU"/>
              </w:rPr>
            </w:pPr>
          </w:p>
        </w:tc>
        <w:tc>
          <w:tcPr>
            <w:tcW w:w="0" w:type="auto"/>
            <w:tcBorders>
              <w:top w:val="single" w:sz="4" w:space="0" w:color="E0DCCB" w:themeColor="accent4" w:themeTint="66"/>
              <w:left w:val="nil"/>
              <w:bottom w:val="single" w:sz="4" w:space="0" w:color="B2A97E" w:themeColor="accent4"/>
              <w:right w:val="nil"/>
            </w:tcBorders>
            <w:vAlign w:val="center"/>
          </w:tcPr>
          <w:p w:rsidR="000A0087" w:rsidRDefault="000A0087" w:rsidP="00E20C7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14,797</w:t>
            </w:r>
          </w:p>
        </w:tc>
        <w:tc>
          <w:tcPr>
            <w:tcW w:w="0" w:type="auto"/>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0A0087" w:rsidRDefault="000A0087" w:rsidP="00E20C7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14,531</w:t>
            </w:r>
          </w:p>
        </w:tc>
        <w:tc>
          <w:tcPr>
            <w:tcW w:w="0" w:type="auto"/>
            <w:tcBorders>
              <w:top w:val="single" w:sz="4" w:space="0" w:color="E0DCCB" w:themeColor="accent4" w:themeTint="66"/>
              <w:left w:val="nil"/>
              <w:bottom w:val="single" w:sz="4" w:space="0" w:color="B2A97E" w:themeColor="accent4"/>
              <w:right w:val="nil"/>
            </w:tcBorders>
            <w:shd w:val="clear" w:color="auto" w:fill="auto"/>
            <w:vAlign w:val="center"/>
          </w:tcPr>
          <w:p w:rsidR="000A0087" w:rsidRPr="007043E4" w:rsidRDefault="000A0087" w:rsidP="00E20C70">
            <w:pPr>
              <w:pStyle w:val="Financials"/>
              <w:jc w:val="right"/>
              <w:rPr>
                <w:rFonts w:ascii="Arial" w:eastAsia="Times New Roman" w:hAnsi="Arial" w:cs="Arial"/>
                <w:b/>
                <w:bCs/>
                <w:sz w:val="20"/>
                <w:szCs w:val="20"/>
                <w:highlight w:val="yellow"/>
                <w:lang w:eastAsia="en-AU"/>
              </w:rPr>
            </w:pPr>
            <w:r>
              <w:rPr>
                <w:rFonts w:ascii="Arial" w:eastAsia="Times New Roman" w:hAnsi="Arial" w:cs="Arial"/>
                <w:b/>
                <w:bCs/>
                <w:sz w:val="20"/>
                <w:szCs w:val="20"/>
                <w:lang w:eastAsia="en-AU"/>
              </w:rPr>
              <w:t>15,955</w:t>
            </w:r>
          </w:p>
        </w:tc>
        <w:tc>
          <w:tcPr>
            <w:tcW w:w="0" w:type="auto"/>
            <w:tcBorders>
              <w:top w:val="single" w:sz="4" w:space="0" w:color="E0DCCB" w:themeColor="accent4" w:themeTint="66"/>
              <w:left w:val="nil"/>
              <w:bottom w:val="single" w:sz="4" w:space="0" w:color="B2A97E" w:themeColor="accent4"/>
              <w:right w:val="nil"/>
            </w:tcBorders>
            <w:vAlign w:val="center"/>
          </w:tcPr>
          <w:p w:rsidR="000A0087" w:rsidRDefault="00A753FA" w:rsidP="00E20C7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(266)</w:t>
            </w:r>
          </w:p>
        </w:tc>
        <w:tc>
          <w:tcPr>
            <w:tcW w:w="0" w:type="auto"/>
            <w:tcBorders>
              <w:top w:val="single" w:sz="4" w:space="0" w:color="E0DCCB" w:themeColor="accent4" w:themeTint="66"/>
              <w:left w:val="nil"/>
              <w:bottom w:val="single" w:sz="4" w:space="0" w:color="B2A97E" w:themeColor="accent4"/>
              <w:right w:val="nil"/>
            </w:tcBorders>
            <w:shd w:val="clear" w:color="auto" w:fill="auto"/>
            <w:vAlign w:val="center"/>
            <w:hideMark/>
          </w:tcPr>
          <w:p w:rsidR="000A0087" w:rsidRPr="007043E4" w:rsidRDefault="000A0087" w:rsidP="00A753FA">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w:t>
            </w:r>
            <w:r w:rsidR="00A753FA">
              <w:rPr>
                <w:rFonts w:ascii="Arial" w:eastAsia="Times New Roman" w:hAnsi="Arial" w:cs="Arial"/>
                <w:b/>
                <w:bCs/>
                <w:sz w:val="20"/>
                <w:szCs w:val="20"/>
                <w:lang w:eastAsia="en-AU"/>
              </w:rPr>
              <w:t>424</w:t>
            </w:r>
            <w:r>
              <w:rPr>
                <w:rFonts w:ascii="Arial" w:eastAsia="Times New Roman" w:hAnsi="Arial" w:cs="Arial"/>
                <w:b/>
                <w:bCs/>
                <w:sz w:val="20"/>
                <w:szCs w:val="20"/>
                <w:lang w:eastAsia="en-AU"/>
              </w:rPr>
              <w:t>)</w:t>
            </w:r>
          </w:p>
        </w:tc>
      </w:tr>
      <w:tr w:rsidR="000A0087" w:rsidRPr="007043E4" w:rsidTr="000A0087">
        <w:trPr>
          <w:trHeight w:val="270"/>
        </w:trPr>
        <w:tc>
          <w:tcPr>
            <w:tcW w:w="0" w:type="auto"/>
            <w:tcBorders>
              <w:top w:val="single" w:sz="4" w:space="0" w:color="B2A97E" w:themeColor="accent4"/>
              <w:left w:val="nil"/>
              <w:bottom w:val="nil"/>
              <w:right w:val="nil"/>
            </w:tcBorders>
            <w:shd w:val="clear" w:color="auto" w:fill="auto"/>
            <w:vAlign w:val="center"/>
            <w:hideMark/>
          </w:tcPr>
          <w:p w:rsidR="000A0087" w:rsidRPr="007043E4" w:rsidRDefault="000A0087" w:rsidP="00C05593">
            <w:pPr>
              <w:pStyle w:val="Financials"/>
              <w:rPr>
                <w:rFonts w:ascii="Arial" w:eastAsia="Times New Roman" w:hAnsi="Arial" w:cs="Arial"/>
                <w:sz w:val="20"/>
                <w:szCs w:val="20"/>
                <w:lang w:eastAsia="en-AU"/>
              </w:rPr>
            </w:pPr>
          </w:p>
        </w:tc>
        <w:tc>
          <w:tcPr>
            <w:tcW w:w="0" w:type="auto"/>
            <w:tcBorders>
              <w:top w:val="single" w:sz="4" w:space="0" w:color="B2A97E" w:themeColor="accent4"/>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B2A97E" w:themeColor="accent4"/>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B2A97E" w:themeColor="accent4"/>
              <w:left w:val="nil"/>
              <w:bottom w:val="nil"/>
              <w:right w:val="nil"/>
            </w:tcBorders>
            <w:shd w:val="clear" w:color="auto" w:fill="E0DCCB" w:themeFill="accent4" w:themeFillTint="66"/>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B2A97E" w:themeColor="accent4"/>
              <w:left w:val="nil"/>
              <w:bottom w:val="nil"/>
              <w:right w:val="nil"/>
            </w:tcBorders>
            <w:shd w:val="clear" w:color="auto" w:fill="auto"/>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B2A97E" w:themeColor="accent4"/>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B2A97E" w:themeColor="accent4"/>
              <w:left w:val="nil"/>
              <w:bottom w:val="nil"/>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r>
      <w:tr w:rsidR="000A0087" w:rsidRPr="007043E4" w:rsidTr="000A0087">
        <w:trPr>
          <w:trHeight w:val="255"/>
        </w:trPr>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Income from State Government</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E0DCCB" w:themeFill="accent4" w:themeFillTint="66"/>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auto"/>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r>
      <w:tr w:rsidR="000A0087" w:rsidRPr="007043E4" w:rsidTr="000A0087">
        <w:trPr>
          <w:trHeight w:val="255"/>
        </w:trPr>
        <w:tc>
          <w:tcPr>
            <w:tcW w:w="0" w:type="auto"/>
            <w:tcBorders>
              <w:top w:val="nil"/>
              <w:left w:val="nil"/>
              <w:bottom w:val="nil"/>
              <w:right w:val="nil"/>
            </w:tcBorders>
            <w:shd w:val="clear" w:color="auto" w:fill="auto"/>
            <w:vAlign w:val="center"/>
            <w:hideMark/>
          </w:tcPr>
          <w:p w:rsidR="000A0087" w:rsidRPr="00C05593" w:rsidRDefault="000A0087" w:rsidP="00C05593">
            <w:pPr>
              <w:pStyle w:val="Financials"/>
              <w:rPr>
                <w:sz w:val="20"/>
                <w:szCs w:val="20"/>
              </w:rPr>
            </w:pPr>
            <w:r w:rsidRPr="00C05593">
              <w:rPr>
                <w:sz w:val="20"/>
                <w:szCs w:val="20"/>
              </w:rPr>
              <w:t>Service appropriation</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nil"/>
              <w:left w:val="nil"/>
              <w:bottom w:val="nil"/>
              <w:right w:val="nil"/>
            </w:tcBorders>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14,725</w:t>
            </w:r>
          </w:p>
        </w:tc>
        <w:tc>
          <w:tcPr>
            <w:tcW w:w="0" w:type="auto"/>
            <w:tcBorders>
              <w:top w:val="nil"/>
              <w:left w:val="nil"/>
              <w:bottom w:val="nil"/>
              <w:right w:val="nil"/>
            </w:tcBorders>
            <w:shd w:val="clear" w:color="auto" w:fill="E0DCCB" w:themeFill="accent4" w:themeFillTint="66"/>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14,996</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14,533</w:t>
            </w:r>
          </w:p>
        </w:tc>
        <w:tc>
          <w:tcPr>
            <w:tcW w:w="0" w:type="auto"/>
            <w:tcBorders>
              <w:top w:val="nil"/>
              <w:left w:val="nil"/>
              <w:bottom w:val="nil"/>
              <w:right w:val="nil"/>
            </w:tcBorders>
          </w:tcPr>
          <w:p w:rsidR="000A0087" w:rsidRDefault="000A0087" w:rsidP="00A753FA">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271</w:t>
            </w:r>
          </w:p>
        </w:tc>
        <w:tc>
          <w:tcPr>
            <w:tcW w:w="0" w:type="auto"/>
            <w:tcBorders>
              <w:top w:val="nil"/>
              <w:left w:val="nil"/>
              <w:bottom w:val="nil"/>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463</w:t>
            </w:r>
          </w:p>
        </w:tc>
      </w:tr>
      <w:tr w:rsidR="000A0087" w:rsidRPr="007043E4" w:rsidTr="005804A8">
        <w:trPr>
          <w:trHeight w:val="255"/>
        </w:trPr>
        <w:tc>
          <w:tcPr>
            <w:tcW w:w="0" w:type="auto"/>
            <w:tcBorders>
              <w:top w:val="nil"/>
              <w:left w:val="nil"/>
              <w:right w:val="nil"/>
            </w:tcBorders>
            <w:shd w:val="clear" w:color="auto" w:fill="auto"/>
            <w:hideMark/>
          </w:tcPr>
          <w:p w:rsidR="000A0087" w:rsidRPr="00C05593" w:rsidRDefault="000A0087" w:rsidP="005804A8">
            <w:pPr>
              <w:pStyle w:val="Financials"/>
              <w:rPr>
                <w:sz w:val="20"/>
                <w:szCs w:val="20"/>
              </w:rPr>
            </w:pPr>
            <w:r w:rsidRPr="00C05593">
              <w:rPr>
                <w:sz w:val="20"/>
                <w:szCs w:val="20"/>
              </w:rPr>
              <w:t>Services received free of charge</w:t>
            </w:r>
          </w:p>
        </w:tc>
        <w:tc>
          <w:tcPr>
            <w:tcW w:w="0" w:type="auto"/>
            <w:tcBorders>
              <w:top w:val="nil"/>
              <w:left w:val="nil"/>
              <w:right w:val="nil"/>
            </w:tcBorders>
            <w:shd w:val="clear" w:color="auto" w:fill="auto"/>
            <w:hideMark/>
          </w:tcPr>
          <w:p w:rsidR="000A0087" w:rsidRPr="007043E4" w:rsidRDefault="000A0087" w:rsidP="005804A8">
            <w:pPr>
              <w:pStyle w:val="Financials"/>
              <w:jc w:val="right"/>
              <w:rPr>
                <w:rFonts w:ascii="Arial" w:eastAsia="Times New Roman" w:hAnsi="Arial" w:cs="Arial"/>
                <w:sz w:val="20"/>
                <w:szCs w:val="20"/>
                <w:lang w:eastAsia="en-AU"/>
              </w:rPr>
            </w:pPr>
          </w:p>
        </w:tc>
        <w:tc>
          <w:tcPr>
            <w:tcW w:w="0" w:type="auto"/>
            <w:tcBorders>
              <w:top w:val="nil"/>
              <w:left w:val="nil"/>
              <w:right w:val="nil"/>
            </w:tcBorders>
          </w:tcPr>
          <w:p w:rsidR="000A0087"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0" w:type="auto"/>
            <w:tcBorders>
              <w:top w:val="nil"/>
              <w:left w:val="nil"/>
              <w:right w:val="nil"/>
            </w:tcBorders>
            <w:shd w:val="clear" w:color="auto" w:fill="E0DCCB" w:themeFill="accent4" w:themeFillTint="66"/>
          </w:tcPr>
          <w:p w:rsidR="000A0087"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79</w:t>
            </w:r>
          </w:p>
        </w:tc>
        <w:tc>
          <w:tcPr>
            <w:tcW w:w="0" w:type="auto"/>
            <w:tcBorders>
              <w:top w:val="nil"/>
              <w:left w:val="nil"/>
              <w:right w:val="nil"/>
            </w:tcBorders>
            <w:shd w:val="clear" w:color="auto" w:fill="auto"/>
          </w:tcPr>
          <w:p w:rsidR="000A0087" w:rsidRPr="007043E4"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100</w:t>
            </w:r>
          </w:p>
        </w:tc>
        <w:tc>
          <w:tcPr>
            <w:tcW w:w="0" w:type="auto"/>
            <w:tcBorders>
              <w:top w:val="nil"/>
              <w:left w:val="nil"/>
              <w:right w:val="nil"/>
            </w:tcBorders>
          </w:tcPr>
          <w:p w:rsidR="000A0087"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79</w:t>
            </w:r>
          </w:p>
        </w:tc>
        <w:tc>
          <w:tcPr>
            <w:tcW w:w="0" w:type="auto"/>
            <w:tcBorders>
              <w:top w:val="nil"/>
              <w:left w:val="nil"/>
              <w:right w:val="nil"/>
            </w:tcBorders>
            <w:shd w:val="clear" w:color="auto" w:fill="auto"/>
          </w:tcPr>
          <w:p w:rsidR="000A0087" w:rsidRPr="007043E4" w:rsidRDefault="000A0087" w:rsidP="005804A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(21)</w:t>
            </w:r>
          </w:p>
        </w:tc>
      </w:tr>
      <w:tr w:rsidR="000A0087" w:rsidRPr="007043E4" w:rsidTr="00F6395E">
        <w:trPr>
          <w:trHeight w:val="270"/>
        </w:trPr>
        <w:tc>
          <w:tcPr>
            <w:tcW w:w="0" w:type="auto"/>
            <w:tcBorders>
              <w:top w:val="nil"/>
              <w:left w:val="nil"/>
              <w:bottom w:val="single" w:sz="4" w:space="0" w:color="E0DCCB" w:themeColor="accent4" w:themeTint="66"/>
              <w:right w:val="nil"/>
            </w:tcBorders>
            <w:shd w:val="clear" w:color="auto" w:fill="auto"/>
            <w:vAlign w:val="center"/>
            <w:hideMark/>
          </w:tcPr>
          <w:p w:rsidR="000A0087" w:rsidRPr="00C05593" w:rsidRDefault="000A0087" w:rsidP="00C05593">
            <w:pPr>
              <w:pStyle w:val="Financials"/>
              <w:rPr>
                <w:sz w:val="20"/>
                <w:szCs w:val="20"/>
              </w:rPr>
            </w:pPr>
            <w:r w:rsidRPr="00C05593">
              <w:rPr>
                <w:sz w:val="20"/>
                <w:szCs w:val="20"/>
              </w:rPr>
              <w:t>Royalties for Regions Fund</w:t>
            </w:r>
          </w:p>
        </w:tc>
        <w:tc>
          <w:tcPr>
            <w:tcW w:w="0" w:type="auto"/>
            <w:tcBorders>
              <w:top w:val="nil"/>
              <w:left w:val="nil"/>
              <w:bottom w:val="single" w:sz="4" w:space="0" w:color="E0DCCB" w:themeColor="accent4" w:themeTint="66"/>
              <w:right w:val="nil"/>
            </w:tcBorders>
            <w:shd w:val="clear" w:color="auto" w:fill="auto"/>
            <w:vAlign w:val="center"/>
            <w:hideMark/>
          </w:tcPr>
          <w:p w:rsidR="000A0087" w:rsidRPr="007043E4" w:rsidRDefault="00A753FA"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E</w:t>
            </w:r>
          </w:p>
        </w:tc>
        <w:tc>
          <w:tcPr>
            <w:tcW w:w="0" w:type="auto"/>
            <w:tcBorders>
              <w:top w:val="nil"/>
              <w:left w:val="nil"/>
              <w:bottom w:val="single" w:sz="4" w:space="0" w:color="E0DCCB" w:themeColor="accent4" w:themeTint="66"/>
              <w:right w:val="nil"/>
            </w:tcBorders>
            <w:vAlign w:val="center"/>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0" w:type="auto"/>
            <w:tcBorders>
              <w:top w:val="nil"/>
              <w:left w:val="nil"/>
              <w:bottom w:val="single" w:sz="4" w:space="0" w:color="FFFFFF" w:themeColor="background1"/>
              <w:right w:val="nil"/>
            </w:tcBorders>
            <w:shd w:val="clear" w:color="auto" w:fill="E0DCCB" w:themeFill="accent4" w:themeFillTint="66"/>
            <w:vAlign w:val="center"/>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0" w:type="auto"/>
            <w:tcBorders>
              <w:top w:val="nil"/>
              <w:left w:val="nil"/>
              <w:bottom w:val="single" w:sz="4" w:space="0" w:color="E0DCCB" w:themeColor="accent4" w:themeTint="66"/>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390</w:t>
            </w:r>
          </w:p>
        </w:tc>
        <w:tc>
          <w:tcPr>
            <w:tcW w:w="0" w:type="auto"/>
            <w:tcBorders>
              <w:top w:val="nil"/>
              <w:left w:val="nil"/>
              <w:bottom w:val="single" w:sz="4" w:space="0" w:color="E0DCCB" w:themeColor="accent4" w:themeTint="66"/>
              <w:right w:val="nil"/>
            </w:tcBorders>
            <w:vAlign w:val="center"/>
          </w:tcPr>
          <w:p w:rsidR="000A0087"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0" w:type="auto"/>
            <w:tcBorders>
              <w:top w:val="nil"/>
              <w:left w:val="nil"/>
              <w:bottom w:val="single" w:sz="4" w:space="0" w:color="E0DCCB" w:themeColor="accent4" w:themeTint="66"/>
              <w:right w:val="nil"/>
            </w:tcBorders>
            <w:shd w:val="clear" w:color="auto" w:fill="auto"/>
            <w:vAlign w:val="center"/>
          </w:tcPr>
          <w:p w:rsidR="000A0087" w:rsidRPr="007043E4" w:rsidRDefault="000A0087" w:rsidP="00C0559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(390)</w:t>
            </w:r>
          </w:p>
        </w:tc>
      </w:tr>
      <w:tr w:rsidR="000A0087" w:rsidRPr="007043E4" w:rsidTr="00F6395E">
        <w:trPr>
          <w:trHeight w:val="270"/>
        </w:trPr>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7043E4" w:rsidRDefault="000A0087" w:rsidP="00C05593">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Total income from State Government</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E0DCCB" w:themeColor="accent4" w:themeTint="66"/>
              <w:left w:val="nil"/>
              <w:bottom w:val="single" w:sz="4" w:space="0" w:color="E0DCCB" w:themeColor="accent4" w:themeTint="66"/>
              <w:right w:val="nil"/>
            </w:tcBorders>
            <w:vAlign w:val="center"/>
          </w:tcPr>
          <w:p w:rsidR="000A0087"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14,725</w:t>
            </w:r>
          </w:p>
        </w:tc>
        <w:tc>
          <w:tcPr>
            <w:tcW w:w="0" w:type="auto"/>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0A0087"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15,075</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fldChar w:fldCharType="begin"/>
            </w:r>
            <w:r>
              <w:rPr>
                <w:rFonts w:ascii="Arial" w:eastAsia="Times New Roman" w:hAnsi="Arial" w:cs="Arial"/>
                <w:b/>
                <w:bCs/>
                <w:sz w:val="20"/>
                <w:szCs w:val="20"/>
                <w:lang w:eastAsia="en-AU"/>
              </w:rPr>
              <w:instrText xml:space="preserve"> =SUM(ABOVE) </w:instrText>
            </w:r>
            <w:r>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15,023</w:t>
            </w:r>
            <w:r>
              <w:rPr>
                <w:rFonts w:ascii="Arial" w:eastAsia="Times New Roman" w:hAnsi="Arial" w:cs="Arial"/>
                <w:b/>
                <w:bCs/>
                <w:sz w:val="20"/>
                <w:szCs w:val="20"/>
                <w:lang w:eastAsia="en-AU"/>
              </w:rPr>
              <w:fldChar w:fldCharType="end"/>
            </w:r>
          </w:p>
        </w:tc>
        <w:tc>
          <w:tcPr>
            <w:tcW w:w="0" w:type="auto"/>
            <w:tcBorders>
              <w:top w:val="single" w:sz="4" w:space="0" w:color="E0DCCB" w:themeColor="accent4" w:themeTint="66"/>
              <w:left w:val="nil"/>
              <w:bottom w:val="single" w:sz="4" w:space="0" w:color="E0DCCB" w:themeColor="accent4" w:themeTint="66"/>
              <w:right w:val="nil"/>
            </w:tcBorders>
            <w:vAlign w:val="center"/>
          </w:tcPr>
          <w:p w:rsidR="000A0087" w:rsidRPr="007043E4" w:rsidRDefault="000A0087" w:rsidP="00A753FA">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350</w:t>
            </w:r>
          </w:p>
        </w:tc>
        <w:tc>
          <w:tcPr>
            <w:tcW w:w="0" w:type="auto"/>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52</w:t>
            </w:r>
          </w:p>
        </w:tc>
      </w:tr>
      <w:tr w:rsidR="000A0087" w:rsidRPr="007043E4" w:rsidTr="00F6395E">
        <w:trPr>
          <w:trHeight w:val="270"/>
        </w:trPr>
        <w:tc>
          <w:tcPr>
            <w:tcW w:w="0" w:type="auto"/>
            <w:tcBorders>
              <w:top w:val="single" w:sz="4" w:space="0" w:color="E0DCCB" w:themeColor="accent4" w:themeTint="66"/>
              <w:left w:val="nil"/>
              <w:bottom w:val="single" w:sz="4" w:space="0" w:color="B2A97E" w:themeColor="accent4"/>
              <w:right w:val="nil"/>
            </w:tcBorders>
            <w:shd w:val="clear" w:color="auto" w:fill="auto"/>
            <w:vAlign w:val="center"/>
            <w:hideMark/>
          </w:tcPr>
          <w:p w:rsidR="000A0087" w:rsidRPr="007043E4" w:rsidRDefault="000A0087" w:rsidP="00C05593">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SURPLUS/(DEFICIT) FOR THE PERIOD</w:t>
            </w:r>
          </w:p>
        </w:tc>
        <w:tc>
          <w:tcPr>
            <w:tcW w:w="0" w:type="auto"/>
            <w:tcBorders>
              <w:top w:val="single" w:sz="4" w:space="0" w:color="E0DCCB" w:themeColor="accent4" w:themeTint="66"/>
              <w:left w:val="nil"/>
              <w:bottom w:val="single" w:sz="4" w:space="0" w:color="B2A97E" w:themeColor="accent4"/>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E0DCCB" w:themeColor="accent4" w:themeTint="66"/>
              <w:left w:val="nil"/>
              <w:bottom w:val="single" w:sz="4" w:space="0" w:color="B2A97E" w:themeColor="accent4"/>
              <w:right w:val="nil"/>
            </w:tcBorders>
            <w:vAlign w:val="center"/>
          </w:tcPr>
          <w:p w:rsidR="000A0087"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(72)</w:t>
            </w:r>
          </w:p>
        </w:tc>
        <w:tc>
          <w:tcPr>
            <w:tcW w:w="0" w:type="auto"/>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0A0087"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544</w:t>
            </w:r>
          </w:p>
        </w:tc>
        <w:tc>
          <w:tcPr>
            <w:tcW w:w="0" w:type="auto"/>
            <w:tcBorders>
              <w:top w:val="single" w:sz="4" w:space="0" w:color="E0DCCB" w:themeColor="accent4" w:themeTint="66"/>
              <w:left w:val="nil"/>
              <w:bottom w:val="single" w:sz="4" w:space="0" w:color="B2A97E" w:themeColor="accent4"/>
              <w:right w:val="nil"/>
            </w:tcBorders>
            <w:shd w:val="clear" w:color="auto" w:fill="auto"/>
            <w:vAlign w:val="center"/>
          </w:tcPr>
          <w:p w:rsidR="000A0087" w:rsidRPr="007043E4" w:rsidRDefault="000A0087" w:rsidP="00C05593">
            <w:pPr>
              <w:pStyle w:val="Financials"/>
              <w:jc w:val="right"/>
              <w:rPr>
                <w:rFonts w:ascii="Arial" w:eastAsia="Times New Roman" w:hAnsi="Arial" w:cs="Arial"/>
                <w:b/>
                <w:bCs/>
                <w:sz w:val="20"/>
                <w:szCs w:val="20"/>
                <w:highlight w:val="yellow"/>
                <w:lang w:eastAsia="en-AU"/>
              </w:rPr>
            </w:pPr>
            <w:r>
              <w:rPr>
                <w:rFonts w:ascii="Arial" w:eastAsia="Times New Roman" w:hAnsi="Arial" w:cs="Arial"/>
                <w:b/>
                <w:bCs/>
                <w:sz w:val="20"/>
                <w:szCs w:val="20"/>
                <w:lang w:eastAsia="en-AU"/>
              </w:rPr>
              <w:t>(932)</w:t>
            </w:r>
          </w:p>
        </w:tc>
        <w:tc>
          <w:tcPr>
            <w:tcW w:w="0" w:type="auto"/>
            <w:tcBorders>
              <w:top w:val="single" w:sz="4" w:space="0" w:color="E0DCCB" w:themeColor="accent4" w:themeTint="66"/>
              <w:left w:val="nil"/>
              <w:bottom w:val="single" w:sz="4" w:space="0" w:color="B2A97E" w:themeColor="accent4"/>
              <w:right w:val="nil"/>
            </w:tcBorders>
            <w:vAlign w:val="center"/>
          </w:tcPr>
          <w:p w:rsidR="000A0087" w:rsidRPr="007043E4" w:rsidRDefault="000A0087" w:rsidP="00A753FA">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616</w:t>
            </w:r>
          </w:p>
        </w:tc>
        <w:tc>
          <w:tcPr>
            <w:tcW w:w="0" w:type="auto"/>
            <w:tcBorders>
              <w:top w:val="single" w:sz="4" w:space="0" w:color="E0DCCB" w:themeColor="accent4" w:themeTint="66"/>
              <w:left w:val="nil"/>
              <w:bottom w:val="single" w:sz="4" w:space="0" w:color="B2A97E" w:themeColor="accent4"/>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1,476</w:t>
            </w:r>
          </w:p>
        </w:tc>
      </w:tr>
      <w:tr w:rsidR="000A0087" w:rsidRPr="007043E4" w:rsidTr="000A0087">
        <w:trPr>
          <w:trHeight w:val="285"/>
        </w:trPr>
        <w:tc>
          <w:tcPr>
            <w:tcW w:w="0" w:type="auto"/>
            <w:tcBorders>
              <w:top w:val="single" w:sz="4" w:space="0" w:color="B2A97E" w:themeColor="accent4"/>
              <w:left w:val="nil"/>
              <w:bottom w:val="single" w:sz="4" w:space="0" w:color="B2A97E" w:themeColor="accent4"/>
              <w:right w:val="nil"/>
            </w:tcBorders>
            <w:shd w:val="clear" w:color="auto" w:fill="auto"/>
            <w:vAlign w:val="center"/>
            <w:hideMark/>
          </w:tcPr>
          <w:p w:rsidR="000A0087" w:rsidRPr="007043E4" w:rsidRDefault="000A0087" w:rsidP="00C05593">
            <w:pPr>
              <w:pStyle w:val="Financials"/>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TOTAL COMPREHENSIVE INCOME FOR THE PERIOD</w:t>
            </w:r>
          </w:p>
        </w:tc>
        <w:tc>
          <w:tcPr>
            <w:tcW w:w="0" w:type="auto"/>
            <w:tcBorders>
              <w:top w:val="single" w:sz="4" w:space="0" w:color="B2A97E" w:themeColor="accent4"/>
              <w:left w:val="nil"/>
              <w:bottom w:val="single" w:sz="4" w:space="0" w:color="B2A97E" w:themeColor="accent4"/>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sz w:val="20"/>
                <w:szCs w:val="20"/>
                <w:lang w:eastAsia="en-AU"/>
              </w:rPr>
            </w:pPr>
          </w:p>
        </w:tc>
        <w:tc>
          <w:tcPr>
            <w:tcW w:w="0" w:type="auto"/>
            <w:tcBorders>
              <w:top w:val="single" w:sz="4" w:space="0" w:color="B2A97E" w:themeColor="accent4"/>
              <w:left w:val="nil"/>
              <w:bottom w:val="single" w:sz="4" w:space="0" w:color="B2A97E" w:themeColor="accent4"/>
              <w:right w:val="nil"/>
            </w:tcBorders>
            <w:vAlign w:val="center"/>
          </w:tcPr>
          <w:p w:rsidR="000A0087"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(72)</w:t>
            </w:r>
          </w:p>
        </w:tc>
        <w:tc>
          <w:tcPr>
            <w:tcW w:w="0" w:type="auto"/>
            <w:tcBorders>
              <w:top w:val="single" w:sz="4" w:space="0" w:color="B2A97E" w:themeColor="accent4"/>
              <w:left w:val="nil"/>
              <w:bottom w:val="single" w:sz="4" w:space="0" w:color="B2A97E" w:themeColor="accent4"/>
              <w:right w:val="nil"/>
            </w:tcBorders>
            <w:shd w:val="clear" w:color="auto" w:fill="E0DCCB" w:themeFill="accent4" w:themeFillTint="66"/>
            <w:vAlign w:val="center"/>
          </w:tcPr>
          <w:p w:rsidR="000A0087"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544</w:t>
            </w:r>
          </w:p>
        </w:tc>
        <w:tc>
          <w:tcPr>
            <w:tcW w:w="0" w:type="auto"/>
            <w:tcBorders>
              <w:top w:val="single" w:sz="4" w:space="0" w:color="B2A97E" w:themeColor="accent4"/>
              <w:left w:val="nil"/>
              <w:bottom w:val="single" w:sz="4" w:space="0" w:color="B2A97E" w:themeColor="accent4"/>
              <w:right w:val="nil"/>
            </w:tcBorders>
            <w:shd w:val="clear" w:color="auto" w:fill="auto"/>
            <w:vAlign w:val="center"/>
          </w:tcPr>
          <w:p w:rsidR="000A0087" w:rsidRPr="007043E4" w:rsidRDefault="000A0087" w:rsidP="00C05593">
            <w:pPr>
              <w:pStyle w:val="Financials"/>
              <w:jc w:val="right"/>
              <w:rPr>
                <w:rFonts w:ascii="Arial" w:eastAsia="Times New Roman" w:hAnsi="Arial" w:cs="Arial"/>
                <w:b/>
                <w:bCs/>
                <w:sz w:val="20"/>
                <w:szCs w:val="20"/>
                <w:highlight w:val="yellow"/>
                <w:lang w:eastAsia="en-AU"/>
              </w:rPr>
            </w:pPr>
            <w:r>
              <w:rPr>
                <w:rFonts w:ascii="Arial" w:eastAsia="Times New Roman" w:hAnsi="Arial" w:cs="Arial"/>
                <w:b/>
                <w:bCs/>
                <w:sz w:val="20"/>
                <w:szCs w:val="20"/>
                <w:lang w:eastAsia="en-AU"/>
              </w:rPr>
              <w:t>(932)</w:t>
            </w:r>
          </w:p>
        </w:tc>
        <w:tc>
          <w:tcPr>
            <w:tcW w:w="0" w:type="auto"/>
            <w:tcBorders>
              <w:top w:val="single" w:sz="4" w:space="0" w:color="B2A97E" w:themeColor="accent4"/>
              <w:left w:val="nil"/>
              <w:bottom w:val="single" w:sz="4" w:space="0" w:color="B2A97E" w:themeColor="accent4"/>
              <w:right w:val="nil"/>
            </w:tcBorders>
            <w:vAlign w:val="center"/>
          </w:tcPr>
          <w:p w:rsidR="000A0087" w:rsidRPr="007043E4" w:rsidRDefault="000A0087" w:rsidP="00A753FA">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616</w:t>
            </w:r>
          </w:p>
        </w:tc>
        <w:tc>
          <w:tcPr>
            <w:tcW w:w="0" w:type="auto"/>
            <w:tcBorders>
              <w:top w:val="single" w:sz="4" w:space="0" w:color="B2A97E" w:themeColor="accent4"/>
              <w:left w:val="nil"/>
              <w:bottom w:val="single" w:sz="4" w:space="0" w:color="B2A97E" w:themeColor="accent4"/>
              <w:right w:val="nil"/>
            </w:tcBorders>
            <w:shd w:val="clear" w:color="auto" w:fill="auto"/>
            <w:vAlign w:val="center"/>
            <w:hideMark/>
          </w:tcPr>
          <w:p w:rsidR="000A0087" w:rsidRPr="007043E4" w:rsidRDefault="000A0087" w:rsidP="00C05593">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1,476</w:t>
            </w:r>
          </w:p>
        </w:tc>
      </w:tr>
    </w:tbl>
    <w:p w:rsidR="00F6395E" w:rsidRDefault="00F6395E" w:rsidP="000A0087">
      <w:pPr>
        <w:pStyle w:val="Heading5"/>
        <w:ind w:left="34"/>
      </w:pPr>
    </w:p>
    <w:p w:rsidR="00F6395E" w:rsidRDefault="00F6395E">
      <w:pPr>
        <w:rPr>
          <w:rFonts w:asciiTheme="majorHAnsi" w:eastAsiaTheme="majorEastAsia" w:hAnsiTheme="majorHAnsi" w:cstheme="majorBidi"/>
          <w:color w:val="172E4D" w:themeColor="accent1" w:themeShade="7F"/>
        </w:rPr>
      </w:pPr>
      <w:r>
        <w:br w:type="page"/>
      </w:r>
    </w:p>
    <w:p w:rsidR="000A0087" w:rsidRDefault="000A0087" w:rsidP="000A0087">
      <w:pPr>
        <w:pStyle w:val="Heading5"/>
        <w:ind w:left="34"/>
      </w:pPr>
    </w:p>
    <w:tbl>
      <w:tblPr>
        <w:tblW w:w="0" w:type="auto"/>
        <w:tblInd w:w="108" w:type="dxa"/>
        <w:tblLook w:val="04A0" w:firstRow="1" w:lastRow="0" w:firstColumn="1" w:lastColumn="0" w:noHBand="0" w:noVBand="1"/>
      </w:tblPr>
      <w:tblGrid>
        <w:gridCol w:w="2694"/>
        <w:gridCol w:w="1134"/>
        <w:gridCol w:w="1134"/>
        <w:gridCol w:w="1134"/>
        <w:gridCol w:w="1275"/>
        <w:gridCol w:w="1134"/>
        <w:gridCol w:w="1349"/>
      </w:tblGrid>
      <w:tr w:rsidR="000A0087" w:rsidRPr="007043E4" w:rsidTr="000A0087">
        <w:trPr>
          <w:trHeight w:val="987"/>
        </w:trPr>
        <w:tc>
          <w:tcPr>
            <w:tcW w:w="2694" w:type="dxa"/>
            <w:tcBorders>
              <w:top w:val="nil"/>
              <w:left w:val="nil"/>
              <w:bottom w:val="nil"/>
              <w:right w:val="nil"/>
            </w:tcBorders>
            <w:shd w:val="clear" w:color="auto" w:fill="E0DCCB" w:themeFill="accent4" w:themeFillTint="66"/>
            <w:vAlign w:val="center"/>
            <w:hideMark/>
          </w:tcPr>
          <w:p w:rsidR="000A0087" w:rsidRPr="007F573F" w:rsidRDefault="000A0087" w:rsidP="007F573F">
            <w:pPr>
              <w:pStyle w:val="Financials"/>
              <w:rPr>
                <w:rFonts w:eastAsia="Times New Roman" w:cs="Arial"/>
                <w:lang w:eastAsia="en-AU"/>
              </w:rPr>
            </w:pPr>
            <w:r w:rsidRPr="007F573F">
              <w:rPr>
                <w:rFonts w:ascii="Arial" w:eastAsia="Times New Roman" w:hAnsi="Arial" w:cs="Arial"/>
                <w:b/>
                <w:bCs/>
                <w:lang w:eastAsia="en-AU"/>
              </w:rPr>
              <w:t>Statement of Financial Position</w:t>
            </w:r>
          </w:p>
        </w:tc>
        <w:tc>
          <w:tcPr>
            <w:tcW w:w="1134" w:type="dxa"/>
            <w:tcBorders>
              <w:top w:val="nil"/>
              <w:left w:val="nil"/>
              <w:bottom w:val="nil"/>
              <w:right w:val="nil"/>
            </w:tcBorders>
            <w:shd w:val="clear" w:color="auto" w:fill="E0DCCB" w:themeFill="accent4" w:themeFillTint="66"/>
            <w:vAlign w:val="center"/>
            <w:hideMark/>
          </w:tcPr>
          <w:p w:rsidR="000A0087" w:rsidRPr="007043E4" w:rsidRDefault="000A0087" w:rsidP="007F573F">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 xml:space="preserve">Variance </w:t>
            </w:r>
            <w:r w:rsidRPr="007043E4">
              <w:rPr>
                <w:rFonts w:ascii="Arial" w:eastAsia="Times New Roman" w:hAnsi="Arial" w:cs="Arial"/>
                <w:b/>
                <w:bCs/>
                <w:sz w:val="20"/>
                <w:szCs w:val="20"/>
                <w:lang w:eastAsia="en-AU"/>
              </w:rPr>
              <w:t>Note</w:t>
            </w:r>
          </w:p>
        </w:tc>
        <w:tc>
          <w:tcPr>
            <w:tcW w:w="1134" w:type="dxa"/>
            <w:tcBorders>
              <w:top w:val="nil"/>
              <w:left w:val="nil"/>
              <w:bottom w:val="nil"/>
              <w:right w:val="nil"/>
            </w:tcBorders>
            <w:shd w:val="clear" w:color="auto" w:fill="E0DCCB" w:themeFill="accent4" w:themeFillTint="66"/>
            <w:vAlign w:val="center"/>
          </w:tcPr>
          <w:p w:rsidR="000A0087" w:rsidRDefault="000A0087" w:rsidP="007F573F">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Original Budget 2015</w:t>
            </w:r>
          </w:p>
          <w:p w:rsidR="000A0087" w:rsidRPr="007043E4" w:rsidRDefault="000A0087" w:rsidP="007F573F">
            <w:pPr>
              <w:pStyle w:val="Financials"/>
              <w:jc w:val="center"/>
              <w:rPr>
                <w:rFonts w:ascii="Arial" w:eastAsia="Times New Roman" w:hAnsi="Arial" w:cs="Arial"/>
                <w:b/>
                <w:bCs/>
                <w:sz w:val="20"/>
                <w:szCs w:val="20"/>
                <w:lang w:eastAsia="en-AU"/>
              </w:rPr>
            </w:pPr>
          </w:p>
        </w:tc>
        <w:tc>
          <w:tcPr>
            <w:tcW w:w="1134" w:type="dxa"/>
            <w:tcBorders>
              <w:top w:val="nil"/>
              <w:left w:val="nil"/>
              <w:bottom w:val="nil"/>
              <w:right w:val="nil"/>
            </w:tcBorders>
            <w:shd w:val="clear" w:color="auto" w:fill="E0DCCB" w:themeFill="accent4" w:themeFillTint="66"/>
            <w:vAlign w:val="center"/>
          </w:tcPr>
          <w:p w:rsidR="000A0087" w:rsidRPr="007043E4" w:rsidRDefault="000A0087" w:rsidP="007F573F">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Actual 2015</w:t>
            </w:r>
          </w:p>
        </w:tc>
        <w:tc>
          <w:tcPr>
            <w:tcW w:w="1275" w:type="dxa"/>
            <w:tcBorders>
              <w:top w:val="nil"/>
              <w:left w:val="nil"/>
              <w:bottom w:val="nil"/>
              <w:right w:val="nil"/>
            </w:tcBorders>
            <w:shd w:val="clear" w:color="auto" w:fill="E0DCCB" w:themeFill="accent4" w:themeFillTint="66"/>
            <w:vAlign w:val="center"/>
          </w:tcPr>
          <w:p w:rsidR="000A0087" w:rsidRPr="007043E4" w:rsidRDefault="000A0087" w:rsidP="007F573F">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 xml:space="preserve">Actual </w:t>
            </w:r>
            <w:r w:rsidRPr="007043E4">
              <w:rPr>
                <w:rFonts w:ascii="Arial" w:eastAsia="Times New Roman" w:hAnsi="Arial" w:cs="Arial"/>
                <w:b/>
                <w:bCs/>
                <w:sz w:val="20"/>
                <w:szCs w:val="20"/>
                <w:lang w:eastAsia="en-AU"/>
              </w:rPr>
              <w:t>201</w:t>
            </w:r>
            <w:r>
              <w:rPr>
                <w:rFonts w:ascii="Arial" w:eastAsia="Times New Roman" w:hAnsi="Arial" w:cs="Arial"/>
                <w:b/>
                <w:bCs/>
                <w:sz w:val="20"/>
                <w:szCs w:val="20"/>
                <w:lang w:eastAsia="en-AU"/>
              </w:rPr>
              <w:t>4</w:t>
            </w:r>
          </w:p>
        </w:tc>
        <w:tc>
          <w:tcPr>
            <w:tcW w:w="1134" w:type="dxa"/>
            <w:tcBorders>
              <w:top w:val="nil"/>
              <w:left w:val="nil"/>
              <w:bottom w:val="nil"/>
              <w:right w:val="nil"/>
            </w:tcBorders>
            <w:shd w:val="clear" w:color="auto" w:fill="E0DCCB" w:themeFill="accent4" w:themeFillTint="66"/>
            <w:vAlign w:val="center"/>
          </w:tcPr>
          <w:p w:rsidR="000A0087" w:rsidRPr="007043E4" w:rsidRDefault="000A0087" w:rsidP="007F573F">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Variance between estimate and actual</w:t>
            </w:r>
          </w:p>
        </w:tc>
        <w:tc>
          <w:tcPr>
            <w:tcW w:w="1349" w:type="dxa"/>
            <w:tcBorders>
              <w:top w:val="nil"/>
              <w:left w:val="nil"/>
              <w:bottom w:val="nil"/>
              <w:right w:val="nil"/>
            </w:tcBorders>
            <w:shd w:val="clear" w:color="auto" w:fill="E0DCCB" w:themeFill="accent4" w:themeFillTint="66"/>
            <w:vAlign w:val="center"/>
            <w:hideMark/>
          </w:tcPr>
          <w:p w:rsidR="000A0087" w:rsidRPr="007043E4" w:rsidRDefault="000A0087" w:rsidP="007F573F">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Variance between actual result for 2015 and 2014</w:t>
            </w:r>
          </w:p>
        </w:tc>
      </w:tr>
      <w:tr w:rsidR="000A0087" w:rsidRPr="007043E4" w:rsidTr="000A0087">
        <w:trPr>
          <w:trHeight w:val="255"/>
        </w:trPr>
        <w:tc>
          <w:tcPr>
            <w:tcW w:w="2694" w:type="dxa"/>
            <w:tcBorders>
              <w:top w:val="nil"/>
              <w:left w:val="nil"/>
              <w:bottom w:val="nil"/>
              <w:right w:val="nil"/>
            </w:tcBorders>
            <w:shd w:val="clear" w:color="auto" w:fill="E0DCCB" w:themeFill="accent4" w:themeFillTint="66"/>
            <w:vAlign w:val="center"/>
            <w:hideMark/>
          </w:tcPr>
          <w:p w:rsidR="000A0087" w:rsidRPr="007043E4" w:rsidRDefault="000A0087" w:rsidP="00F6395E">
            <w:pPr>
              <w:pStyle w:val="Financials"/>
              <w:rPr>
                <w:rFonts w:ascii="Arial" w:eastAsia="Times New Roman" w:hAnsi="Arial" w:cs="Arial"/>
                <w:sz w:val="20"/>
                <w:szCs w:val="20"/>
                <w:lang w:eastAsia="en-AU"/>
              </w:rPr>
            </w:pPr>
          </w:p>
        </w:tc>
        <w:tc>
          <w:tcPr>
            <w:tcW w:w="1134" w:type="dxa"/>
            <w:tcBorders>
              <w:top w:val="nil"/>
              <w:left w:val="nil"/>
              <w:bottom w:val="nil"/>
              <w:right w:val="nil"/>
            </w:tcBorders>
            <w:shd w:val="clear" w:color="auto" w:fill="E0DCCB" w:themeFill="accent4" w:themeFillTint="66"/>
            <w:vAlign w:val="center"/>
            <w:hideMark/>
          </w:tcPr>
          <w:p w:rsidR="000A0087" w:rsidRPr="007043E4" w:rsidRDefault="000A0087" w:rsidP="007F573F">
            <w:pPr>
              <w:pStyle w:val="Financials"/>
              <w:jc w:val="center"/>
              <w:rPr>
                <w:rFonts w:ascii="Arial" w:eastAsia="Times New Roman" w:hAnsi="Arial" w:cs="Arial"/>
                <w:b/>
                <w:bCs/>
                <w:sz w:val="20"/>
                <w:szCs w:val="20"/>
                <w:lang w:eastAsia="en-AU"/>
              </w:rPr>
            </w:pPr>
          </w:p>
        </w:tc>
        <w:tc>
          <w:tcPr>
            <w:tcW w:w="1134" w:type="dxa"/>
            <w:tcBorders>
              <w:top w:val="nil"/>
              <w:left w:val="nil"/>
              <w:bottom w:val="nil"/>
              <w:right w:val="nil"/>
            </w:tcBorders>
            <w:shd w:val="clear" w:color="auto" w:fill="E0DCCB" w:themeFill="accent4" w:themeFillTint="66"/>
            <w:vAlign w:val="center"/>
          </w:tcPr>
          <w:p w:rsidR="000A0087" w:rsidRPr="007043E4" w:rsidRDefault="000A0087" w:rsidP="007F573F">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$’000</w:t>
            </w:r>
          </w:p>
        </w:tc>
        <w:tc>
          <w:tcPr>
            <w:tcW w:w="1134" w:type="dxa"/>
            <w:tcBorders>
              <w:top w:val="nil"/>
              <w:left w:val="nil"/>
              <w:bottom w:val="nil"/>
              <w:right w:val="nil"/>
            </w:tcBorders>
            <w:shd w:val="clear" w:color="auto" w:fill="E0DCCB" w:themeFill="accent4" w:themeFillTint="66"/>
            <w:vAlign w:val="center"/>
          </w:tcPr>
          <w:p w:rsidR="000A0087" w:rsidRPr="007043E4" w:rsidRDefault="000A0087" w:rsidP="007F573F">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$’000</w:t>
            </w:r>
          </w:p>
        </w:tc>
        <w:tc>
          <w:tcPr>
            <w:tcW w:w="1275" w:type="dxa"/>
            <w:tcBorders>
              <w:top w:val="nil"/>
              <w:left w:val="nil"/>
              <w:bottom w:val="nil"/>
              <w:right w:val="nil"/>
            </w:tcBorders>
            <w:shd w:val="clear" w:color="auto" w:fill="E0DCCB" w:themeFill="accent4" w:themeFillTint="66"/>
            <w:vAlign w:val="center"/>
          </w:tcPr>
          <w:p w:rsidR="000A0087" w:rsidRPr="007043E4" w:rsidRDefault="000A0087" w:rsidP="007F573F">
            <w:pPr>
              <w:pStyle w:val="Financials"/>
              <w:jc w:val="center"/>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w:t>
            </w:r>
            <w:r>
              <w:rPr>
                <w:rFonts w:ascii="Arial" w:eastAsia="Times New Roman" w:hAnsi="Arial" w:cs="Arial"/>
                <w:b/>
                <w:bCs/>
                <w:sz w:val="20"/>
                <w:szCs w:val="20"/>
                <w:lang w:eastAsia="en-AU"/>
              </w:rPr>
              <w:t>’000</w:t>
            </w:r>
          </w:p>
        </w:tc>
        <w:tc>
          <w:tcPr>
            <w:tcW w:w="1134" w:type="dxa"/>
            <w:tcBorders>
              <w:top w:val="nil"/>
              <w:left w:val="nil"/>
              <w:bottom w:val="nil"/>
              <w:right w:val="nil"/>
            </w:tcBorders>
            <w:shd w:val="clear" w:color="auto" w:fill="E0DCCB" w:themeFill="accent4" w:themeFillTint="66"/>
            <w:vAlign w:val="center"/>
          </w:tcPr>
          <w:p w:rsidR="000A0087" w:rsidRPr="007043E4" w:rsidRDefault="000A0087" w:rsidP="007F573F">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$’000</w:t>
            </w:r>
          </w:p>
        </w:tc>
        <w:tc>
          <w:tcPr>
            <w:tcW w:w="1349" w:type="dxa"/>
            <w:tcBorders>
              <w:top w:val="nil"/>
              <w:left w:val="nil"/>
              <w:bottom w:val="nil"/>
              <w:right w:val="nil"/>
            </w:tcBorders>
            <w:shd w:val="clear" w:color="auto" w:fill="E0DCCB" w:themeFill="accent4" w:themeFillTint="66"/>
            <w:vAlign w:val="center"/>
            <w:hideMark/>
          </w:tcPr>
          <w:p w:rsidR="000A0087" w:rsidRPr="007043E4" w:rsidRDefault="000A0087" w:rsidP="007F573F">
            <w:pPr>
              <w:pStyle w:val="Financials"/>
              <w:jc w:val="center"/>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w:t>
            </w:r>
            <w:r>
              <w:rPr>
                <w:rFonts w:ascii="Arial" w:eastAsia="Times New Roman" w:hAnsi="Arial" w:cs="Arial"/>
                <w:b/>
                <w:bCs/>
                <w:sz w:val="20"/>
                <w:szCs w:val="20"/>
                <w:lang w:eastAsia="en-AU"/>
              </w:rPr>
              <w:t>’000</w:t>
            </w:r>
          </w:p>
        </w:tc>
      </w:tr>
      <w:tr w:rsidR="000A0087" w:rsidRPr="007043E4" w:rsidTr="000A0087">
        <w:trPr>
          <w:trHeight w:val="255"/>
        </w:trPr>
        <w:tc>
          <w:tcPr>
            <w:tcW w:w="2694" w:type="dxa"/>
            <w:tcBorders>
              <w:top w:val="nil"/>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t>ASSETS</w:t>
            </w:r>
          </w:p>
        </w:tc>
        <w:tc>
          <w:tcPr>
            <w:tcW w:w="1134" w:type="dxa"/>
            <w:tcBorders>
              <w:top w:val="nil"/>
              <w:left w:val="nil"/>
              <w:bottom w:val="nil"/>
              <w:right w:val="nil"/>
            </w:tcBorders>
            <w:shd w:val="clear" w:color="auto" w:fill="auto"/>
            <w:vAlign w:val="center"/>
            <w:hideMark/>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auto"/>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E0DCCB" w:themeFill="accent4" w:themeFillTint="66"/>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275"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highlight w:val="yellow"/>
                <w:lang w:eastAsia="en-AU"/>
              </w:rPr>
            </w:pPr>
          </w:p>
        </w:tc>
        <w:tc>
          <w:tcPr>
            <w:tcW w:w="1134"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349" w:type="dxa"/>
            <w:tcBorders>
              <w:top w:val="nil"/>
              <w:left w:val="nil"/>
              <w:bottom w:val="nil"/>
              <w:right w:val="nil"/>
            </w:tcBorders>
            <w:shd w:val="clear" w:color="auto" w:fill="auto"/>
            <w:vAlign w:val="center"/>
            <w:hideMark/>
          </w:tcPr>
          <w:p w:rsidR="000A0087" w:rsidRPr="007043E4" w:rsidRDefault="000A0087" w:rsidP="007F573F">
            <w:pPr>
              <w:pStyle w:val="Financials"/>
              <w:jc w:val="right"/>
              <w:rPr>
                <w:rFonts w:ascii="Arial" w:eastAsia="Times New Roman" w:hAnsi="Arial" w:cs="Arial"/>
                <w:sz w:val="20"/>
                <w:szCs w:val="20"/>
                <w:lang w:eastAsia="en-AU"/>
              </w:rPr>
            </w:pPr>
          </w:p>
        </w:tc>
      </w:tr>
      <w:tr w:rsidR="000A0087" w:rsidRPr="007043E4" w:rsidTr="000A0087">
        <w:trPr>
          <w:trHeight w:val="255"/>
        </w:trPr>
        <w:tc>
          <w:tcPr>
            <w:tcW w:w="2694" w:type="dxa"/>
            <w:tcBorders>
              <w:top w:val="nil"/>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t>Current Assets</w:t>
            </w:r>
          </w:p>
        </w:tc>
        <w:tc>
          <w:tcPr>
            <w:tcW w:w="1134" w:type="dxa"/>
            <w:tcBorders>
              <w:top w:val="nil"/>
              <w:left w:val="nil"/>
              <w:bottom w:val="nil"/>
              <w:right w:val="nil"/>
            </w:tcBorders>
            <w:shd w:val="clear" w:color="auto" w:fill="auto"/>
            <w:vAlign w:val="center"/>
            <w:hideMark/>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auto"/>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E0DCCB" w:themeFill="accent4" w:themeFillTint="66"/>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275"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349" w:type="dxa"/>
            <w:tcBorders>
              <w:top w:val="nil"/>
              <w:left w:val="nil"/>
              <w:bottom w:val="nil"/>
              <w:right w:val="nil"/>
            </w:tcBorders>
            <w:shd w:val="clear" w:color="auto" w:fill="auto"/>
            <w:vAlign w:val="center"/>
            <w:hideMark/>
          </w:tcPr>
          <w:p w:rsidR="000A0087" w:rsidRPr="007043E4" w:rsidRDefault="000A0087" w:rsidP="007F573F">
            <w:pPr>
              <w:pStyle w:val="Financials"/>
              <w:jc w:val="right"/>
              <w:rPr>
                <w:rFonts w:ascii="Arial" w:eastAsia="Times New Roman" w:hAnsi="Arial" w:cs="Arial"/>
                <w:sz w:val="20"/>
                <w:szCs w:val="20"/>
                <w:lang w:eastAsia="en-AU"/>
              </w:rPr>
            </w:pPr>
          </w:p>
        </w:tc>
      </w:tr>
      <w:tr w:rsidR="000A0087" w:rsidRPr="007043E4" w:rsidTr="000A0087">
        <w:trPr>
          <w:trHeight w:val="255"/>
        </w:trPr>
        <w:tc>
          <w:tcPr>
            <w:tcW w:w="2694" w:type="dxa"/>
            <w:tcBorders>
              <w:top w:val="nil"/>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Cash and cash equivalents</w:t>
            </w:r>
          </w:p>
        </w:tc>
        <w:tc>
          <w:tcPr>
            <w:tcW w:w="1134"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auto"/>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142</w:t>
            </w:r>
          </w:p>
        </w:tc>
        <w:tc>
          <w:tcPr>
            <w:tcW w:w="1134" w:type="dxa"/>
            <w:tcBorders>
              <w:top w:val="nil"/>
              <w:left w:val="nil"/>
              <w:bottom w:val="nil"/>
              <w:right w:val="nil"/>
            </w:tcBorders>
            <w:shd w:val="clear" w:color="auto" w:fill="E0DCCB" w:themeFill="accent4" w:themeFillTint="66"/>
            <w:vAlign w:val="center"/>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184</w:t>
            </w:r>
          </w:p>
        </w:tc>
        <w:tc>
          <w:tcPr>
            <w:tcW w:w="1275"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highlight w:val="yellow"/>
                <w:lang w:eastAsia="en-AU"/>
              </w:rPr>
            </w:pPr>
            <w:r>
              <w:rPr>
                <w:rFonts w:ascii="Arial" w:eastAsia="Times New Roman" w:hAnsi="Arial" w:cs="Arial"/>
                <w:sz w:val="20"/>
                <w:szCs w:val="20"/>
                <w:lang w:eastAsia="en-AU"/>
              </w:rPr>
              <w:t>201</w:t>
            </w:r>
          </w:p>
        </w:tc>
        <w:tc>
          <w:tcPr>
            <w:tcW w:w="1134"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highlight w:val="yellow"/>
                <w:lang w:eastAsia="en-AU"/>
              </w:rPr>
            </w:pPr>
            <w:r>
              <w:rPr>
                <w:rFonts w:ascii="Arial" w:eastAsia="Times New Roman" w:hAnsi="Arial" w:cs="Arial"/>
                <w:sz w:val="20"/>
                <w:szCs w:val="20"/>
                <w:lang w:eastAsia="en-AU"/>
              </w:rPr>
              <w:t>42</w:t>
            </w:r>
          </w:p>
        </w:tc>
        <w:tc>
          <w:tcPr>
            <w:tcW w:w="1349"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highlight w:val="yellow"/>
                <w:lang w:eastAsia="en-AU"/>
              </w:rPr>
            </w:pPr>
            <w:r w:rsidRPr="009525FF">
              <w:rPr>
                <w:rFonts w:ascii="Arial" w:eastAsia="Times New Roman" w:hAnsi="Arial" w:cs="Arial"/>
                <w:sz w:val="20"/>
                <w:szCs w:val="20"/>
                <w:lang w:eastAsia="en-AU"/>
              </w:rPr>
              <w:t>(17)</w:t>
            </w:r>
          </w:p>
        </w:tc>
      </w:tr>
      <w:tr w:rsidR="000A0087" w:rsidRPr="007043E4" w:rsidTr="00A753FA">
        <w:trPr>
          <w:trHeight w:val="255"/>
        </w:trPr>
        <w:tc>
          <w:tcPr>
            <w:tcW w:w="2694" w:type="dxa"/>
            <w:tcBorders>
              <w:top w:val="nil"/>
              <w:left w:val="nil"/>
              <w:bottom w:val="nil"/>
              <w:right w:val="nil"/>
            </w:tcBorders>
            <w:shd w:val="clear" w:color="auto" w:fill="auto"/>
            <w:hideMark/>
          </w:tcPr>
          <w:p w:rsidR="000A0087" w:rsidRPr="007043E4" w:rsidRDefault="000A0087" w:rsidP="00A753FA">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Restricted cash and cash equivalents</w:t>
            </w:r>
          </w:p>
        </w:tc>
        <w:tc>
          <w:tcPr>
            <w:tcW w:w="1134" w:type="dxa"/>
            <w:tcBorders>
              <w:top w:val="nil"/>
              <w:left w:val="nil"/>
              <w:bottom w:val="nil"/>
              <w:right w:val="nil"/>
            </w:tcBorders>
            <w:shd w:val="clear" w:color="auto" w:fill="auto"/>
          </w:tcPr>
          <w:p w:rsidR="000A0087" w:rsidRPr="007043E4" w:rsidRDefault="00A753FA" w:rsidP="00A753FA">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F</w:t>
            </w:r>
          </w:p>
        </w:tc>
        <w:tc>
          <w:tcPr>
            <w:tcW w:w="1134" w:type="dxa"/>
            <w:tcBorders>
              <w:top w:val="nil"/>
              <w:left w:val="nil"/>
              <w:bottom w:val="nil"/>
              <w:right w:val="nil"/>
            </w:tcBorders>
            <w:shd w:val="clear" w:color="auto" w:fill="auto"/>
          </w:tcPr>
          <w:p w:rsidR="000A0087" w:rsidRDefault="000A0087" w:rsidP="00A753FA">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349</w:t>
            </w:r>
          </w:p>
        </w:tc>
        <w:tc>
          <w:tcPr>
            <w:tcW w:w="1134" w:type="dxa"/>
            <w:tcBorders>
              <w:top w:val="nil"/>
              <w:left w:val="nil"/>
              <w:bottom w:val="nil"/>
              <w:right w:val="nil"/>
            </w:tcBorders>
            <w:shd w:val="clear" w:color="auto" w:fill="E0DCCB" w:themeFill="accent4" w:themeFillTint="66"/>
          </w:tcPr>
          <w:p w:rsidR="000A0087" w:rsidRDefault="000A0087" w:rsidP="00A753FA">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354</w:t>
            </w:r>
          </w:p>
        </w:tc>
        <w:tc>
          <w:tcPr>
            <w:tcW w:w="1275" w:type="dxa"/>
            <w:tcBorders>
              <w:top w:val="nil"/>
              <w:left w:val="nil"/>
              <w:bottom w:val="nil"/>
              <w:right w:val="nil"/>
            </w:tcBorders>
            <w:shd w:val="clear" w:color="auto" w:fill="auto"/>
          </w:tcPr>
          <w:p w:rsidR="000A0087" w:rsidRPr="007043E4" w:rsidRDefault="000A0087" w:rsidP="00A753FA">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187</w:t>
            </w:r>
          </w:p>
        </w:tc>
        <w:tc>
          <w:tcPr>
            <w:tcW w:w="1134" w:type="dxa"/>
            <w:tcBorders>
              <w:top w:val="nil"/>
              <w:left w:val="nil"/>
              <w:bottom w:val="nil"/>
              <w:right w:val="nil"/>
            </w:tcBorders>
            <w:shd w:val="clear" w:color="auto" w:fill="auto"/>
          </w:tcPr>
          <w:p w:rsidR="000A0087" w:rsidRPr="007043E4" w:rsidRDefault="000A0087" w:rsidP="00A753FA">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w:t>
            </w:r>
          </w:p>
        </w:tc>
        <w:tc>
          <w:tcPr>
            <w:tcW w:w="1349" w:type="dxa"/>
            <w:tcBorders>
              <w:top w:val="nil"/>
              <w:left w:val="nil"/>
              <w:bottom w:val="nil"/>
              <w:right w:val="nil"/>
            </w:tcBorders>
            <w:shd w:val="clear" w:color="auto" w:fill="auto"/>
          </w:tcPr>
          <w:p w:rsidR="000A0087" w:rsidRPr="007043E4" w:rsidRDefault="000A0087" w:rsidP="00A753FA">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167</w:t>
            </w:r>
          </w:p>
        </w:tc>
      </w:tr>
      <w:tr w:rsidR="000A0087" w:rsidRPr="007043E4" w:rsidTr="000A0087">
        <w:trPr>
          <w:trHeight w:val="255"/>
        </w:trPr>
        <w:tc>
          <w:tcPr>
            <w:tcW w:w="2694" w:type="dxa"/>
            <w:tcBorders>
              <w:top w:val="nil"/>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Receivables</w:t>
            </w:r>
          </w:p>
        </w:tc>
        <w:tc>
          <w:tcPr>
            <w:tcW w:w="1134" w:type="dxa"/>
            <w:tcBorders>
              <w:top w:val="nil"/>
              <w:left w:val="nil"/>
              <w:bottom w:val="nil"/>
              <w:right w:val="nil"/>
            </w:tcBorders>
            <w:shd w:val="clear" w:color="auto" w:fill="auto"/>
            <w:vAlign w:val="center"/>
          </w:tcPr>
          <w:p w:rsidR="000A0087" w:rsidRPr="007043E4" w:rsidRDefault="00F86890"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G</w:t>
            </w:r>
          </w:p>
        </w:tc>
        <w:tc>
          <w:tcPr>
            <w:tcW w:w="1134" w:type="dxa"/>
            <w:tcBorders>
              <w:top w:val="nil"/>
              <w:left w:val="nil"/>
              <w:bottom w:val="nil"/>
              <w:right w:val="nil"/>
            </w:tcBorders>
            <w:shd w:val="clear" w:color="auto" w:fill="auto"/>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176</w:t>
            </w:r>
          </w:p>
        </w:tc>
        <w:tc>
          <w:tcPr>
            <w:tcW w:w="1134" w:type="dxa"/>
            <w:tcBorders>
              <w:top w:val="nil"/>
              <w:left w:val="nil"/>
              <w:bottom w:val="nil"/>
              <w:right w:val="nil"/>
            </w:tcBorders>
            <w:shd w:val="clear" w:color="auto" w:fill="E0DCCB" w:themeFill="accent4" w:themeFillTint="66"/>
            <w:vAlign w:val="center"/>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128</w:t>
            </w:r>
          </w:p>
        </w:tc>
        <w:tc>
          <w:tcPr>
            <w:tcW w:w="1275"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162</w:t>
            </w:r>
          </w:p>
        </w:tc>
        <w:tc>
          <w:tcPr>
            <w:tcW w:w="1134"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(48)</w:t>
            </w:r>
          </w:p>
        </w:tc>
        <w:tc>
          <w:tcPr>
            <w:tcW w:w="1349"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(34)</w:t>
            </w:r>
          </w:p>
        </w:tc>
      </w:tr>
      <w:tr w:rsidR="000A0087" w:rsidRPr="007043E4" w:rsidTr="00F86890">
        <w:trPr>
          <w:trHeight w:val="270"/>
        </w:trPr>
        <w:tc>
          <w:tcPr>
            <w:tcW w:w="2694" w:type="dxa"/>
            <w:tcBorders>
              <w:top w:val="nil"/>
              <w:left w:val="nil"/>
              <w:bottom w:val="nil"/>
              <w:right w:val="nil"/>
            </w:tcBorders>
            <w:shd w:val="clear" w:color="auto" w:fill="auto"/>
          </w:tcPr>
          <w:p w:rsidR="000A0087" w:rsidRPr="007043E4" w:rsidRDefault="000A0087" w:rsidP="00F86890">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Amounts receivable for services</w:t>
            </w:r>
          </w:p>
        </w:tc>
        <w:tc>
          <w:tcPr>
            <w:tcW w:w="1134" w:type="dxa"/>
            <w:tcBorders>
              <w:top w:val="nil"/>
              <w:left w:val="nil"/>
              <w:bottom w:val="nil"/>
              <w:right w:val="nil"/>
            </w:tcBorders>
            <w:shd w:val="clear" w:color="auto" w:fill="auto"/>
          </w:tcPr>
          <w:p w:rsidR="000A0087" w:rsidRPr="007043E4" w:rsidRDefault="00F86890"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H</w:t>
            </w:r>
          </w:p>
        </w:tc>
        <w:tc>
          <w:tcPr>
            <w:tcW w:w="1134" w:type="dxa"/>
            <w:tcBorders>
              <w:top w:val="nil"/>
              <w:left w:val="nil"/>
              <w:bottom w:val="nil"/>
              <w:right w:val="nil"/>
            </w:tcBorders>
            <w:shd w:val="clear" w:color="auto" w:fill="auto"/>
          </w:tcPr>
          <w:p w:rsidR="000A0087"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50</w:t>
            </w:r>
          </w:p>
        </w:tc>
        <w:tc>
          <w:tcPr>
            <w:tcW w:w="1134" w:type="dxa"/>
            <w:tcBorders>
              <w:top w:val="nil"/>
              <w:left w:val="nil"/>
              <w:bottom w:val="nil"/>
              <w:right w:val="nil"/>
            </w:tcBorders>
            <w:shd w:val="clear" w:color="auto" w:fill="E0DCCB" w:themeFill="accent4" w:themeFillTint="66"/>
          </w:tcPr>
          <w:p w:rsidR="000A0087"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50</w:t>
            </w:r>
          </w:p>
        </w:tc>
        <w:tc>
          <w:tcPr>
            <w:tcW w:w="1275" w:type="dxa"/>
            <w:tcBorders>
              <w:top w:val="nil"/>
              <w:left w:val="nil"/>
              <w:bottom w:val="nil"/>
              <w:right w:val="nil"/>
            </w:tcBorders>
            <w:shd w:val="clear" w:color="auto" w:fill="auto"/>
          </w:tcPr>
          <w:p w:rsidR="000A0087" w:rsidRPr="007043E4"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87</w:t>
            </w:r>
          </w:p>
        </w:tc>
        <w:tc>
          <w:tcPr>
            <w:tcW w:w="1134" w:type="dxa"/>
            <w:tcBorders>
              <w:top w:val="nil"/>
              <w:left w:val="nil"/>
              <w:bottom w:val="nil"/>
              <w:right w:val="nil"/>
            </w:tcBorders>
            <w:shd w:val="clear" w:color="auto" w:fill="auto"/>
          </w:tcPr>
          <w:p w:rsidR="000A0087" w:rsidRPr="007043E4"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349" w:type="dxa"/>
            <w:tcBorders>
              <w:top w:val="nil"/>
              <w:left w:val="nil"/>
              <w:bottom w:val="nil"/>
              <w:right w:val="nil"/>
            </w:tcBorders>
            <w:shd w:val="clear" w:color="auto" w:fill="auto"/>
          </w:tcPr>
          <w:p w:rsidR="000A0087" w:rsidRPr="007043E4"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(37)</w:t>
            </w:r>
          </w:p>
        </w:tc>
      </w:tr>
      <w:tr w:rsidR="000A0087" w:rsidRPr="007043E4" w:rsidTr="007F573F">
        <w:trPr>
          <w:trHeight w:val="270"/>
        </w:trPr>
        <w:tc>
          <w:tcPr>
            <w:tcW w:w="2694" w:type="dxa"/>
            <w:tcBorders>
              <w:top w:val="nil"/>
              <w:left w:val="nil"/>
              <w:bottom w:val="single" w:sz="4" w:space="0" w:color="E0DCCB" w:themeColor="accent4" w:themeTint="66"/>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Other current assets</w:t>
            </w:r>
          </w:p>
        </w:tc>
        <w:tc>
          <w:tcPr>
            <w:tcW w:w="1134" w:type="dxa"/>
            <w:tcBorders>
              <w:top w:val="nil"/>
              <w:left w:val="nil"/>
              <w:bottom w:val="single" w:sz="4" w:space="0" w:color="E0DCCB" w:themeColor="accent4" w:themeTint="66"/>
              <w:right w:val="nil"/>
            </w:tcBorders>
            <w:shd w:val="clear" w:color="auto" w:fill="auto"/>
            <w:vAlign w:val="center"/>
          </w:tcPr>
          <w:p w:rsidR="000A0087" w:rsidRPr="007043E4" w:rsidRDefault="00F86890"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I</w:t>
            </w:r>
          </w:p>
        </w:tc>
        <w:tc>
          <w:tcPr>
            <w:tcW w:w="1134" w:type="dxa"/>
            <w:tcBorders>
              <w:top w:val="nil"/>
              <w:left w:val="nil"/>
              <w:bottom w:val="single" w:sz="4" w:space="0" w:color="E0DCCB" w:themeColor="accent4" w:themeTint="66"/>
              <w:right w:val="nil"/>
            </w:tcBorders>
            <w:shd w:val="clear" w:color="auto" w:fill="auto"/>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7</w:t>
            </w:r>
          </w:p>
        </w:tc>
        <w:tc>
          <w:tcPr>
            <w:tcW w:w="1134" w:type="dxa"/>
            <w:tcBorders>
              <w:top w:val="nil"/>
              <w:left w:val="nil"/>
              <w:bottom w:val="single" w:sz="4" w:space="0" w:color="FFFFFF" w:themeColor="background1"/>
              <w:right w:val="nil"/>
            </w:tcBorders>
            <w:shd w:val="clear" w:color="auto" w:fill="E0DCCB" w:themeFill="accent4" w:themeFillTint="66"/>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32</w:t>
            </w:r>
          </w:p>
        </w:tc>
        <w:tc>
          <w:tcPr>
            <w:tcW w:w="1275" w:type="dxa"/>
            <w:tcBorders>
              <w:top w:val="nil"/>
              <w:left w:val="nil"/>
              <w:bottom w:val="single" w:sz="4" w:space="0" w:color="E0DCCB" w:themeColor="accent4" w:themeTint="66"/>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highlight w:val="yellow"/>
                <w:lang w:eastAsia="en-AU"/>
              </w:rPr>
            </w:pPr>
            <w:r>
              <w:rPr>
                <w:rFonts w:ascii="Arial" w:eastAsia="Times New Roman" w:hAnsi="Arial" w:cs="Arial"/>
                <w:sz w:val="20"/>
                <w:szCs w:val="20"/>
                <w:lang w:eastAsia="en-AU"/>
              </w:rPr>
              <w:t>2</w:t>
            </w:r>
          </w:p>
        </w:tc>
        <w:tc>
          <w:tcPr>
            <w:tcW w:w="1134" w:type="dxa"/>
            <w:tcBorders>
              <w:top w:val="nil"/>
              <w:left w:val="nil"/>
              <w:bottom w:val="single" w:sz="4" w:space="0" w:color="E0DCCB" w:themeColor="accent4" w:themeTint="66"/>
              <w:right w:val="nil"/>
            </w:tcBorders>
            <w:shd w:val="clear" w:color="auto" w:fill="auto"/>
            <w:vAlign w:val="center"/>
          </w:tcPr>
          <w:p w:rsidR="000A0087" w:rsidRPr="009525FF" w:rsidRDefault="000A0087" w:rsidP="007F573F">
            <w:pPr>
              <w:pStyle w:val="Financials"/>
              <w:jc w:val="right"/>
              <w:rPr>
                <w:rFonts w:ascii="Arial" w:eastAsia="Times New Roman" w:hAnsi="Arial" w:cs="Arial"/>
                <w:sz w:val="20"/>
                <w:szCs w:val="20"/>
                <w:lang w:eastAsia="en-AU"/>
              </w:rPr>
            </w:pPr>
            <w:r w:rsidRPr="009525FF">
              <w:rPr>
                <w:rFonts w:ascii="Arial" w:eastAsia="Times New Roman" w:hAnsi="Arial" w:cs="Arial"/>
                <w:sz w:val="20"/>
                <w:szCs w:val="20"/>
                <w:lang w:eastAsia="en-AU"/>
              </w:rPr>
              <w:t>25</w:t>
            </w:r>
          </w:p>
        </w:tc>
        <w:tc>
          <w:tcPr>
            <w:tcW w:w="1349" w:type="dxa"/>
            <w:tcBorders>
              <w:top w:val="nil"/>
              <w:left w:val="nil"/>
              <w:bottom w:val="single" w:sz="4" w:space="0" w:color="E0DCCB" w:themeColor="accent4" w:themeTint="66"/>
              <w:right w:val="nil"/>
            </w:tcBorders>
            <w:shd w:val="clear" w:color="auto" w:fill="auto"/>
            <w:vAlign w:val="center"/>
          </w:tcPr>
          <w:p w:rsidR="000A0087" w:rsidRPr="009525FF" w:rsidRDefault="000A0087" w:rsidP="007F573F">
            <w:pPr>
              <w:pStyle w:val="Financials"/>
              <w:jc w:val="right"/>
              <w:rPr>
                <w:rFonts w:ascii="Arial" w:eastAsia="Times New Roman" w:hAnsi="Arial" w:cs="Arial"/>
                <w:sz w:val="20"/>
                <w:szCs w:val="20"/>
                <w:lang w:eastAsia="en-AU"/>
              </w:rPr>
            </w:pPr>
            <w:r w:rsidRPr="009525FF">
              <w:rPr>
                <w:rFonts w:ascii="Arial" w:eastAsia="Times New Roman" w:hAnsi="Arial" w:cs="Arial"/>
                <w:sz w:val="20"/>
                <w:szCs w:val="20"/>
                <w:lang w:eastAsia="en-AU"/>
              </w:rPr>
              <w:t>30</w:t>
            </w:r>
          </w:p>
        </w:tc>
      </w:tr>
      <w:tr w:rsidR="000A0087" w:rsidRPr="007043E4" w:rsidTr="00F86890">
        <w:trPr>
          <w:trHeight w:val="270"/>
        </w:trPr>
        <w:tc>
          <w:tcPr>
            <w:tcW w:w="2694"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7043E4" w:rsidRDefault="000A0087" w:rsidP="00F86890">
            <w:pPr>
              <w:pStyle w:val="Financials"/>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t>Total Current Assets</w:t>
            </w:r>
          </w:p>
        </w:tc>
        <w:tc>
          <w:tcPr>
            <w:tcW w:w="1134"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F86890">
            <w:pPr>
              <w:pStyle w:val="Financials"/>
              <w:jc w:val="right"/>
              <w:rPr>
                <w:rFonts w:ascii="Arial" w:eastAsia="Times New Roman" w:hAnsi="Arial" w:cs="Arial"/>
                <w:sz w:val="20"/>
                <w:szCs w:val="20"/>
                <w:lang w:eastAsia="en-AU"/>
              </w:rPr>
            </w:pPr>
          </w:p>
        </w:tc>
        <w:tc>
          <w:tcPr>
            <w:tcW w:w="1134"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Default="000A0087" w:rsidP="00F8689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fldChar w:fldCharType="begin"/>
            </w:r>
            <w:r>
              <w:rPr>
                <w:rFonts w:ascii="Arial" w:eastAsia="Times New Roman" w:hAnsi="Arial" w:cs="Arial"/>
                <w:b/>
                <w:bCs/>
                <w:sz w:val="20"/>
                <w:szCs w:val="20"/>
                <w:lang w:eastAsia="en-AU"/>
              </w:rPr>
              <w:instrText xml:space="preserve"> =SUM(ABOVE) </w:instrText>
            </w:r>
            <w:r>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724</w:t>
            </w:r>
            <w:r>
              <w:rPr>
                <w:rFonts w:ascii="Arial" w:eastAsia="Times New Roman" w:hAnsi="Arial" w:cs="Arial"/>
                <w:b/>
                <w:bCs/>
                <w:sz w:val="20"/>
                <w:szCs w:val="20"/>
                <w:lang w:eastAsia="en-AU"/>
              </w:rPr>
              <w:fldChar w:fldCharType="end"/>
            </w:r>
          </w:p>
        </w:tc>
        <w:tc>
          <w:tcPr>
            <w:tcW w:w="1134"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0A0087" w:rsidRDefault="000A0087" w:rsidP="00F8689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fldChar w:fldCharType="begin"/>
            </w:r>
            <w:r>
              <w:rPr>
                <w:rFonts w:ascii="Arial" w:eastAsia="Times New Roman" w:hAnsi="Arial" w:cs="Arial"/>
                <w:b/>
                <w:bCs/>
                <w:sz w:val="20"/>
                <w:szCs w:val="20"/>
                <w:lang w:eastAsia="en-AU"/>
              </w:rPr>
              <w:instrText xml:space="preserve"> =SUM(ABOVE) </w:instrText>
            </w:r>
            <w:r>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748</w:t>
            </w:r>
            <w:r>
              <w:rPr>
                <w:rFonts w:ascii="Arial" w:eastAsia="Times New Roman" w:hAnsi="Arial" w:cs="Arial"/>
                <w:b/>
                <w:bCs/>
                <w:sz w:val="20"/>
                <w:szCs w:val="20"/>
                <w:lang w:eastAsia="en-AU"/>
              </w:rPr>
              <w:fldChar w:fldCharType="end"/>
            </w:r>
          </w:p>
        </w:tc>
        <w:tc>
          <w:tcPr>
            <w:tcW w:w="1275"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F86890">
            <w:pPr>
              <w:pStyle w:val="Financials"/>
              <w:jc w:val="right"/>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fldChar w:fldCharType="begin"/>
            </w:r>
            <w:r w:rsidRPr="005D6BC7">
              <w:rPr>
                <w:rFonts w:ascii="Arial" w:eastAsia="Times New Roman" w:hAnsi="Arial" w:cs="Arial"/>
                <w:b/>
                <w:bCs/>
                <w:sz w:val="20"/>
                <w:szCs w:val="20"/>
                <w:lang w:eastAsia="en-AU"/>
              </w:rPr>
              <w:instrText xml:space="preserve"> =SUM(ABOVE) </w:instrText>
            </w:r>
            <w:r w:rsidRPr="005D6BC7">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639</w:t>
            </w:r>
            <w:r w:rsidRPr="005D6BC7">
              <w:rPr>
                <w:rFonts w:ascii="Arial" w:eastAsia="Times New Roman" w:hAnsi="Arial" w:cs="Arial"/>
                <w:b/>
                <w:bCs/>
                <w:sz w:val="20"/>
                <w:szCs w:val="20"/>
                <w:lang w:eastAsia="en-AU"/>
              </w:rPr>
              <w:fldChar w:fldCharType="end"/>
            </w:r>
          </w:p>
        </w:tc>
        <w:tc>
          <w:tcPr>
            <w:tcW w:w="1134"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F86890">
            <w:pPr>
              <w:pStyle w:val="Financials"/>
              <w:jc w:val="right"/>
              <w:rPr>
                <w:rFonts w:ascii="Arial" w:eastAsia="Times New Roman" w:hAnsi="Arial" w:cs="Arial"/>
                <w:b/>
                <w:bCs/>
                <w:sz w:val="20"/>
                <w:szCs w:val="20"/>
                <w:highlight w:val="yellow"/>
                <w:lang w:eastAsia="en-AU"/>
              </w:rPr>
            </w:pPr>
            <w:r>
              <w:rPr>
                <w:rFonts w:ascii="Arial" w:eastAsia="Times New Roman" w:hAnsi="Arial" w:cs="Arial"/>
                <w:b/>
                <w:bCs/>
                <w:sz w:val="20"/>
                <w:szCs w:val="20"/>
                <w:lang w:eastAsia="en-AU"/>
              </w:rPr>
              <w:t>24</w:t>
            </w:r>
          </w:p>
        </w:tc>
        <w:tc>
          <w:tcPr>
            <w:tcW w:w="1349"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7043E4" w:rsidRDefault="000A0087" w:rsidP="00F86890">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109</w:t>
            </w:r>
          </w:p>
        </w:tc>
      </w:tr>
      <w:tr w:rsidR="000A0087" w:rsidRPr="00D578E2" w:rsidTr="007F573F">
        <w:trPr>
          <w:trHeight w:val="167"/>
        </w:trPr>
        <w:tc>
          <w:tcPr>
            <w:tcW w:w="2694" w:type="dxa"/>
            <w:tcBorders>
              <w:top w:val="single" w:sz="4" w:space="0" w:color="E0DCCB" w:themeColor="accent4" w:themeTint="66"/>
              <w:left w:val="nil"/>
              <w:bottom w:val="nil"/>
              <w:right w:val="nil"/>
            </w:tcBorders>
            <w:shd w:val="clear" w:color="auto" w:fill="auto"/>
            <w:vAlign w:val="center"/>
            <w:hideMark/>
          </w:tcPr>
          <w:p w:rsidR="000A0087" w:rsidRPr="00D578E2" w:rsidRDefault="000A0087" w:rsidP="00F6395E">
            <w:pPr>
              <w:pStyle w:val="Financials"/>
              <w:rPr>
                <w:rFonts w:ascii="Arial" w:eastAsia="Times New Roman" w:hAnsi="Arial" w:cs="Arial"/>
                <w:sz w:val="8"/>
                <w:szCs w:val="8"/>
                <w:lang w:eastAsia="en-AU"/>
              </w:rPr>
            </w:pPr>
          </w:p>
        </w:tc>
        <w:tc>
          <w:tcPr>
            <w:tcW w:w="1134" w:type="dxa"/>
            <w:tcBorders>
              <w:top w:val="single" w:sz="4" w:space="0" w:color="E0DCCB" w:themeColor="accent4" w:themeTint="66"/>
              <w:left w:val="nil"/>
              <w:bottom w:val="nil"/>
              <w:right w:val="nil"/>
            </w:tcBorders>
            <w:shd w:val="clear" w:color="auto" w:fill="auto"/>
            <w:vAlign w:val="center"/>
            <w:hideMark/>
          </w:tcPr>
          <w:p w:rsidR="000A0087" w:rsidRPr="00D578E2" w:rsidRDefault="000A0087" w:rsidP="007F573F">
            <w:pPr>
              <w:pStyle w:val="Financials"/>
              <w:jc w:val="right"/>
              <w:rPr>
                <w:rFonts w:ascii="Arial" w:eastAsia="Times New Roman" w:hAnsi="Arial" w:cs="Arial"/>
                <w:sz w:val="8"/>
                <w:szCs w:val="8"/>
                <w:lang w:eastAsia="en-AU"/>
              </w:rPr>
            </w:pPr>
          </w:p>
        </w:tc>
        <w:tc>
          <w:tcPr>
            <w:tcW w:w="1134" w:type="dxa"/>
            <w:tcBorders>
              <w:top w:val="single" w:sz="4" w:space="0" w:color="E0DCCB" w:themeColor="accent4" w:themeTint="66"/>
              <w:left w:val="nil"/>
              <w:bottom w:val="nil"/>
              <w:right w:val="nil"/>
            </w:tcBorders>
            <w:shd w:val="clear" w:color="auto" w:fill="auto"/>
          </w:tcPr>
          <w:p w:rsidR="000A0087" w:rsidRPr="00D578E2" w:rsidRDefault="000A0087" w:rsidP="007F573F">
            <w:pPr>
              <w:pStyle w:val="Financials"/>
              <w:jc w:val="right"/>
              <w:rPr>
                <w:rFonts w:ascii="Arial" w:eastAsia="Times New Roman" w:hAnsi="Arial" w:cs="Arial"/>
                <w:sz w:val="8"/>
                <w:szCs w:val="8"/>
                <w:lang w:eastAsia="en-AU"/>
              </w:rPr>
            </w:pPr>
          </w:p>
        </w:tc>
        <w:tc>
          <w:tcPr>
            <w:tcW w:w="1134" w:type="dxa"/>
            <w:tcBorders>
              <w:top w:val="single" w:sz="4" w:space="0" w:color="FFFFFF" w:themeColor="background1"/>
              <w:left w:val="nil"/>
              <w:bottom w:val="nil"/>
              <w:right w:val="nil"/>
            </w:tcBorders>
            <w:shd w:val="clear" w:color="auto" w:fill="E0DCCB" w:themeFill="accent4" w:themeFillTint="66"/>
          </w:tcPr>
          <w:p w:rsidR="000A0087" w:rsidRPr="00D578E2" w:rsidRDefault="000A0087" w:rsidP="007F573F">
            <w:pPr>
              <w:pStyle w:val="Financials"/>
              <w:jc w:val="right"/>
              <w:rPr>
                <w:rFonts w:ascii="Arial" w:eastAsia="Times New Roman" w:hAnsi="Arial" w:cs="Arial"/>
                <w:sz w:val="8"/>
                <w:szCs w:val="8"/>
                <w:lang w:eastAsia="en-AU"/>
              </w:rPr>
            </w:pPr>
          </w:p>
        </w:tc>
        <w:tc>
          <w:tcPr>
            <w:tcW w:w="1275" w:type="dxa"/>
            <w:tcBorders>
              <w:top w:val="single" w:sz="4" w:space="0" w:color="E0DCCB" w:themeColor="accent4" w:themeTint="66"/>
              <w:left w:val="nil"/>
              <w:bottom w:val="nil"/>
              <w:right w:val="nil"/>
            </w:tcBorders>
            <w:shd w:val="clear" w:color="auto" w:fill="auto"/>
            <w:vAlign w:val="center"/>
          </w:tcPr>
          <w:p w:rsidR="000A0087" w:rsidRPr="00D578E2" w:rsidRDefault="000A0087" w:rsidP="007F573F">
            <w:pPr>
              <w:pStyle w:val="Financials"/>
              <w:jc w:val="right"/>
              <w:rPr>
                <w:rFonts w:ascii="Arial" w:eastAsia="Times New Roman" w:hAnsi="Arial" w:cs="Arial"/>
                <w:sz w:val="8"/>
                <w:szCs w:val="8"/>
                <w:lang w:eastAsia="en-AU"/>
              </w:rPr>
            </w:pPr>
          </w:p>
        </w:tc>
        <w:tc>
          <w:tcPr>
            <w:tcW w:w="1134" w:type="dxa"/>
            <w:tcBorders>
              <w:top w:val="single" w:sz="4" w:space="0" w:color="E0DCCB" w:themeColor="accent4" w:themeTint="66"/>
              <w:left w:val="nil"/>
              <w:bottom w:val="nil"/>
              <w:right w:val="nil"/>
            </w:tcBorders>
            <w:shd w:val="clear" w:color="auto" w:fill="auto"/>
          </w:tcPr>
          <w:p w:rsidR="000A0087" w:rsidRPr="00D578E2" w:rsidRDefault="000A0087" w:rsidP="007F573F">
            <w:pPr>
              <w:pStyle w:val="Financials"/>
              <w:jc w:val="right"/>
              <w:rPr>
                <w:rFonts w:ascii="Arial" w:eastAsia="Times New Roman" w:hAnsi="Arial" w:cs="Arial"/>
                <w:sz w:val="8"/>
                <w:szCs w:val="8"/>
                <w:lang w:eastAsia="en-AU"/>
              </w:rPr>
            </w:pPr>
          </w:p>
        </w:tc>
        <w:tc>
          <w:tcPr>
            <w:tcW w:w="1349" w:type="dxa"/>
            <w:tcBorders>
              <w:top w:val="single" w:sz="4" w:space="0" w:color="E0DCCB" w:themeColor="accent4" w:themeTint="66"/>
              <w:left w:val="nil"/>
              <w:bottom w:val="nil"/>
              <w:right w:val="nil"/>
            </w:tcBorders>
            <w:shd w:val="clear" w:color="auto" w:fill="auto"/>
            <w:vAlign w:val="center"/>
          </w:tcPr>
          <w:p w:rsidR="000A0087" w:rsidRPr="00D578E2" w:rsidRDefault="000A0087" w:rsidP="007F573F">
            <w:pPr>
              <w:pStyle w:val="Financials"/>
              <w:jc w:val="right"/>
              <w:rPr>
                <w:rFonts w:ascii="Arial" w:eastAsia="Times New Roman" w:hAnsi="Arial" w:cs="Arial"/>
                <w:sz w:val="8"/>
                <w:szCs w:val="8"/>
                <w:lang w:eastAsia="en-AU"/>
              </w:rPr>
            </w:pPr>
          </w:p>
        </w:tc>
      </w:tr>
      <w:tr w:rsidR="000A0087" w:rsidRPr="007043E4" w:rsidTr="000A0087">
        <w:trPr>
          <w:trHeight w:val="255"/>
        </w:trPr>
        <w:tc>
          <w:tcPr>
            <w:tcW w:w="2694" w:type="dxa"/>
            <w:tcBorders>
              <w:top w:val="nil"/>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t>Non-Current Assets</w:t>
            </w:r>
          </w:p>
        </w:tc>
        <w:tc>
          <w:tcPr>
            <w:tcW w:w="1134" w:type="dxa"/>
            <w:tcBorders>
              <w:top w:val="nil"/>
              <w:left w:val="nil"/>
              <w:bottom w:val="nil"/>
              <w:right w:val="nil"/>
            </w:tcBorders>
            <w:shd w:val="clear" w:color="auto" w:fill="auto"/>
            <w:vAlign w:val="center"/>
            <w:hideMark/>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auto"/>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E0DCCB" w:themeFill="accent4" w:themeFillTint="66"/>
          </w:tcPr>
          <w:p w:rsidR="000A0087" w:rsidRPr="007043E4" w:rsidRDefault="000A0087" w:rsidP="007F573F">
            <w:pPr>
              <w:pStyle w:val="Financials"/>
              <w:jc w:val="right"/>
              <w:rPr>
                <w:rFonts w:ascii="Arial" w:eastAsia="Times New Roman" w:hAnsi="Arial" w:cs="Arial"/>
                <w:sz w:val="20"/>
                <w:szCs w:val="20"/>
                <w:lang w:eastAsia="en-AU"/>
              </w:rPr>
            </w:pPr>
          </w:p>
        </w:tc>
        <w:tc>
          <w:tcPr>
            <w:tcW w:w="1275"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349"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r>
      <w:tr w:rsidR="000A0087" w:rsidRPr="007043E4" w:rsidTr="00F86890">
        <w:trPr>
          <w:trHeight w:val="255"/>
        </w:trPr>
        <w:tc>
          <w:tcPr>
            <w:tcW w:w="2694" w:type="dxa"/>
            <w:tcBorders>
              <w:top w:val="nil"/>
              <w:left w:val="nil"/>
              <w:bottom w:val="nil"/>
              <w:right w:val="nil"/>
            </w:tcBorders>
            <w:shd w:val="clear" w:color="auto" w:fill="auto"/>
            <w:hideMark/>
          </w:tcPr>
          <w:p w:rsidR="000A0087" w:rsidRPr="007043E4" w:rsidRDefault="000A0087" w:rsidP="00F86890">
            <w:pPr>
              <w:pStyle w:val="Financials"/>
              <w:rPr>
                <w:rFonts w:ascii="Arial" w:eastAsia="Times New Roman" w:hAnsi="Arial" w:cs="Arial"/>
                <w:i/>
                <w:iCs/>
                <w:sz w:val="20"/>
                <w:szCs w:val="20"/>
                <w:lang w:eastAsia="en-AU"/>
              </w:rPr>
            </w:pPr>
            <w:r w:rsidRPr="005D6BC7">
              <w:rPr>
                <w:rFonts w:ascii="Arial" w:eastAsia="Times New Roman" w:hAnsi="Arial" w:cs="Arial"/>
                <w:sz w:val="20"/>
                <w:szCs w:val="20"/>
                <w:lang w:eastAsia="en-AU"/>
              </w:rPr>
              <w:t>Restricted cash and cash equivalents</w:t>
            </w:r>
          </w:p>
        </w:tc>
        <w:tc>
          <w:tcPr>
            <w:tcW w:w="1134" w:type="dxa"/>
            <w:tcBorders>
              <w:top w:val="nil"/>
              <w:left w:val="nil"/>
              <w:bottom w:val="nil"/>
              <w:right w:val="nil"/>
            </w:tcBorders>
            <w:shd w:val="clear" w:color="auto" w:fill="auto"/>
          </w:tcPr>
          <w:p w:rsidR="000A0087" w:rsidRPr="007043E4" w:rsidRDefault="00F86890"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6,J</w:t>
            </w:r>
          </w:p>
        </w:tc>
        <w:tc>
          <w:tcPr>
            <w:tcW w:w="1134" w:type="dxa"/>
            <w:tcBorders>
              <w:top w:val="nil"/>
              <w:left w:val="nil"/>
              <w:bottom w:val="nil"/>
              <w:right w:val="nil"/>
            </w:tcBorders>
            <w:shd w:val="clear" w:color="auto" w:fill="auto"/>
          </w:tcPr>
          <w:p w:rsidR="000A0087"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354</w:t>
            </w:r>
          </w:p>
        </w:tc>
        <w:tc>
          <w:tcPr>
            <w:tcW w:w="1134" w:type="dxa"/>
            <w:tcBorders>
              <w:top w:val="nil"/>
              <w:left w:val="nil"/>
              <w:bottom w:val="nil"/>
              <w:right w:val="nil"/>
            </w:tcBorders>
            <w:shd w:val="clear" w:color="auto" w:fill="E0DCCB" w:themeFill="accent4" w:themeFillTint="66"/>
          </w:tcPr>
          <w:p w:rsidR="000A0087"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275" w:type="dxa"/>
            <w:tcBorders>
              <w:top w:val="nil"/>
              <w:left w:val="nil"/>
              <w:bottom w:val="nil"/>
              <w:right w:val="nil"/>
            </w:tcBorders>
            <w:shd w:val="clear" w:color="auto" w:fill="auto"/>
          </w:tcPr>
          <w:p w:rsidR="000A0087" w:rsidRPr="007043E4"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323</w:t>
            </w:r>
          </w:p>
        </w:tc>
        <w:tc>
          <w:tcPr>
            <w:tcW w:w="1134" w:type="dxa"/>
            <w:tcBorders>
              <w:top w:val="nil"/>
              <w:left w:val="nil"/>
              <w:bottom w:val="nil"/>
              <w:right w:val="nil"/>
            </w:tcBorders>
            <w:shd w:val="clear" w:color="auto" w:fill="auto"/>
          </w:tcPr>
          <w:p w:rsidR="000A0087" w:rsidRPr="007043E4"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(354)</w:t>
            </w:r>
          </w:p>
        </w:tc>
        <w:tc>
          <w:tcPr>
            <w:tcW w:w="1349" w:type="dxa"/>
            <w:tcBorders>
              <w:top w:val="nil"/>
              <w:left w:val="nil"/>
              <w:bottom w:val="nil"/>
              <w:right w:val="nil"/>
            </w:tcBorders>
            <w:shd w:val="clear" w:color="auto" w:fill="auto"/>
          </w:tcPr>
          <w:p w:rsidR="000A0087" w:rsidRPr="007043E4"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(323)</w:t>
            </w:r>
          </w:p>
        </w:tc>
      </w:tr>
      <w:tr w:rsidR="000A0087" w:rsidRPr="007043E4" w:rsidTr="00F86890">
        <w:trPr>
          <w:trHeight w:val="270"/>
        </w:trPr>
        <w:tc>
          <w:tcPr>
            <w:tcW w:w="2694" w:type="dxa"/>
            <w:tcBorders>
              <w:left w:val="nil"/>
              <w:right w:val="nil"/>
            </w:tcBorders>
            <w:shd w:val="clear" w:color="auto" w:fill="auto"/>
            <w:hideMark/>
          </w:tcPr>
          <w:p w:rsidR="000A0087" w:rsidRPr="007043E4" w:rsidRDefault="000A0087" w:rsidP="00F86890">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Amounts receivable for services</w:t>
            </w:r>
          </w:p>
        </w:tc>
        <w:tc>
          <w:tcPr>
            <w:tcW w:w="1134" w:type="dxa"/>
            <w:tcBorders>
              <w:left w:val="nil"/>
              <w:right w:val="nil"/>
            </w:tcBorders>
            <w:shd w:val="clear" w:color="auto" w:fill="auto"/>
          </w:tcPr>
          <w:p w:rsidR="000A0087" w:rsidRPr="007043E4" w:rsidRDefault="000A0087" w:rsidP="00F86890">
            <w:pPr>
              <w:pStyle w:val="Financials"/>
              <w:jc w:val="right"/>
              <w:rPr>
                <w:rFonts w:ascii="Arial" w:eastAsia="Times New Roman" w:hAnsi="Arial" w:cs="Arial"/>
                <w:sz w:val="20"/>
                <w:szCs w:val="20"/>
                <w:lang w:eastAsia="en-AU"/>
              </w:rPr>
            </w:pPr>
          </w:p>
        </w:tc>
        <w:tc>
          <w:tcPr>
            <w:tcW w:w="1134" w:type="dxa"/>
            <w:tcBorders>
              <w:left w:val="nil"/>
              <w:right w:val="nil"/>
            </w:tcBorders>
            <w:shd w:val="clear" w:color="auto" w:fill="auto"/>
          </w:tcPr>
          <w:p w:rsidR="000A0087"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544</w:t>
            </w:r>
          </w:p>
        </w:tc>
        <w:tc>
          <w:tcPr>
            <w:tcW w:w="1134" w:type="dxa"/>
            <w:tcBorders>
              <w:left w:val="nil"/>
              <w:right w:val="nil"/>
            </w:tcBorders>
            <w:shd w:val="clear" w:color="auto" w:fill="E0DCCB" w:themeFill="accent4" w:themeFillTint="66"/>
          </w:tcPr>
          <w:p w:rsidR="000A0087"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544</w:t>
            </w:r>
          </w:p>
        </w:tc>
        <w:tc>
          <w:tcPr>
            <w:tcW w:w="1275" w:type="dxa"/>
            <w:tcBorders>
              <w:left w:val="nil"/>
              <w:right w:val="nil"/>
            </w:tcBorders>
            <w:shd w:val="clear" w:color="auto" w:fill="auto"/>
          </w:tcPr>
          <w:p w:rsidR="000A0087" w:rsidRPr="007043E4"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544</w:t>
            </w:r>
          </w:p>
        </w:tc>
        <w:tc>
          <w:tcPr>
            <w:tcW w:w="1134" w:type="dxa"/>
            <w:tcBorders>
              <w:left w:val="nil"/>
              <w:right w:val="nil"/>
            </w:tcBorders>
            <w:shd w:val="clear" w:color="auto" w:fill="auto"/>
          </w:tcPr>
          <w:p w:rsidR="000A0087" w:rsidRPr="007043E4"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349" w:type="dxa"/>
            <w:tcBorders>
              <w:left w:val="nil"/>
              <w:right w:val="nil"/>
            </w:tcBorders>
            <w:shd w:val="clear" w:color="auto" w:fill="auto"/>
          </w:tcPr>
          <w:p w:rsidR="000A0087" w:rsidRPr="007043E4"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r>
      <w:tr w:rsidR="000A0087" w:rsidRPr="007043E4" w:rsidTr="000A0087">
        <w:trPr>
          <w:trHeight w:val="255"/>
        </w:trPr>
        <w:tc>
          <w:tcPr>
            <w:tcW w:w="2694" w:type="dxa"/>
            <w:tcBorders>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Plant and equipment</w:t>
            </w:r>
          </w:p>
        </w:tc>
        <w:tc>
          <w:tcPr>
            <w:tcW w:w="1134" w:type="dxa"/>
            <w:tcBorders>
              <w:left w:val="nil"/>
              <w:bottom w:val="nil"/>
              <w:right w:val="nil"/>
            </w:tcBorders>
            <w:shd w:val="clear" w:color="auto" w:fill="auto"/>
            <w:vAlign w:val="center"/>
          </w:tcPr>
          <w:p w:rsidR="000A0087" w:rsidRPr="007043E4" w:rsidRDefault="00F86890"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7,K</w:t>
            </w:r>
          </w:p>
        </w:tc>
        <w:tc>
          <w:tcPr>
            <w:tcW w:w="1134" w:type="dxa"/>
            <w:tcBorders>
              <w:left w:val="nil"/>
              <w:bottom w:val="nil"/>
              <w:right w:val="nil"/>
            </w:tcBorders>
            <w:shd w:val="clear" w:color="auto" w:fill="auto"/>
          </w:tcPr>
          <w:p w:rsidR="000A0087" w:rsidRPr="007043E4" w:rsidRDefault="00F86890"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291</w:t>
            </w:r>
          </w:p>
        </w:tc>
        <w:tc>
          <w:tcPr>
            <w:tcW w:w="1134" w:type="dxa"/>
            <w:tcBorders>
              <w:left w:val="nil"/>
              <w:bottom w:val="nil"/>
              <w:right w:val="nil"/>
            </w:tcBorders>
            <w:shd w:val="clear" w:color="auto" w:fill="E0DCCB" w:themeFill="accent4" w:themeFillTint="66"/>
          </w:tcPr>
          <w:p w:rsidR="000A0087" w:rsidRPr="007043E4"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162</w:t>
            </w:r>
          </w:p>
        </w:tc>
        <w:tc>
          <w:tcPr>
            <w:tcW w:w="1275" w:type="dxa"/>
            <w:tcBorders>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313</w:t>
            </w:r>
          </w:p>
        </w:tc>
        <w:tc>
          <w:tcPr>
            <w:tcW w:w="1134" w:type="dxa"/>
            <w:tcBorders>
              <w:left w:val="nil"/>
              <w:bottom w:val="nil"/>
              <w:right w:val="nil"/>
            </w:tcBorders>
            <w:shd w:val="clear" w:color="auto" w:fill="auto"/>
            <w:vAlign w:val="center"/>
          </w:tcPr>
          <w:p w:rsidR="000A0087" w:rsidRPr="007043E4" w:rsidRDefault="000A0087" w:rsidP="00F86890">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F86890">
              <w:rPr>
                <w:rFonts w:ascii="Arial" w:eastAsia="Times New Roman" w:hAnsi="Arial" w:cs="Arial"/>
                <w:sz w:val="20"/>
                <w:szCs w:val="20"/>
                <w:lang w:eastAsia="en-AU"/>
              </w:rPr>
              <w:t>128</w:t>
            </w:r>
            <w:r>
              <w:rPr>
                <w:rFonts w:ascii="Arial" w:eastAsia="Times New Roman" w:hAnsi="Arial" w:cs="Arial"/>
                <w:sz w:val="20"/>
                <w:szCs w:val="20"/>
                <w:lang w:eastAsia="en-AU"/>
              </w:rPr>
              <w:t>)</w:t>
            </w:r>
          </w:p>
        </w:tc>
        <w:tc>
          <w:tcPr>
            <w:tcW w:w="1349" w:type="dxa"/>
            <w:tcBorders>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(151)</w:t>
            </w:r>
          </w:p>
        </w:tc>
      </w:tr>
      <w:tr w:rsidR="000A0087" w:rsidRPr="007043E4" w:rsidTr="000A0087">
        <w:trPr>
          <w:trHeight w:val="255"/>
        </w:trPr>
        <w:tc>
          <w:tcPr>
            <w:tcW w:w="2694" w:type="dxa"/>
            <w:tcBorders>
              <w:top w:val="nil"/>
              <w:left w:val="nil"/>
              <w:right w:val="nil"/>
            </w:tcBorders>
            <w:shd w:val="clear" w:color="auto" w:fill="auto"/>
            <w:vAlign w:val="center"/>
          </w:tcPr>
          <w:p w:rsidR="000A0087" w:rsidRPr="005D6BC7"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Intangible assets</w:t>
            </w:r>
          </w:p>
        </w:tc>
        <w:tc>
          <w:tcPr>
            <w:tcW w:w="1134" w:type="dxa"/>
            <w:tcBorders>
              <w:top w:val="nil"/>
              <w:left w:val="nil"/>
              <w:right w:val="nil"/>
            </w:tcBorders>
            <w:shd w:val="clear" w:color="auto" w:fill="auto"/>
            <w:vAlign w:val="center"/>
          </w:tcPr>
          <w:p w:rsidR="000A0087"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right w:val="nil"/>
            </w:tcBorders>
            <w:shd w:val="clear" w:color="auto" w:fill="auto"/>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204</w:t>
            </w:r>
          </w:p>
        </w:tc>
        <w:tc>
          <w:tcPr>
            <w:tcW w:w="1134" w:type="dxa"/>
            <w:tcBorders>
              <w:top w:val="nil"/>
              <w:left w:val="nil"/>
              <w:right w:val="nil"/>
            </w:tcBorders>
            <w:shd w:val="clear" w:color="auto" w:fill="E0DCCB" w:themeFill="accent4" w:themeFillTint="66"/>
            <w:vAlign w:val="center"/>
          </w:tcPr>
          <w:p w:rsidR="000A0087" w:rsidRPr="007043E4"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156</w:t>
            </w:r>
          </w:p>
        </w:tc>
        <w:tc>
          <w:tcPr>
            <w:tcW w:w="1275" w:type="dxa"/>
            <w:tcBorders>
              <w:top w:val="nil"/>
              <w:left w:val="nil"/>
              <w:right w:val="nil"/>
            </w:tcBorders>
            <w:shd w:val="clear" w:color="auto" w:fill="auto"/>
            <w:vAlign w:val="center"/>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155</w:t>
            </w:r>
          </w:p>
        </w:tc>
        <w:tc>
          <w:tcPr>
            <w:tcW w:w="1134" w:type="dxa"/>
            <w:tcBorders>
              <w:top w:val="nil"/>
              <w:left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(48)</w:t>
            </w:r>
          </w:p>
        </w:tc>
        <w:tc>
          <w:tcPr>
            <w:tcW w:w="1349" w:type="dxa"/>
            <w:tcBorders>
              <w:top w:val="nil"/>
              <w:left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w:t>
            </w:r>
          </w:p>
        </w:tc>
      </w:tr>
      <w:tr w:rsidR="00F86890" w:rsidRPr="007043E4" w:rsidTr="000A0087">
        <w:trPr>
          <w:trHeight w:val="255"/>
        </w:trPr>
        <w:tc>
          <w:tcPr>
            <w:tcW w:w="2694" w:type="dxa"/>
            <w:tcBorders>
              <w:top w:val="nil"/>
              <w:left w:val="nil"/>
              <w:right w:val="nil"/>
            </w:tcBorders>
            <w:shd w:val="clear" w:color="auto" w:fill="auto"/>
            <w:vAlign w:val="center"/>
          </w:tcPr>
          <w:p w:rsidR="00F86890" w:rsidRPr="005D6BC7" w:rsidRDefault="00F86890" w:rsidP="00F6395E">
            <w:pPr>
              <w:pStyle w:val="Financials"/>
              <w:rPr>
                <w:rFonts w:ascii="Arial" w:eastAsia="Times New Roman" w:hAnsi="Arial" w:cs="Arial"/>
                <w:sz w:val="20"/>
                <w:szCs w:val="20"/>
                <w:lang w:eastAsia="en-AU"/>
              </w:rPr>
            </w:pPr>
            <w:r>
              <w:rPr>
                <w:rFonts w:ascii="Arial" w:eastAsia="Times New Roman" w:hAnsi="Arial" w:cs="Arial"/>
                <w:sz w:val="20"/>
                <w:szCs w:val="20"/>
                <w:lang w:eastAsia="en-AU"/>
              </w:rPr>
              <w:t>Other</w:t>
            </w:r>
          </w:p>
        </w:tc>
        <w:tc>
          <w:tcPr>
            <w:tcW w:w="1134" w:type="dxa"/>
            <w:tcBorders>
              <w:top w:val="nil"/>
              <w:left w:val="nil"/>
              <w:right w:val="nil"/>
            </w:tcBorders>
            <w:shd w:val="clear" w:color="auto" w:fill="auto"/>
            <w:vAlign w:val="center"/>
          </w:tcPr>
          <w:p w:rsidR="00F86890" w:rsidRDefault="00F86890"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8</w:t>
            </w:r>
          </w:p>
        </w:tc>
        <w:tc>
          <w:tcPr>
            <w:tcW w:w="1134" w:type="dxa"/>
            <w:tcBorders>
              <w:top w:val="nil"/>
              <w:left w:val="nil"/>
              <w:right w:val="nil"/>
            </w:tcBorders>
            <w:shd w:val="clear" w:color="auto" w:fill="auto"/>
          </w:tcPr>
          <w:p w:rsidR="00F86890" w:rsidRDefault="00F86890"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215</w:t>
            </w:r>
          </w:p>
        </w:tc>
        <w:tc>
          <w:tcPr>
            <w:tcW w:w="1134" w:type="dxa"/>
            <w:tcBorders>
              <w:top w:val="nil"/>
              <w:left w:val="nil"/>
              <w:right w:val="nil"/>
            </w:tcBorders>
            <w:shd w:val="clear" w:color="auto" w:fill="E0DCCB" w:themeFill="accent4" w:themeFillTint="66"/>
            <w:vAlign w:val="center"/>
          </w:tcPr>
          <w:p w:rsidR="00F86890" w:rsidRDefault="00F86890"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275" w:type="dxa"/>
            <w:tcBorders>
              <w:top w:val="nil"/>
              <w:left w:val="nil"/>
              <w:right w:val="nil"/>
            </w:tcBorders>
            <w:shd w:val="clear" w:color="auto" w:fill="auto"/>
            <w:vAlign w:val="center"/>
          </w:tcPr>
          <w:p w:rsidR="00F86890" w:rsidRDefault="00F86890"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134" w:type="dxa"/>
            <w:tcBorders>
              <w:top w:val="nil"/>
              <w:left w:val="nil"/>
              <w:right w:val="nil"/>
            </w:tcBorders>
            <w:shd w:val="clear" w:color="auto" w:fill="auto"/>
            <w:vAlign w:val="center"/>
          </w:tcPr>
          <w:p w:rsidR="00F86890" w:rsidRDefault="00F86890"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(215)</w:t>
            </w:r>
          </w:p>
        </w:tc>
        <w:tc>
          <w:tcPr>
            <w:tcW w:w="1349" w:type="dxa"/>
            <w:tcBorders>
              <w:top w:val="nil"/>
              <w:left w:val="nil"/>
              <w:right w:val="nil"/>
            </w:tcBorders>
            <w:shd w:val="clear" w:color="auto" w:fill="auto"/>
            <w:vAlign w:val="center"/>
          </w:tcPr>
          <w:p w:rsidR="00F86890" w:rsidRDefault="00F86890"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r>
      <w:tr w:rsidR="000A0087" w:rsidRPr="007043E4" w:rsidTr="007F573F">
        <w:trPr>
          <w:trHeight w:val="270"/>
        </w:trPr>
        <w:tc>
          <w:tcPr>
            <w:tcW w:w="2694" w:type="dxa"/>
            <w:tcBorders>
              <w:top w:val="nil"/>
              <w:left w:val="nil"/>
              <w:bottom w:val="single" w:sz="4" w:space="0" w:color="E0DCCB" w:themeColor="accent4" w:themeTint="66"/>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b/>
                <w:bCs/>
                <w:sz w:val="20"/>
                <w:szCs w:val="20"/>
                <w:lang w:eastAsia="en-AU"/>
              </w:rPr>
              <w:t>Total Non-Current Assets</w:t>
            </w:r>
          </w:p>
        </w:tc>
        <w:tc>
          <w:tcPr>
            <w:tcW w:w="1134" w:type="dxa"/>
            <w:tcBorders>
              <w:top w:val="nil"/>
              <w:left w:val="nil"/>
              <w:bottom w:val="single" w:sz="4" w:space="0" w:color="E0DCCB" w:themeColor="accent4" w:themeTint="66"/>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single" w:sz="4" w:space="0" w:color="E0DCCB" w:themeColor="accent4" w:themeTint="66"/>
              <w:right w:val="nil"/>
            </w:tcBorders>
            <w:shd w:val="clear" w:color="auto" w:fill="auto"/>
          </w:tcPr>
          <w:p w:rsidR="000A0087" w:rsidRDefault="000A0087" w:rsidP="007F573F">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fldChar w:fldCharType="begin"/>
            </w:r>
            <w:r>
              <w:rPr>
                <w:rFonts w:ascii="Arial" w:eastAsia="Times New Roman" w:hAnsi="Arial" w:cs="Arial"/>
                <w:b/>
                <w:bCs/>
                <w:sz w:val="20"/>
                <w:szCs w:val="20"/>
                <w:lang w:eastAsia="en-AU"/>
              </w:rPr>
              <w:instrText xml:space="preserve"> =SUM(ABOVE) </w:instrText>
            </w:r>
            <w:r>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1608</w:t>
            </w:r>
            <w:r>
              <w:rPr>
                <w:rFonts w:ascii="Arial" w:eastAsia="Times New Roman" w:hAnsi="Arial" w:cs="Arial"/>
                <w:b/>
                <w:bCs/>
                <w:sz w:val="20"/>
                <w:szCs w:val="20"/>
                <w:lang w:eastAsia="en-AU"/>
              </w:rPr>
              <w:fldChar w:fldCharType="end"/>
            </w:r>
          </w:p>
        </w:tc>
        <w:tc>
          <w:tcPr>
            <w:tcW w:w="1134" w:type="dxa"/>
            <w:tcBorders>
              <w:top w:val="nil"/>
              <w:left w:val="nil"/>
              <w:bottom w:val="single" w:sz="4" w:space="0" w:color="FFFFFF" w:themeColor="background1"/>
              <w:right w:val="nil"/>
            </w:tcBorders>
            <w:shd w:val="clear" w:color="auto" w:fill="E0DCCB" w:themeFill="accent4" w:themeFillTint="66"/>
          </w:tcPr>
          <w:p w:rsidR="000A0087" w:rsidRDefault="000A0087" w:rsidP="007F573F">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fldChar w:fldCharType="begin"/>
            </w:r>
            <w:r>
              <w:rPr>
                <w:rFonts w:ascii="Arial" w:eastAsia="Times New Roman" w:hAnsi="Arial" w:cs="Arial"/>
                <w:b/>
                <w:bCs/>
                <w:sz w:val="20"/>
                <w:szCs w:val="20"/>
                <w:lang w:eastAsia="en-AU"/>
              </w:rPr>
              <w:instrText xml:space="preserve"> =SUM(ABOVE) </w:instrText>
            </w:r>
            <w:r>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862</w:t>
            </w:r>
            <w:r>
              <w:rPr>
                <w:rFonts w:ascii="Arial" w:eastAsia="Times New Roman" w:hAnsi="Arial" w:cs="Arial"/>
                <w:b/>
                <w:bCs/>
                <w:sz w:val="20"/>
                <w:szCs w:val="20"/>
                <w:lang w:eastAsia="en-AU"/>
              </w:rPr>
              <w:fldChar w:fldCharType="end"/>
            </w:r>
          </w:p>
        </w:tc>
        <w:tc>
          <w:tcPr>
            <w:tcW w:w="1275" w:type="dxa"/>
            <w:tcBorders>
              <w:top w:val="nil"/>
              <w:left w:val="nil"/>
              <w:bottom w:val="single" w:sz="4" w:space="0" w:color="E0DCCB" w:themeColor="accent4" w:themeTint="66"/>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r w:rsidRPr="005D6BC7">
              <w:rPr>
                <w:rFonts w:ascii="Arial" w:eastAsia="Times New Roman" w:hAnsi="Arial" w:cs="Arial"/>
                <w:b/>
                <w:bCs/>
                <w:sz w:val="20"/>
                <w:szCs w:val="20"/>
                <w:lang w:eastAsia="en-AU"/>
              </w:rPr>
              <w:fldChar w:fldCharType="begin"/>
            </w:r>
            <w:r w:rsidRPr="005D6BC7">
              <w:rPr>
                <w:rFonts w:ascii="Arial" w:eastAsia="Times New Roman" w:hAnsi="Arial" w:cs="Arial"/>
                <w:b/>
                <w:bCs/>
                <w:sz w:val="20"/>
                <w:szCs w:val="20"/>
                <w:lang w:eastAsia="en-AU"/>
              </w:rPr>
              <w:instrText xml:space="preserve"> =SUM(ABOVE) </w:instrText>
            </w:r>
            <w:r w:rsidRPr="005D6BC7">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1335</w:t>
            </w:r>
            <w:r w:rsidRPr="005D6BC7">
              <w:rPr>
                <w:rFonts w:ascii="Arial" w:eastAsia="Times New Roman" w:hAnsi="Arial" w:cs="Arial"/>
                <w:b/>
                <w:bCs/>
                <w:sz w:val="20"/>
                <w:szCs w:val="20"/>
                <w:lang w:eastAsia="en-AU"/>
              </w:rPr>
              <w:fldChar w:fldCharType="end"/>
            </w:r>
          </w:p>
        </w:tc>
        <w:tc>
          <w:tcPr>
            <w:tcW w:w="1134" w:type="dxa"/>
            <w:tcBorders>
              <w:top w:val="nil"/>
              <w:left w:val="nil"/>
              <w:bottom w:val="single" w:sz="4" w:space="0" w:color="E0DCCB" w:themeColor="accent4" w:themeTint="66"/>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b/>
                <w:bCs/>
                <w:sz w:val="20"/>
                <w:szCs w:val="20"/>
                <w:lang w:eastAsia="en-AU"/>
              </w:rPr>
              <w:t>(746)</w:t>
            </w:r>
          </w:p>
        </w:tc>
        <w:tc>
          <w:tcPr>
            <w:tcW w:w="1349" w:type="dxa"/>
            <w:tcBorders>
              <w:top w:val="nil"/>
              <w:left w:val="nil"/>
              <w:bottom w:val="single" w:sz="4" w:space="0" w:color="E0DCCB" w:themeColor="accent4" w:themeTint="66"/>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(473)</w:t>
            </w:r>
          </w:p>
        </w:tc>
      </w:tr>
      <w:tr w:rsidR="000A0087" w:rsidRPr="007043E4" w:rsidTr="000F34E9">
        <w:trPr>
          <w:trHeight w:val="270"/>
        </w:trPr>
        <w:tc>
          <w:tcPr>
            <w:tcW w:w="269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7043E4" w:rsidRDefault="000A0087" w:rsidP="000F34E9">
            <w:pPr>
              <w:pStyle w:val="Financials"/>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t>TOTAL ASSETS</w:t>
            </w: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7043E4" w:rsidRDefault="000A0087" w:rsidP="000F34E9">
            <w:pPr>
              <w:pStyle w:val="Financials"/>
              <w:rPr>
                <w:rFonts w:ascii="Arial" w:eastAsia="Times New Roman" w:hAnsi="Arial" w:cs="Arial"/>
                <w:sz w:val="20"/>
                <w:szCs w:val="20"/>
                <w:lang w:eastAsia="en-AU"/>
              </w:rPr>
            </w:pP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Default="000A0087" w:rsidP="000F34E9">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2,332</w:t>
            </w:r>
          </w:p>
        </w:tc>
        <w:tc>
          <w:tcPr>
            <w:tcW w:w="1134"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0A0087" w:rsidRDefault="000A0087" w:rsidP="000F34E9">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1,610</w:t>
            </w:r>
          </w:p>
        </w:tc>
        <w:tc>
          <w:tcPr>
            <w:tcW w:w="1275"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7043E4" w:rsidRDefault="000A0087" w:rsidP="000F34E9">
            <w:pPr>
              <w:pStyle w:val="Financials"/>
              <w:jc w:val="right"/>
              <w:rPr>
                <w:rFonts w:ascii="Arial" w:eastAsia="Times New Roman" w:hAnsi="Arial" w:cs="Arial"/>
                <w:sz w:val="20"/>
                <w:szCs w:val="20"/>
                <w:lang w:eastAsia="en-AU"/>
              </w:rPr>
            </w:pPr>
            <w:r>
              <w:rPr>
                <w:rFonts w:ascii="Arial" w:eastAsia="Times New Roman" w:hAnsi="Arial" w:cs="Arial"/>
                <w:b/>
                <w:bCs/>
                <w:sz w:val="20"/>
                <w:szCs w:val="20"/>
                <w:lang w:eastAsia="en-AU"/>
              </w:rPr>
              <w:t>1,974</w:t>
            </w: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7043E4" w:rsidRDefault="000A0087" w:rsidP="000F34E9">
            <w:pPr>
              <w:pStyle w:val="Financials"/>
              <w:jc w:val="right"/>
              <w:rPr>
                <w:rFonts w:ascii="Arial" w:eastAsia="Times New Roman" w:hAnsi="Arial" w:cs="Arial"/>
                <w:b/>
                <w:bCs/>
                <w:sz w:val="20"/>
                <w:szCs w:val="20"/>
                <w:highlight w:val="yellow"/>
                <w:lang w:eastAsia="en-AU"/>
              </w:rPr>
            </w:pPr>
            <w:r>
              <w:rPr>
                <w:rFonts w:ascii="Arial" w:eastAsia="Times New Roman" w:hAnsi="Arial" w:cs="Arial"/>
                <w:b/>
                <w:bCs/>
                <w:sz w:val="20"/>
                <w:szCs w:val="20"/>
                <w:lang w:eastAsia="en-AU"/>
              </w:rPr>
              <w:t>(722)</w:t>
            </w:r>
          </w:p>
        </w:tc>
        <w:tc>
          <w:tcPr>
            <w:tcW w:w="1349"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7043E4" w:rsidRDefault="000A0087" w:rsidP="000F34E9">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(364)</w:t>
            </w:r>
          </w:p>
        </w:tc>
      </w:tr>
      <w:tr w:rsidR="000A0087" w:rsidRPr="00D578E2" w:rsidTr="000A0087">
        <w:trPr>
          <w:trHeight w:val="165"/>
        </w:trPr>
        <w:tc>
          <w:tcPr>
            <w:tcW w:w="2694" w:type="dxa"/>
            <w:tcBorders>
              <w:top w:val="single" w:sz="4" w:space="0" w:color="B2A97E" w:themeColor="accent4"/>
              <w:left w:val="nil"/>
              <w:right w:val="nil"/>
            </w:tcBorders>
            <w:shd w:val="clear" w:color="auto" w:fill="auto"/>
            <w:vAlign w:val="center"/>
          </w:tcPr>
          <w:p w:rsidR="000A0087" w:rsidRPr="00D578E2" w:rsidRDefault="000A0087" w:rsidP="00F6395E">
            <w:pPr>
              <w:pStyle w:val="Financials"/>
              <w:rPr>
                <w:sz w:val="8"/>
                <w:szCs w:val="8"/>
              </w:rPr>
            </w:pPr>
          </w:p>
        </w:tc>
        <w:tc>
          <w:tcPr>
            <w:tcW w:w="1134" w:type="dxa"/>
            <w:tcBorders>
              <w:top w:val="single" w:sz="4" w:space="0" w:color="B2A97E" w:themeColor="accent4"/>
              <w:left w:val="nil"/>
              <w:right w:val="nil"/>
            </w:tcBorders>
            <w:shd w:val="clear" w:color="auto" w:fill="auto"/>
            <w:vAlign w:val="center"/>
          </w:tcPr>
          <w:p w:rsidR="000A0087" w:rsidRPr="00D578E2" w:rsidRDefault="000A0087" w:rsidP="007F573F">
            <w:pPr>
              <w:pStyle w:val="Financials"/>
              <w:jc w:val="right"/>
              <w:rPr>
                <w:sz w:val="8"/>
                <w:szCs w:val="8"/>
              </w:rPr>
            </w:pPr>
          </w:p>
        </w:tc>
        <w:tc>
          <w:tcPr>
            <w:tcW w:w="1134" w:type="dxa"/>
            <w:tcBorders>
              <w:top w:val="single" w:sz="4" w:space="0" w:color="B2A97E" w:themeColor="accent4"/>
              <w:left w:val="nil"/>
              <w:right w:val="nil"/>
            </w:tcBorders>
            <w:shd w:val="clear" w:color="auto" w:fill="auto"/>
          </w:tcPr>
          <w:p w:rsidR="000A0087" w:rsidRPr="00D578E2" w:rsidRDefault="000A0087" w:rsidP="007F573F">
            <w:pPr>
              <w:pStyle w:val="Financials"/>
              <w:jc w:val="right"/>
              <w:rPr>
                <w:sz w:val="8"/>
                <w:szCs w:val="8"/>
              </w:rPr>
            </w:pPr>
          </w:p>
        </w:tc>
        <w:tc>
          <w:tcPr>
            <w:tcW w:w="1134" w:type="dxa"/>
            <w:tcBorders>
              <w:top w:val="single" w:sz="4" w:space="0" w:color="B2A97E" w:themeColor="accent4"/>
              <w:left w:val="nil"/>
              <w:right w:val="nil"/>
            </w:tcBorders>
            <w:shd w:val="clear" w:color="auto" w:fill="E0DCCB" w:themeFill="accent4" w:themeFillTint="66"/>
          </w:tcPr>
          <w:p w:rsidR="000A0087" w:rsidRPr="00D578E2" w:rsidRDefault="000A0087" w:rsidP="007F573F">
            <w:pPr>
              <w:pStyle w:val="Financials"/>
              <w:jc w:val="right"/>
              <w:rPr>
                <w:sz w:val="8"/>
                <w:szCs w:val="8"/>
              </w:rPr>
            </w:pPr>
          </w:p>
        </w:tc>
        <w:tc>
          <w:tcPr>
            <w:tcW w:w="1275" w:type="dxa"/>
            <w:tcBorders>
              <w:top w:val="single" w:sz="4" w:space="0" w:color="B2A97E" w:themeColor="accent4"/>
              <w:left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single" w:sz="4" w:space="0" w:color="B2A97E" w:themeColor="accent4"/>
              <w:left w:val="nil"/>
              <w:right w:val="nil"/>
            </w:tcBorders>
            <w:shd w:val="clear" w:color="auto" w:fill="auto"/>
            <w:vAlign w:val="center"/>
          </w:tcPr>
          <w:p w:rsidR="000A0087" w:rsidRPr="00D578E2" w:rsidRDefault="000A0087" w:rsidP="007F573F">
            <w:pPr>
              <w:pStyle w:val="Financials"/>
              <w:jc w:val="right"/>
              <w:rPr>
                <w:sz w:val="8"/>
                <w:szCs w:val="8"/>
              </w:rPr>
            </w:pPr>
          </w:p>
        </w:tc>
        <w:tc>
          <w:tcPr>
            <w:tcW w:w="1349" w:type="dxa"/>
            <w:tcBorders>
              <w:top w:val="single" w:sz="4" w:space="0" w:color="B2A97E" w:themeColor="accent4"/>
              <w:left w:val="nil"/>
              <w:right w:val="nil"/>
            </w:tcBorders>
            <w:shd w:val="clear" w:color="auto" w:fill="auto"/>
            <w:vAlign w:val="center"/>
          </w:tcPr>
          <w:p w:rsidR="000A0087" w:rsidRPr="00D578E2" w:rsidRDefault="000A0087" w:rsidP="007F573F">
            <w:pPr>
              <w:pStyle w:val="Financials"/>
              <w:jc w:val="right"/>
              <w:rPr>
                <w:sz w:val="8"/>
                <w:szCs w:val="8"/>
              </w:rPr>
            </w:pPr>
          </w:p>
        </w:tc>
      </w:tr>
      <w:tr w:rsidR="000A0087" w:rsidRPr="007043E4" w:rsidTr="000A0087">
        <w:trPr>
          <w:trHeight w:val="270"/>
        </w:trPr>
        <w:tc>
          <w:tcPr>
            <w:tcW w:w="2694" w:type="dxa"/>
            <w:tcBorders>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b/>
                <w:bCs/>
                <w:sz w:val="20"/>
                <w:szCs w:val="20"/>
                <w:lang w:eastAsia="en-AU"/>
              </w:rPr>
              <w:t>LIABILITIES</w:t>
            </w:r>
          </w:p>
        </w:tc>
        <w:tc>
          <w:tcPr>
            <w:tcW w:w="1134" w:type="dxa"/>
            <w:tcBorders>
              <w:left w:val="nil"/>
              <w:bottom w:val="nil"/>
              <w:right w:val="nil"/>
            </w:tcBorders>
            <w:shd w:val="clear" w:color="auto" w:fill="auto"/>
            <w:vAlign w:val="center"/>
            <w:hideMark/>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left w:val="nil"/>
              <w:bottom w:val="nil"/>
              <w:right w:val="nil"/>
            </w:tcBorders>
            <w:shd w:val="clear" w:color="auto" w:fill="auto"/>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left w:val="nil"/>
              <w:bottom w:val="nil"/>
              <w:right w:val="nil"/>
            </w:tcBorders>
            <w:shd w:val="clear" w:color="auto" w:fill="E0DCCB" w:themeFill="accent4" w:themeFillTint="66"/>
          </w:tcPr>
          <w:p w:rsidR="000A0087" w:rsidRPr="007043E4" w:rsidRDefault="000A0087" w:rsidP="007F573F">
            <w:pPr>
              <w:pStyle w:val="Financials"/>
              <w:jc w:val="right"/>
              <w:rPr>
                <w:rFonts w:ascii="Arial" w:eastAsia="Times New Roman" w:hAnsi="Arial" w:cs="Arial"/>
                <w:sz w:val="20"/>
                <w:szCs w:val="20"/>
                <w:lang w:eastAsia="en-AU"/>
              </w:rPr>
            </w:pPr>
          </w:p>
        </w:tc>
        <w:tc>
          <w:tcPr>
            <w:tcW w:w="1275" w:type="dxa"/>
            <w:tcBorders>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349" w:type="dxa"/>
            <w:tcBorders>
              <w:left w:val="nil"/>
              <w:bottom w:val="nil"/>
              <w:right w:val="nil"/>
            </w:tcBorders>
            <w:shd w:val="clear" w:color="auto" w:fill="auto"/>
            <w:vAlign w:val="center"/>
            <w:hideMark/>
          </w:tcPr>
          <w:p w:rsidR="000A0087" w:rsidRPr="007043E4" w:rsidRDefault="000A0087" w:rsidP="007F573F">
            <w:pPr>
              <w:pStyle w:val="Financials"/>
              <w:jc w:val="right"/>
              <w:rPr>
                <w:rFonts w:ascii="Arial" w:eastAsia="Times New Roman" w:hAnsi="Arial" w:cs="Arial"/>
                <w:sz w:val="20"/>
                <w:szCs w:val="20"/>
                <w:lang w:eastAsia="en-AU"/>
              </w:rPr>
            </w:pPr>
          </w:p>
        </w:tc>
      </w:tr>
      <w:tr w:rsidR="000A0087" w:rsidRPr="007043E4" w:rsidTr="000A0087">
        <w:trPr>
          <w:trHeight w:val="255"/>
        </w:trPr>
        <w:tc>
          <w:tcPr>
            <w:tcW w:w="2694" w:type="dxa"/>
            <w:tcBorders>
              <w:top w:val="nil"/>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t>Current Liabilities</w:t>
            </w:r>
          </w:p>
        </w:tc>
        <w:tc>
          <w:tcPr>
            <w:tcW w:w="1134" w:type="dxa"/>
            <w:tcBorders>
              <w:top w:val="nil"/>
              <w:left w:val="nil"/>
              <w:bottom w:val="nil"/>
              <w:right w:val="nil"/>
            </w:tcBorders>
            <w:shd w:val="clear" w:color="auto" w:fill="auto"/>
            <w:vAlign w:val="center"/>
            <w:hideMark/>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auto"/>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E0DCCB" w:themeFill="accent4" w:themeFillTint="66"/>
          </w:tcPr>
          <w:p w:rsidR="000A0087" w:rsidRPr="007043E4" w:rsidRDefault="000A0087" w:rsidP="007F573F">
            <w:pPr>
              <w:pStyle w:val="Financials"/>
              <w:jc w:val="right"/>
              <w:rPr>
                <w:rFonts w:ascii="Arial" w:eastAsia="Times New Roman" w:hAnsi="Arial" w:cs="Arial"/>
                <w:sz w:val="20"/>
                <w:szCs w:val="20"/>
                <w:lang w:eastAsia="en-AU"/>
              </w:rPr>
            </w:pPr>
          </w:p>
        </w:tc>
        <w:tc>
          <w:tcPr>
            <w:tcW w:w="1275"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349" w:type="dxa"/>
            <w:tcBorders>
              <w:top w:val="nil"/>
              <w:left w:val="nil"/>
              <w:bottom w:val="nil"/>
              <w:right w:val="nil"/>
            </w:tcBorders>
            <w:shd w:val="clear" w:color="auto" w:fill="auto"/>
            <w:vAlign w:val="center"/>
            <w:hideMark/>
          </w:tcPr>
          <w:p w:rsidR="000A0087" w:rsidRPr="007043E4" w:rsidRDefault="000A0087" w:rsidP="007F573F">
            <w:pPr>
              <w:pStyle w:val="Financials"/>
              <w:jc w:val="right"/>
              <w:rPr>
                <w:rFonts w:ascii="Arial" w:eastAsia="Times New Roman" w:hAnsi="Arial" w:cs="Arial"/>
                <w:sz w:val="20"/>
                <w:szCs w:val="20"/>
                <w:lang w:eastAsia="en-AU"/>
              </w:rPr>
            </w:pPr>
          </w:p>
        </w:tc>
      </w:tr>
      <w:tr w:rsidR="000A0087" w:rsidRPr="007043E4" w:rsidTr="000A0087">
        <w:trPr>
          <w:trHeight w:val="255"/>
        </w:trPr>
        <w:tc>
          <w:tcPr>
            <w:tcW w:w="2694" w:type="dxa"/>
            <w:tcBorders>
              <w:top w:val="nil"/>
              <w:left w:val="nil"/>
              <w:bottom w:val="nil"/>
              <w:right w:val="nil"/>
            </w:tcBorders>
            <w:shd w:val="clear" w:color="auto" w:fill="auto"/>
            <w:vAlign w:val="center"/>
            <w:hideMark/>
          </w:tcPr>
          <w:p w:rsidR="000A0087" w:rsidRPr="003E08F5" w:rsidRDefault="000A0087" w:rsidP="00F6395E">
            <w:pPr>
              <w:pStyle w:val="Financials"/>
              <w:rPr>
                <w:sz w:val="20"/>
                <w:szCs w:val="20"/>
              </w:rPr>
            </w:pPr>
            <w:r w:rsidRPr="003E08F5">
              <w:rPr>
                <w:sz w:val="20"/>
                <w:szCs w:val="20"/>
              </w:rPr>
              <w:t>Payables</w:t>
            </w:r>
          </w:p>
        </w:tc>
        <w:tc>
          <w:tcPr>
            <w:tcW w:w="1134" w:type="dxa"/>
            <w:tcBorders>
              <w:top w:val="nil"/>
              <w:left w:val="nil"/>
              <w:bottom w:val="nil"/>
              <w:right w:val="nil"/>
            </w:tcBorders>
            <w:shd w:val="clear" w:color="auto" w:fill="auto"/>
            <w:vAlign w:val="center"/>
          </w:tcPr>
          <w:p w:rsidR="000A0087" w:rsidRPr="007043E4" w:rsidRDefault="003E08F5"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9,L</w:t>
            </w:r>
          </w:p>
        </w:tc>
        <w:tc>
          <w:tcPr>
            <w:tcW w:w="1134" w:type="dxa"/>
            <w:tcBorders>
              <w:top w:val="nil"/>
              <w:left w:val="nil"/>
              <w:bottom w:val="nil"/>
              <w:right w:val="nil"/>
            </w:tcBorders>
            <w:shd w:val="clear" w:color="auto" w:fill="auto"/>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74</w:t>
            </w:r>
          </w:p>
        </w:tc>
        <w:tc>
          <w:tcPr>
            <w:tcW w:w="1134" w:type="dxa"/>
            <w:tcBorders>
              <w:top w:val="nil"/>
              <w:left w:val="nil"/>
              <w:bottom w:val="nil"/>
              <w:right w:val="nil"/>
            </w:tcBorders>
            <w:shd w:val="clear" w:color="auto" w:fill="E0DCCB" w:themeFill="accent4" w:themeFillTint="66"/>
          </w:tcPr>
          <w:p w:rsidR="000A0087" w:rsidRDefault="003E08F5"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424</w:t>
            </w:r>
          </w:p>
        </w:tc>
        <w:tc>
          <w:tcPr>
            <w:tcW w:w="1275" w:type="dxa"/>
            <w:tcBorders>
              <w:top w:val="nil"/>
              <w:left w:val="nil"/>
              <w:bottom w:val="nil"/>
              <w:right w:val="nil"/>
            </w:tcBorders>
            <w:shd w:val="clear" w:color="auto" w:fill="auto"/>
            <w:vAlign w:val="center"/>
          </w:tcPr>
          <w:p w:rsidR="000A0087" w:rsidRPr="007043E4" w:rsidRDefault="003E08F5"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974</w:t>
            </w:r>
          </w:p>
        </w:tc>
        <w:tc>
          <w:tcPr>
            <w:tcW w:w="1134" w:type="dxa"/>
            <w:tcBorders>
              <w:top w:val="nil"/>
              <w:left w:val="nil"/>
              <w:bottom w:val="nil"/>
              <w:right w:val="nil"/>
            </w:tcBorders>
            <w:shd w:val="clear" w:color="auto" w:fill="auto"/>
            <w:vAlign w:val="center"/>
          </w:tcPr>
          <w:p w:rsidR="000A0087" w:rsidRPr="007043E4" w:rsidRDefault="003E08F5"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350</w:t>
            </w:r>
          </w:p>
        </w:tc>
        <w:tc>
          <w:tcPr>
            <w:tcW w:w="1349" w:type="dxa"/>
            <w:tcBorders>
              <w:top w:val="nil"/>
              <w:left w:val="nil"/>
              <w:bottom w:val="nil"/>
              <w:right w:val="nil"/>
            </w:tcBorders>
            <w:shd w:val="clear" w:color="auto" w:fill="auto"/>
            <w:vAlign w:val="center"/>
          </w:tcPr>
          <w:p w:rsidR="000A0087" w:rsidRPr="007043E4" w:rsidRDefault="000A0087" w:rsidP="003E08F5">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w:t>
            </w:r>
            <w:r w:rsidR="003E08F5">
              <w:rPr>
                <w:rFonts w:ascii="Arial" w:eastAsia="Times New Roman" w:hAnsi="Arial" w:cs="Arial"/>
                <w:sz w:val="20"/>
                <w:szCs w:val="20"/>
                <w:lang w:eastAsia="en-AU"/>
              </w:rPr>
              <w:t>50</w:t>
            </w:r>
            <w:r>
              <w:rPr>
                <w:rFonts w:ascii="Arial" w:eastAsia="Times New Roman" w:hAnsi="Arial" w:cs="Arial"/>
                <w:sz w:val="20"/>
                <w:szCs w:val="20"/>
                <w:lang w:eastAsia="en-AU"/>
              </w:rPr>
              <w:t>)</w:t>
            </w:r>
          </w:p>
        </w:tc>
      </w:tr>
      <w:tr w:rsidR="000A0087" w:rsidRPr="007043E4" w:rsidTr="000A0087">
        <w:trPr>
          <w:trHeight w:val="255"/>
        </w:trPr>
        <w:tc>
          <w:tcPr>
            <w:tcW w:w="2694" w:type="dxa"/>
            <w:tcBorders>
              <w:top w:val="nil"/>
              <w:left w:val="nil"/>
              <w:bottom w:val="nil"/>
              <w:right w:val="nil"/>
            </w:tcBorders>
            <w:shd w:val="clear" w:color="auto" w:fill="auto"/>
            <w:vAlign w:val="center"/>
          </w:tcPr>
          <w:p w:rsidR="000A0087" w:rsidRPr="003E08F5" w:rsidRDefault="000A0087" w:rsidP="00F6395E">
            <w:pPr>
              <w:pStyle w:val="Financials"/>
              <w:rPr>
                <w:sz w:val="20"/>
                <w:szCs w:val="20"/>
              </w:rPr>
            </w:pPr>
            <w:r w:rsidRPr="003E08F5">
              <w:rPr>
                <w:sz w:val="20"/>
                <w:szCs w:val="20"/>
              </w:rPr>
              <w:t>Provisions</w:t>
            </w:r>
          </w:p>
        </w:tc>
        <w:tc>
          <w:tcPr>
            <w:tcW w:w="1134" w:type="dxa"/>
            <w:tcBorders>
              <w:top w:val="nil"/>
              <w:left w:val="nil"/>
              <w:bottom w:val="nil"/>
              <w:right w:val="nil"/>
            </w:tcBorders>
            <w:shd w:val="clear" w:color="auto" w:fill="auto"/>
            <w:vAlign w:val="center"/>
          </w:tcPr>
          <w:p w:rsidR="000A0087" w:rsidRDefault="003E08F5"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10</w:t>
            </w:r>
          </w:p>
        </w:tc>
        <w:tc>
          <w:tcPr>
            <w:tcW w:w="1134" w:type="dxa"/>
            <w:tcBorders>
              <w:top w:val="nil"/>
              <w:left w:val="nil"/>
              <w:bottom w:val="nil"/>
              <w:right w:val="nil"/>
            </w:tcBorders>
            <w:shd w:val="clear" w:color="auto" w:fill="auto"/>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2,113</w:t>
            </w:r>
          </w:p>
        </w:tc>
        <w:tc>
          <w:tcPr>
            <w:tcW w:w="1134" w:type="dxa"/>
            <w:tcBorders>
              <w:top w:val="nil"/>
              <w:left w:val="nil"/>
              <w:bottom w:val="nil"/>
              <w:right w:val="nil"/>
            </w:tcBorders>
            <w:shd w:val="clear" w:color="auto" w:fill="E0DCCB" w:themeFill="accent4" w:themeFillTint="66"/>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1,852</w:t>
            </w:r>
          </w:p>
        </w:tc>
        <w:tc>
          <w:tcPr>
            <w:tcW w:w="1275" w:type="dxa"/>
            <w:tcBorders>
              <w:top w:val="nil"/>
              <w:left w:val="nil"/>
              <w:bottom w:val="nil"/>
              <w:right w:val="nil"/>
            </w:tcBorders>
            <w:shd w:val="clear" w:color="auto" w:fill="auto"/>
            <w:vAlign w:val="center"/>
          </w:tcPr>
          <w:p w:rsidR="000A0087" w:rsidRDefault="003E08F5"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2,013</w:t>
            </w:r>
          </w:p>
        </w:tc>
        <w:tc>
          <w:tcPr>
            <w:tcW w:w="1134" w:type="dxa"/>
            <w:tcBorders>
              <w:top w:val="nil"/>
              <w:left w:val="nil"/>
              <w:bottom w:val="nil"/>
              <w:right w:val="nil"/>
            </w:tcBorders>
            <w:shd w:val="clear" w:color="auto" w:fill="auto"/>
            <w:vAlign w:val="center"/>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(261)</w:t>
            </w:r>
          </w:p>
        </w:tc>
        <w:tc>
          <w:tcPr>
            <w:tcW w:w="1349" w:type="dxa"/>
            <w:tcBorders>
              <w:top w:val="nil"/>
              <w:left w:val="nil"/>
              <w:bottom w:val="nil"/>
              <w:right w:val="nil"/>
            </w:tcBorders>
            <w:shd w:val="clear" w:color="auto" w:fill="auto"/>
            <w:vAlign w:val="center"/>
          </w:tcPr>
          <w:p w:rsidR="000A0087" w:rsidRPr="007043E4" w:rsidRDefault="000A0087" w:rsidP="003E08F5">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w:t>
            </w:r>
            <w:r w:rsidR="003E08F5">
              <w:rPr>
                <w:rFonts w:ascii="Arial" w:eastAsia="Times New Roman" w:hAnsi="Arial" w:cs="Arial"/>
                <w:sz w:val="20"/>
                <w:szCs w:val="20"/>
                <w:lang w:eastAsia="en-AU"/>
              </w:rPr>
              <w:t>61</w:t>
            </w:r>
            <w:r>
              <w:rPr>
                <w:rFonts w:ascii="Arial" w:eastAsia="Times New Roman" w:hAnsi="Arial" w:cs="Arial"/>
                <w:sz w:val="20"/>
                <w:szCs w:val="20"/>
                <w:lang w:eastAsia="en-AU"/>
              </w:rPr>
              <w:t>)</w:t>
            </w:r>
          </w:p>
        </w:tc>
      </w:tr>
      <w:tr w:rsidR="000A0087" w:rsidRPr="007043E4" w:rsidTr="007F573F">
        <w:trPr>
          <w:trHeight w:val="255"/>
        </w:trPr>
        <w:tc>
          <w:tcPr>
            <w:tcW w:w="2694" w:type="dxa"/>
            <w:tcBorders>
              <w:top w:val="nil"/>
              <w:left w:val="nil"/>
              <w:right w:val="nil"/>
            </w:tcBorders>
            <w:shd w:val="clear" w:color="auto" w:fill="auto"/>
            <w:vAlign w:val="center"/>
            <w:hideMark/>
          </w:tcPr>
          <w:p w:rsidR="000A0087" w:rsidRPr="003E08F5" w:rsidRDefault="000A0087" w:rsidP="00F6395E">
            <w:pPr>
              <w:pStyle w:val="Financials"/>
              <w:rPr>
                <w:sz w:val="20"/>
                <w:szCs w:val="20"/>
              </w:rPr>
            </w:pPr>
            <w:r w:rsidRPr="003E08F5">
              <w:rPr>
                <w:sz w:val="20"/>
                <w:szCs w:val="20"/>
              </w:rPr>
              <w:t>Other</w:t>
            </w:r>
          </w:p>
        </w:tc>
        <w:tc>
          <w:tcPr>
            <w:tcW w:w="1134" w:type="dxa"/>
            <w:tcBorders>
              <w:top w:val="nil"/>
              <w:left w:val="nil"/>
              <w:right w:val="nil"/>
            </w:tcBorders>
            <w:shd w:val="clear" w:color="auto" w:fill="auto"/>
            <w:vAlign w:val="center"/>
          </w:tcPr>
          <w:p w:rsidR="000A0087" w:rsidRPr="007043E4" w:rsidRDefault="003E08F5"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11</w:t>
            </w:r>
          </w:p>
        </w:tc>
        <w:tc>
          <w:tcPr>
            <w:tcW w:w="1134" w:type="dxa"/>
            <w:tcBorders>
              <w:top w:val="nil"/>
              <w:left w:val="nil"/>
              <w:right w:val="nil"/>
            </w:tcBorders>
            <w:shd w:val="clear" w:color="auto" w:fill="auto"/>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276</w:t>
            </w:r>
          </w:p>
        </w:tc>
        <w:tc>
          <w:tcPr>
            <w:tcW w:w="1134" w:type="dxa"/>
            <w:tcBorders>
              <w:top w:val="nil"/>
              <w:left w:val="nil"/>
              <w:right w:val="nil"/>
            </w:tcBorders>
            <w:shd w:val="clear" w:color="auto" w:fill="E0DCCB" w:themeFill="accent4" w:themeFillTint="66"/>
          </w:tcPr>
          <w:p w:rsidR="000A0087" w:rsidRDefault="003E08F5"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275" w:type="dxa"/>
            <w:tcBorders>
              <w:top w:val="nil"/>
              <w:left w:val="nil"/>
              <w:right w:val="nil"/>
            </w:tcBorders>
            <w:shd w:val="clear" w:color="auto" w:fill="auto"/>
            <w:vAlign w:val="center"/>
          </w:tcPr>
          <w:p w:rsidR="000A0087" w:rsidRPr="007043E4" w:rsidRDefault="003E08F5"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134" w:type="dxa"/>
            <w:tcBorders>
              <w:top w:val="nil"/>
              <w:left w:val="nil"/>
              <w:right w:val="nil"/>
            </w:tcBorders>
            <w:shd w:val="clear" w:color="auto" w:fill="auto"/>
            <w:vAlign w:val="center"/>
          </w:tcPr>
          <w:p w:rsidR="000A0087" w:rsidRPr="007043E4" w:rsidRDefault="003E08F5"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(276)</w:t>
            </w:r>
          </w:p>
        </w:tc>
        <w:tc>
          <w:tcPr>
            <w:tcW w:w="1349" w:type="dxa"/>
            <w:tcBorders>
              <w:top w:val="nil"/>
              <w:left w:val="nil"/>
              <w:right w:val="nil"/>
            </w:tcBorders>
            <w:shd w:val="clear" w:color="auto" w:fill="auto"/>
            <w:vAlign w:val="center"/>
          </w:tcPr>
          <w:p w:rsidR="000A0087" w:rsidRPr="007043E4" w:rsidRDefault="003E08F5"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r>
      <w:tr w:rsidR="000A0087" w:rsidRPr="009525FF" w:rsidTr="007F573F">
        <w:trPr>
          <w:trHeight w:val="270"/>
        </w:trPr>
        <w:tc>
          <w:tcPr>
            <w:tcW w:w="2694" w:type="dxa"/>
            <w:tcBorders>
              <w:top w:val="nil"/>
              <w:left w:val="nil"/>
              <w:bottom w:val="single" w:sz="4" w:space="0" w:color="E0DCCB" w:themeColor="accent4" w:themeTint="66"/>
              <w:right w:val="nil"/>
            </w:tcBorders>
            <w:shd w:val="clear" w:color="auto" w:fill="auto"/>
            <w:vAlign w:val="center"/>
            <w:hideMark/>
          </w:tcPr>
          <w:p w:rsidR="000A0087" w:rsidRPr="009952CE" w:rsidRDefault="000A0087" w:rsidP="00F6395E">
            <w:pPr>
              <w:pStyle w:val="Financials"/>
            </w:pPr>
            <w:r w:rsidRPr="005D6BC7">
              <w:rPr>
                <w:b/>
                <w:bCs/>
              </w:rPr>
              <w:t>Total Current Liabilities</w:t>
            </w:r>
          </w:p>
        </w:tc>
        <w:tc>
          <w:tcPr>
            <w:tcW w:w="1134" w:type="dxa"/>
            <w:tcBorders>
              <w:top w:val="nil"/>
              <w:left w:val="nil"/>
              <w:bottom w:val="single" w:sz="4" w:space="0" w:color="E0DCCB" w:themeColor="accent4" w:themeTint="66"/>
              <w:right w:val="nil"/>
            </w:tcBorders>
            <w:shd w:val="clear" w:color="auto" w:fill="auto"/>
            <w:vAlign w:val="center"/>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nil"/>
              <w:left w:val="nil"/>
              <w:bottom w:val="single" w:sz="4" w:space="0" w:color="E0DCCB" w:themeColor="accent4" w:themeTint="66"/>
              <w:right w:val="nil"/>
            </w:tcBorders>
            <w:shd w:val="clear" w:color="auto" w:fill="auto"/>
            <w:vAlign w:val="center"/>
          </w:tcPr>
          <w:p w:rsidR="000A0087" w:rsidRPr="009525FF" w:rsidRDefault="000A0087" w:rsidP="007F573F">
            <w:pPr>
              <w:pStyle w:val="Financials"/>
              <w:jc w:val="right"/>
              <w:rPr>
                <w:rFonts w:ascii="Arial" w:eastAsia="Times New Roman" w:hAnsi="Arial" w:cs="Arial"/>
                <w:b/>
                <w:sz w:val="20"/>
                <w:szCs w:val="20"/>
                <w:lang w:eastAsia="en-AU"/>
              </w:rPr>
            </w:pPr>
            <w:r w:rsidRPr="009525FF">
              <w:rPr>
                <w:rFonts w:ascii="Arial" w:eastAsia="Times New Roman" w:hAnsi="Arial" w:cs="Arial"/>
                <w:b/>
                <w:sz w:val="20"/>
                <w:szCs w:val="20"/>
                <w:lang w:eastAsia="en-AU"/>
              </w:rPr>
              <w:fldChar w:fldCharType="begin"/>
            </w:r>
            <w:r w:rsidRPr="009525FF">
              <w:rPr>
                <w:rFonts w:ascii="Arial" w:eastAsia="Times New Roman" w:hAnsi="Arial" w:cs="Arial"/>
                <w:b/>
                <w:sz w:val="20"/>
                <w:szCs w:val="20"/>
                <w:lang w:eastAsia="en-AU"/>
              </w:rPr>
              <w:instrText xml:space="preserve"> =SUM(ABOVE) </w:instrText>
            </w:r>
            <w:r w:rsidRPr="009525FF">
              <w:rPr>
                <w:rFonts w:ascii="Arial" w:eastAsia="Times New Roman" w:hAnsi="Arial" w:cs="Arial"/>
                <w:b/>
                <w:sz w:val="20"/>
                <w:szCs w:val="20"/>
                <w:lang w:eastAsia="en-AU"/>
              </w:rPr>
              <w:fldChar w:fldCharType="separate"/>
            </w:r>
            <w:r w:rsidRPr="009525FF">
              <w:rPr>
                <w:rFonts w:ascii="Arial" w:eastAsia="Times New Roman" w:hAnsi="Arial" w:cs="Arial"/>
                <w:b/>
                <w:noProof/>
                <w:sz w:val="20"/>
                <w:szCs w:val="20"/>
                <w:lang w:eastAsia="en-AU"/>
              </w:rPr>
              <w:t>2,463</w:t>
            </w:r>
            <w:r w:rsidRPr="009525FF">
              <w:rPr>
                <w:rFonts w:ascii="Arial" w:eastAsia="Times New Roman" w:hAnsi="Arial" w:cs="Arial"/>
                <w:b/>
                <w:sz w:val="20"/>
                <w:szCs w:val="20"/>
                <w:lang w:eastAsia="en-AU"/>
              </w:rPr>
              <w:fldChar w:fldCharType="end"/>
            </w:r>
          </w:p>
        </w:tc>
        <w:tc>
          <w:tcPr>
            <w:tcW w:w="1134" w:type="dxa"/>
            <w:tcBorders>
              <w:top w:val="nil"/>
              <w:left w:val="nil"/>
              <w:bottom w:val="single" w:sz="4" w:space="0" w:color="FFFFFF" w:themeColor="background1"/>
              <w:right w:val="nil"/>
            </w:tcBorders>
            <w:shd w:val="clear" w:color="auto" w:fill="E0DCCB" w:themeFill="accent4" w:themeFillTint="66"/>
            <w:vAlign w:val="center"/>
          </w:tcPr>
          <w:p w:rsidR="000A0087" w:rsidRPr="009525FF" w:rsidRDefault="000A0087" w:rsidP="007F573F">
            <w:pPr>
              <w:pStyle w:val="Financials"/>
              <w:jc w:val="right"/>
              <w:rPr>
                <w:rFonts w:ascii="Arial" w:eastAsia="Times New Roman" w:hAnsi="Arial" w:cs="Arial"/>
                <w:b/>
                <w:sz w:val="20"/>
                <w:szCs w:val="20"/>
                <w:lang w:eastAsia="en-AU"/>
              </w:rPr>
            </w:pPr>
            <w:r w:rsidRPr="009525FF">
              <w:rPr>
                <w:rFonts w:ascii="Arial" w:eastAsia="Times New Roman" w:hAnsi="Arial" w:cs="Arial"/>
                <w:b/>
                <w:sz w:val="20"/>
                <w:szCs w:val="20"/>
                <w:lang w:eastAsia="en-AU"/>
              </w:rPr>
              <w:fldChar w:fldCharType="begin"/>
            </w:r>
            <w:r w:rsidRPr="009525FF">
              <w:rPr>
                <w:rFonts w:ascii="Arial" w:eastAsia="Times New Roman" w:hAnsi="Arial" w:cs="Arial"/>
                <w:b/>
                <w:sz w:val="20"/>
                <w:szCs w:val="20"/>
                <w:lang w:eastAsia="en-AU"/>
              </w:rPr>
              <w:instrText xml:space="preserve"> =SUM(ABOVE) </w:instrText>
            </w:r>
            <w:r w:rsidRPr="009525FF">
              <w:rPr>
                <w:rFonts w:ascii="Arial" w:eastAsia="Times New Roman" w:hAnsi="Arial" w:cs="Arial"/>
                <w:b/>
                <w:sz w:val="20"/>
                <w:szCs w:val="20"/>
                <w:lang w:eastAsia="en-AU"/>
              </w:rPr>
              <w:fldChar w:fldCharType="separate"/>
            </w:r>
            <w:r>
              <w:rPr>
                <w:rFonts w:ascii="Arial" w:eastAsia="Times New Roman" w:hAnsi="Arial" w:cs="Arial"/>
                <w:b/>
                <w:noProof/>
                <w:sz w:val="20"/>
                <w:szCs w:val="20"/>
                <w:lang w:eastAsia="en-AU"/>
              </w:rPr>
              <w:t>2,276</w:t>
            </w:r>
            <w:r w:rsidRPr="009525FF">
              <w:rPr>
                <w:rFonts w:ascii="Arial" w:eastAsia="Times New Roman" w:hAnsi="Arial" w:cs="Arial"/>
                <w:b/>
                <w:sz w:val="20"/>
                <w:szCs w:val="20"/>
                <w:lang w:eastAsia="en-AU"/>
              </w:rPr>
              <w:fldChar w:fldCharType="end"/>
            </w:r>
          </w:p>
        </w:tc>
        <w:tc>
          <w:tcPr>
            <w:tcW w:w="1275" w:type="dxa"/>
            <w:tcBorders>
              <w:top w:val="nil"/>
              <w:left w:val="nil"/>
              <w:bottom w:val="single" w:sz="4" w:space="0" w:color="E0DCCB" w:themeColor="accent4" w:themeTint="66"/>
              <w:right w:val="nil"/>
            </w:tcBorders>
            <w:shd w:val="clear" w:color="auto" w:fill="auto"/>
            <w:vAlign w:val="center"/>
          </w:tcPr>
          <w:p w:rsidR="000A0087" w:rsidRPr="009525FF" w:rsidRDefault="000A0087" w:rsidP="003E08F5">
            <w:pPr>
              <w:pStyle w:val="Financials"/>
              <w:jc w:val="right"/>
              <w:rPr>
                <w:rFonts w:ascii="Arial" w:eastAsia="Times New Roman" w:hAnsi="Arial" w:cs="Arial"/>
                <w:b/>
                <w:sz w:val="20"/>
                <w:szCs w:val="20"/>
                <w:lang w:eastAsia="en-AU"/>
              </w:rPr>
            </w:pPr>
            <w:r w:rsidRPr="009525FF">
              <w:rPr>
                <w:rFonts w:ascii="Arial" w:eastAsia="Times New Roman" w:hAnsi="Arial" w:cs="Arial"/>
                <w:b/>
                <w:sz w:val="20"/>
                <w:szCs w:val="20"/>
                <w:lang w:eastAsia="en-AU"/>
              </w:rPr>
              <w:fldChar w:fldCharType="begin"/>
            </w:r>
            <w:r w:rsidRPr="009525FF">
              <w:rPr>
                <w:rFonts w:ascii="Arial" w:eastAsia="Times New Roman" w:hAnsi="Arial" w:cs="Arial"/>
                <w:b/>
                <w:sz w:val="20"/>
                <w:szCs w:val="20"/>
                <w:lang w:eastAsia="en-AU"/>
              </w:rPr>
              <w:instrText xml:space="preserve"> =SUM(ABOVE) </w:instrText>
            </w:r>
            <w:r w:rsidRPr="009525FF">
              <w:rPr>
                <w:rFonts w:ascii="Arial" w:eastAsia="Times New Roman" w:hAnsi="Arial" w:cs="Arial"/>
                <w:b/>
                <w:sz w:val="20"/>
                <w:szCs w:val="20"/>
                <w:lang w:eastAsia="en-AU"/>
              </w:rPr>
              <w:fldChar w:fldCharType="separate"/>
            </w:r>
            <w:r w:rsidRPr="009525FF">
              <w:rPr>
                <w:rFonts w:ascii="Arial" w:eastAsia="Times New Roman" w:hAnsi="Arial" w:cs="Arial"/>
                <w:b/>
                <w:noProof/>
                <w:sz w:val="20"/>
                <w:szCs w:val="20"/>
                <w:lang w:eastAsia="en-AU"/>
              </w:rPr>
              <w:t>2,98</w:t>
            </w:r>
            <w:r w:rsidRPr="009525FF">
              <w:rPr>
                <w:rFonts w:ascii="Arial" w:eastAsia="Times New Roman" w:hAnsi="Arial" w:cs="Arial"/>
                <w:b/>
                <w:sz w:val="20"/>
                <w:szCs w:val="20"/>
                <w:lang w:eastAsia="en-AU"/>
              </w:rPr>
              <w:fldChar w:fldCharType="end"/>
            </w:r>
            <w:r w:rsidR="003E08F5">
              <w:rPr>
                <w:rFonts w:ascii="Arial" w:eastAsia="Times New Roman" w:hAnsi="Arial" w:cs="Arial"/>
                <w:b/>
                <w:sz w:val="20"/>
                <w:szCs w:val="20"/>
                <w:lang w:eastAsia="en-AU"/>
              </w:rPr>
              <w:t>7</w:t>
            </w:r>
          </w:p>
        </w:tc>
        <w:tc>
          <w:tcPr>
            <w:tcW w:w="1134" w:type="dxa"/>
            <w:tcBorders>
              <w:top w:val="nil"/>
              <w:left w:val="nil"/>
              <w:bottom w:val="single" w:sz="4" w:space="0" w:color="E0DCCB" w:themeColor="accent4" w:themeTint="66"/>
              <w:right w:val="nil"/>
            </w:tcBorders>
            <w:shd w:val="clear" w:color="auto" w:fill="auto"/>
            <w:vAlign w:val="center"/>
          </w:tcPr>
          <w:p w:rsidR="000A0087" w:rsidRPr="009525FF" w:rsidRDefault="000A0087" w:rsidP="007F573F">
            <w:pPr>
              <w:pStyle w:val="Financials"/>
              <w:jc w:val="right"/>
              <w:rPr>
                <w:rFonts w:ascii="Arial" w:eastAsia="Times New Roman" w:hAnsi="Arial" w:cs="Arial"/>
                <w:b/>
                <w:sz w:val="20"/>
                <w:szCs w:val="20"/>
                <w:lang w:eastAsia="en-AU"/>
              </w:rPr>
            </w:pPr>
            <w:r w:rsidRPr="009525FF">
              <w:rPr>
                <w:rFonts w:ascii="Arial" w:eastAsia="Times New Roman" w:hAnsi="Arial" w:cs="Arial"/>
                <w:b/>
                <w:sz w:val="20"/>
                <w:szCs w:val="20"/>
                <w:lang w:eastAsia="en-AU"/>
              </w:rPr>
              <w:t>(</w:t>
            </w:r>
            <w:r>
              <w:rPr>
                <w:rFonts w:ascii="Arial" w:eastAsia="Times New Roman" w:hAnsi="Arial" w:cs="Arial"/>
                <w:b/>
                <w:sz w:val="20"/>
                <w:szCs w:val="20"/>
                <w:lang w:eastAsia="en-AU"/>
              </w:rPr>
              <w:t>187</w:t>
            </w:r>
            <w:r w:rsidRPr="009525FF">
              <w:rPr>
                <w:rFonts w:ascii="Arial" w:eastAsia="Times New Roman" w:hAnsi="Arial" w:cs="Arial"/>
                <w:b/>
                <w:sz w:val="20"/>
                <w:szCs w:val="20"/>
                <w:lang w:eastAsia="en-AU"/>
              </w:rPr>
              <w:t>)</w:t>
            </w:r>
          </w:p>
        </w:tc>
        <w:tc>
          <w:tcPr>
            <w:tcW w:w="1349" w:type="dxa"/>
            <w:tcBorders>
              <w:top w:val="nil"/>
              <w:left w:val="nil"/>
              <w:bottom w:val="single" w:sz="4" w:space="0" w:color="E0DCCB" w:themeColor="accent4" w:themeTint="66"/>
              <w:right w:val="nil"/>
            </w:tcBorders>
            <w:shd w:val="clear" w:color="auto" w:fill="auto"/>
            <w:vAlign w:val="center"/>
          </w:tcPr>
          <w:p w:rsidR="000A0087" w:rsidRPr="009525FF" w:rsidRDefault="000A0087" w:rsidP="003E08F5">
            <w:pPr>
              <w:pStyle w:val="Financials"/>
              <w:jc w:val="right"/>
              <w:rPr>
                <w:rFonts w:ascii="Arial" w:eastAsia="Times New Roman" w:hAnsi="Arial" w:cs="Arial"/>
                <w:b/>
                <w:sz w:val="20"/>
                <w:szCs w:val="20"/>
                <w:lang w:eastAsia="en-AU"/>
              </w:rPr>
            </w:pPr>
            <w:r w:rsidRPr="009525FF">
              <w:rPr>
                <w:rFonts w:ascii="Arial" w:eastAsia="Times New Roman" w:hAnsi="Arial" w:cs="Arial"/>
                <w:b/>
                <w:sz w:val="20"/>
                <w:szCs w:val="20"/>
                <w:lang w:eastAsia="en-AU"/>
              </w:rPr>
              <w:t>(</w:t>
            </w:r>
            <w:r>
              <w:rPr>
                <w:rFonts w:ascii="Arial" w:eastAsia="Times New Roman" w:hAnsi="Arial" w:cs="Arial"/>
                <w:b/>
                <w:sz w:val="20"/>
                <w:szCs w:val="20"/>
                <w:lang w:eastAsia="en-AU"/>
              </w:rPr>
              <w:t>71</w:t>
            </w:r>
            <w:r w:rsidR="003E08F5">
              <w:rPr>
                <w:rFonts w:ascii="Arial" w:eastAsia="Times New Roman" w:hAnsi="Arial" w:cs="Arial"/>
                <w:b/>
                <w:sz w:val="20"/>
                <w:szCs w:val="20"/>
                <w:lang w:eastAsia="en-AU"/>
              </w:rPr>
              <w:t>1</w:t>
            </w:r>
            <w:r w:rsidRPr="009525FF">
              <w:rPr>
                <w:rFonts w:ascii="Arial" w:eastAsia="Times New Roman" w:hAnsi="Arial" w:cs="Arial"/>
                <w:b/>
                <w:sz w:val="20"/>
                <w:szCs w:val="20"/>
                <w:lang w:eastAsia="en-AU"/>
              </w:rPr>
              <w:t>)</w:t>
            </w:r>
          </w:p>
        </w:tc>
      </w:tr>
      <w:tr w:rsidR="000A0087" w:rsidRPr="007043E4" w:rsidTr="007F573F">
        <w:trPr>
          <w:trHeight w:val="270"/>
        </w:trPr>
        <w:tc>
          <w:tcPr>
            <w:tcW w:w="2694" w:type="dxa"/>
            <w:tcBorders>
              <w:left w:val="nil"/>
              <w:right w:val="nil"/>
            </w:tcBorders>
            <w:shd w:val="clear" w:color="auto" w:fill="auto"/>
            <w:vAlign w:val="center"/>
            <w:hideMark/>
          </w:tcPr>
          <w:p w:rsidR="000A0087" w:rsidRPr="007043E4" w:rsidRDefault="000A0087" w:rsidP="00F6395E">
            <w:pPr>
              <w:pStyle w:val="Financials"/>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t>Non-Current Liabilities</w:t>
            </w:r>
          </w:p>
        </w:tc>
        <w:tc>
          <w:tcPr>
            <w:tcW w:w="1134" w:type="dxa"/>
            <w:tcBorders>
              <w:left w:val="nil"/>
              <w:right w:val="nil"/>
            </w:tcBorders>
            <w:shd w:val="clear" w:color="auto" w:fill="auto"/>
            <w:vAlign w:val="center"/>
            <w:hideMark/>
          </w:tcPr>
          <w:p w:rsidR="000A0087" w:rsidRPr="007043E4" w:rsidRDefault="000A0087" w:rsidP="007F573F">
            <w:pPr>
              <w:pStyle w:val="Financials"/>
              <w:jc w:val="right"/>
              <w:rPr>
                <w:rFonts w:ascii="Arial" w:eastAsia="Times New Roman" w:hAnsi="Arial" w:cs="Arial"/>
                <w:sz w:val="20"/>
                <w:szCs w:val="20"/>
                <w:lang w:eastAsia="en-AU"/>
              </w:rPr>
            </w:pPr>
          </w:p>
        </w:tc>
        <w:tc>
          <w:tcPr>
            <w:tcW w:w="1134" w:type="dxa"/>
            <w:tcBorders>
              <w:top w:val="single" w:sz="4" w:space="0" w:color="E0DCCB" w:themeColor="accent4" w:themeTint="66"/>
              <w:left w:val="nil"/>
              <w:right w:val="nil"/>
            </w:tcBorders>
            <w:shd w:val="clear" w:color="auto" w:fill="auto"/>
          </w:tcPr>
          <w:p w:rsidR="000A0087" w:rsidRPr="007043E4" w:rsidRDefault="000A0087" w:rsidP="007F573F">
            <w:pPr>
              <w:pStyle w:val="Financials"/>
              <w:jc w:val="right"/>
              <w:rPr>
                <w:rFonts w:ascii="Arial" w:eastAsia="Times New Roman" w:hAnsi="Arial" w:cs="Arial"/>
                <w:b/>
                <w:bCs/>
                <w:sz w:val="20"/>
                <w:szCs w:val="20"/>
                <w:highlight w:val="yellow"/>
                <w:lang w:eastAsia="en-AU"/>
              </w:rPr>
            </w:pPr>
          </w:p>
        </w:tc>
        <w:tc>
          <w:tcPr>
            <w:tcW w:w="1134" w:type="dxa"/>
            <w:tcBorders>
              <w:left w:val="nil"/>
              <w:right w:val="nil"/>
            </w:tcBorders>
            <w:shd w:val="clear" w:color="auto" w:fill="E0DCCB" w:themeFill="accent4" w:themeFillTint="66"/>
          </w:tcPr>
          <w:p w:rsidR="000A0087" w:rsidRPr="007043E4" w:rsidRDefault="000A0087" w:rsidP="007F573F">
            <w:pPr>
              <w:pStyle w:val="Financials"/>
              <w:jc w:val="right"/>
              <w:rPr>
                <w:rFonts w:ascii="Arial" w:eastAsia="Times New Roman" w:hAnsi="Arial" w:cs="Arial"/>
                <w:b/>
                <w:bCs/>
                <w:sz w:val="20"/>
                <w:szCs w:val="20"/>
                <w:highlight w:val="yellow"/>
                <w:lang w:eastAsia="en-AU"/>
              </w:rPr>
            </w:pPr>
          </w:p>
        </w:tc>
        <w:tc>
          <w:tcPr>
            <w:tcW w:w="1275" w:type="dxa"/>
            <w:tcBorders>
              <w:top w:val="single" w:sz="4" w:space="0" w:color="E0DCCB" w:themeColor="accent4" w:themeTint="66"/>
              <w:left w:val="nil"/>
              <w:right w:val="nil"/>
            </w:tcBorders>
            <w:shd w:val="clear" w:color="auto" w:fill="auto"/>
            <w:vAlign w:val="center"/>
          </w:tcPr>
          <w:p w:rsidR="000A0087" w:rsidRPr="005D6BC7" w:rsidRDefault="000A0087" w:rsidP="007F573F">
            <w:pPr>
              <w:pStyle w:val="Financials"/>
              <w:jc w:val="right"/>
              <w:rPr>
                <w:rFonts w:ascii="Arial" w:eastAsia="Times New Roman" w:hAnsi="Arial" w:cs="Arial"/>
                <w:sz w:val="20"/>
                <w:szCs w:val="20"/>
                <w:lang w:eastAsia="en-AU"/>
              </w:rPr>
            </w:pPr>
          </w:p>
        </w:tc>
        <w:tc>
          <w:tcPr>
            <w:tcW w:w="1134" w:type="dxa"/>
            <w:tcBorders>
              <w:top w:val="single" w:sz="4" w:space="0" w:color="E0DCCB" w:themeColor="accent4" w:themeTint="66"/>
              <w:left w:val="nil"/>
              <w:right w:val="nil"/>
            </w:tcBorders>
            <w:shd w:val="clear" w:color="auto" w:fill="auto"/>
            <w:vAlign w:val="center"/>
          </w:tcPr>
          <w:p w:rsidR="000A0087" w:rsidRPr="007043E4" w:rsidRDefault="000A0087" w:rsidP="007F573F">
            <w:pPr>
              <w:pStyle w:val="Financials"/>
              <w:jc w:val="right"/>
              <w:rPr>
                <w:rFonts w:ascii="Arial" w:eastAsia="Times New Roman" w:hAnsi="Arial" w:cs="Arial"/>
                <w:b/>
                <w:bCs/>
                <w:sz w:val="20"/>
                <w:szCs w:val="20"/>
                <w:highlight w:val="yellow"/>
                <w:lang w:eastAsia="en-AU"/>
              </w:rPr>
            </w:pPr>
          </w:p>
        </w:tc>
        <w:tc>
          <w:tcPr>
            <w:tcW w:w="1349" w:type="dxa"/>
            <w:tcBorders>
              <w:left w:val="nil"/>
              <w:right w:val="nil"/>
            </w:tcBorders>
            <w:shd w:val="clear" w:color="auto" w:fill="auto"/>
            <w:vAlign w:val="center"/>
            <w:hideMark/>
          </w:tcPr>
          <w:p w:rsidR="000A0087" w:rsidRPr="007043E4" w:rsidRDefault="000A0087" w:rsidP="007F573F">
            <w:pPr>
              <w:pStyle w:val="Financials"/>
              <w:jc w:val="right"/>
              <w:rPr>
                <w:rFonts w:ascii="Arial" w:eastAsia="Times New Roman" w:hAnsi="Arial" w:cs="Arial"/>
                <w:b/>
                <w:bCs/>
                <w:sz w:val="20"/>
                <w:szCs w:val="20"/>
                <w:lang w:eastAsia="en-AU"/>
              </w:rPr>
            </w:pPr>
          </w:p>
        </w:tc>
      </w:tr>
      <w:tr w:rsidR="000A0087" w:rsidRPr="000F34E9" w:rsidTr="000A0087">
        <w:trPr>
          <w:trHeight w:val="285"/>
        </w:trPr>
        <w:tc>
          <w:tcPr>
            <w:tcW w:w="2694" w:type="dxa"/>
            <w:tcBorders>
              <w:left w:val="nil"/>
              <w:right w:val="nil"/>
            </w:tcBorders>
            <w:shd w:val="clear" w:color="auto" w:fill="auto"/>
            <w:vAlign w:val="center"/>
            <w:hideMark/>
          </w:tcPr>
          <w:p w:rsidR="000A0087" w:rsidRPr="007043E4" w:rsidRDefault="000A0087" w:rsidP="00F6395E">
            <w:pPr>
              <w:pStyle w:val="Financials"/>
              <w:rPr>
                <w:rFonts w:ascii="Arial" w:eastAsia="Times New Roman" w:hAnsi="Arial" w:cs="Arial"/>
                <w:b/>
                <w:bCs/>
                <w:sz w:val="20"/>
                <w:szCs w:val="20"/>
                <w:lang w:eastAsia="en-AU"/>
              </w:rPr>
            </w:pPr>
            <w:r w:rsidRPr="005D6BC7">
              <w:rPr>
                <w:rFonts w:ascii="Arial" w:eastAsia="Times New Roman" w:hAnsi="Arial" w:cs="Arial"/>
                <w:sz w:val="20"/>
                <w:szCs w:val="20"/>
                <w:lang w:eastAsia="en-AU"/>
              </w:rPr>
              <w:t>Provisions</w:t>
            </w:r>
          </w:p>
        </w:tc>
        <w:tc>
          <w:tcPr>
            <w:tcW w:w="1134" w:type="dxa"/>
            <w:tcBorders>
              <w:left w:val="nil"/>
              <w:right w:val="nil"/>
            </w:tcBorders>
            <w:shd w:val="clear" w:color="auto" w:fill="auto"/>
            <w:vAlign w:val="center"/>
          </w:tcPr>
          <w:p w:rsidR="000A0087" w:rsidRPr="007043E4" w:rsidRDefault="000F34E9"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10,M</w:t>
            </w:r>
          </w:p>
        </w:tc>
        <w:tc>
          <w:tcPr>
            <w:tcW w:w="1134" w:type="dxa"/>
            <w:tcBorders>
              <w:left w:val="nil"/>
              <w:right w:val="nil"/>
            </w:tcBorders>
            <w:shd w:val="clear" w:color="auto" w:fill="auto"/>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916</w:t>
            </w:r>
          </w:p>
        </w:tc>
        <w:tc>
          <w:tcPr>
            <w:tcW w:w="1134" w:type="dxa"/>
            <w:tcBorders>
              <w:left w:val="nil"/>
              <w:right w:val="nil"/>
            </w:tcBorders>
            <w:shd w:val="clear" w:color="auto" w:fill="E0DCCB" w:themeFill="accent4" w:themeFillTint="66"/>
          </w:tcPr>
          <w:p w:rsidR="000A0087" w:rsidRDefault="000A0087" w:rsidP="000F34E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65</w:t>
            </w:r>
            <w:r w:rsidR="000F34E9">
              <w:rPr>
                <w:rFonts w:ascii="Arial" w:eastAsia="Times New Roman" w:hAnsi="Arial" w:cs="Arial"/>
                <w:sz w:val="20"/>
                <w:szCs w:val="20"/>
                <w:lang w:eastAsia="en-AU"/>
              </w:rPr>
              <w:t>8</w:t>
            </w:r>
          </w:p>
        </w:tc>
        <w:tc>
          <w:tcPr>
            <w:tcW w:w="1275" w:type="dxa"/>
            <w:tcBorders>
              <w:left w:val="nil"/>
              <w:right w:val="nil"/>
            </w:tcBorders>
            <w:shd w:val="clear" w:color="auto" w:fill="auto"/>
            <w:vAlign w:val="center"/>
          </w:tcPr>
          <w:p w:rsidR="000A0087" w:rsidRPr="007043E4" w:rsidRDefault="000A0087" w:rsidP="000F34E9">
            <w:pPr>
              <w:pStyle w:val="Financials"/>
              <w:jc w:val="right"/>
              <w:rPr>
                <w:rFonts w:ascii="Arial" w:eastAsia="Times New Roman" w:hAnsi="Arial" w:cs="Arial"/>
                <w:b/>
                <w:bCs/>
                <w:sz w:val="20"/>
                <w:szCs w:val="20"/>
                <w:lang w:eastAsia="en-AU"/>
              </w:rPr>
            </w:pPr>
            <w:r>
              <w:rPr>
                <w:rFonts w:ascii="Arial" w:eastAsia="Times New Roman" w:hAnsi="Arial" w:cs="Arial"/>
                <w:sz w:val="20"/>
                <w:szCs w:val="20"/>
                <w:lang w:eastAsia="en-AU"/>
              </w:rPr>
              <w:t>8</w:t>
            </w:r>
            <w:r w:rsidR="000F34E9">
              <w:rPr>
                <w:rFonts w:ascii="Arial" w:eastAsia="Times New Roman" w:hAnsi="Arial" w:cs="Arial"/>
                <w:sz w:val="20"/>
                <w:szCs w:val="20"/>
                <w:lang w:eastAsia="en-AU"/>
              </w:rPr>
              <w:t>13</w:t>
            </w:r>
          </w:p>
        </w:tc>
        <w:tc>
          <w:tcPr>
            <w:tcW w:w="1134" w:type="dxa"/>
            <w:tcBorders>
              <w:left w:val="nil"/>
              <w:right w:val="nil"/>
            </w:tcBorders>
            <w:shd w:val="clear" w:color="auto" w:fill="auto"/>
            <w:vAlign w:val="center"/>
          </w:tcPr>
          <w:p w:rsidR="000A0087" w:rsidRPr="007043E4" w:rsidRDefault="000A0087" w:rsidP="000F34E9">
            <w:pPr>
              <w:pStyle w:val="Financials"/>
              <w:jc w:val="right"/>
              <w:rPr>
                <w:rFonts w:ascii="Arial" w:eastAsia="Times New Roman" w:hAnsi="Arial" w:cs="Arial"/>
                <w:b/>
                <w:bCs/>
                <w:sz w:val="20"/>
                <w:szCs w:val="20"/>
                <w:highlight w:val="yellow"/>
                <w:lang w:eastAsia="en-AU"/>
              </w:rPr>
            </w:pPr>
            <w:r>
              <w:rPr>
                <w:rFonts w:ascii="Arial" w:eastAsia="Times New Roman" w:hAnsi="Arial" w:cs="Arial"/>
                <w:sz w:val="20"/>
                <w:szCs w:val="20"/>
                <w:lang w:eastAsia="en-AU"/>
              </w:rPr>
              <w:t>(2</w:t>
            </w:r>
            <w:r w:rsidR="000F34E9">
              <w:rPr>
                <w:rFonts w:ascii="Arial" w:eastAsia="Times New Roman" w:hAnsi="Arial" w:cs="Arial"/>
                <w:sz w:val="20"/>
                <w:szCs w:val="20"/>
                <w:lang w:eastAsia="en-AU"/>
              </w:rPr>
              <w:t>57</w:t>
            </w:r>
            <w:r>
              <w:rPr>
                <w:rFonts w:ascii="Arial" w:eastAsia="Times New Roman" w:hAnsi="Arial" w:cs="Arial"/>
                <w:sz w:val="20"/>
                <w:szCs w:val="20"/>
                <w:lang w:eastAsia="en-AU"/>
              </w:rPr>
              <w:t>)</w:t>
            </w:r>
          </w:p>
        </w:tc>
        <w:tc>
          <w:tcPr>
            <w:tcW w:w="1349" w:type="dxa"/>
            <w:tcBorders>
              <w:left w:val="nil"/>
              <w:right w:val="nil"/>
            </w:tcBorders>
            <w:shd w:val="clear" w:color="auto" w:fill="auto"/>
            <w:vAlign w:val="center"/>
          </w:tcPr>
          <w:p w:rsidR="000A0087" w:rsidRPr="000F34E9" w:rsidRDefault="000A0087" w:rsidP="000F34E9">
            <w:pPr>
              <w:pStyle w:val="Financials"/>
              <w:jc w:val="right"/>
              <w:rPr>
                <w:rFonts w:ascii="Arial" w:eastAsia="Times New Roman" w:hAnsi="Arial" w:cs="Arial"/>
                <w:bCs/>
                <w:sz w:val="20"/>
                <w:szCs w:val="20"/>
                <w:lang w:eastAsia="en-AU"/>
              </w:rPr>
            </w:pPr>
            <w:r w:rsidRPr="000F34E9">
              <w:rPr>
                <w:rFonts w:ascii="Arial" w:eastAsia="Times New Roman" w:hAnsi="Arial" w:cs="Arial"/>
                <w:bCs/>
                <w:sz w:val="20"/>
                <w:szCs w:val="20"/>
                <w:lang w:eastAsia="en-AU"/>
              </w:rPr>
              <w:t>(15</w:t>
            </w:r>
            <w:r w:rsidR="000F34E9" w:rsidRPr="000F34E9">
              <w:rPr>
                <w:rFonts w:ascii="Arial" w:eastAsia="Times New Roman" w:hAnsi="Arial" w:cs="Arial"/>
                <w:bCs/>
                <w:sz w:val="20"/>
                <w:szCs w:val="20"/>
                <w:lang w:eastAsia="en-AU"/>
              </w:rPr>
              <w:t>5</w:t>
            </w:r>
            <w:r w:rsidRPr="000F34E9">
              <w:rPr>
                <w:rFonts w:ascii="Arial" w:eastAsia="Times New Roman" w:hAnsi="Arial" w:cs="Arial"/>
                <w:bCs/>
                <w:sz w:val="20"/>
                <w:szCs w:val="20"/>
                <w:lang w:eastAsia="en-AU"/>
              </w:rPr>
              <w:t>)</w:t>
            </w:r>
          </w:p>
        </w:tc>
      </w:tr>
      <w:tr w:rsidR="000A0087" w:rsidRPr="000F34E9" w:rsidTr="000A0087">
        <w:trPr>
          <w:trHeight w:val="285"/>
        </w:trPr>
        <w:tc>
          <w:tcPr>
            <w:tcW w:w="2694" w:type="dxa"/>
            <w:tcBorders>
              <w:left w:val="nil"/>
              <w:right w:val="nil"/>
            </w:tcBorders>
            <w:shd w:val="clear" w:color="auto" w:fill="auto"/>
            <w:vAlign w:val="center"/>
          </w:tcPr>
          <w:p w:rsidR="000A0087" w:rsidRPr="005D6BC7" w:rsidRDefault="000A0087" w:rsidP="00F6395E">
            <w:pPr>
              <w:pStyle w:val="Financials"/>
              <w:rPr>
                <w:rFonts w:ascii="Arial" w:eastAsia="Times New Roman" w:hAnsi="Arial" w:cs="Arial"/>
                <w:sz w:val="20"/>
                <w:szCs w:val="20"/>
                <w:lang w:eastAsia="en-AU"/>
              </w:rPr>
            </w:pPr>
            <w:r>
              <w:rPr>
                <w:rFonts w:ascii="Arial" w:eastAsia="Times New Roman" w:hAnsi="Arial" w:cs="Arial"/>
                <w:sz w:val="20"/>
                <w:szCs w:val="20"/>
                <w:lang w:eastAsia="en-AU"/>
              </w:rPr>
              <w:t>Other</w:t>
            </w:r>
          </w:p>
        </w:tc>
        <w:tc>
          <w:tcPr>
            <w:tcW w:w="1134" w:type="dxa"/>
            <w:tcBorders>
              <w:left w:val="nil"/>
              <w:right w:val="nil"/>
            </w:tcBorders>
            <w:shd w:val="clear" w:color="auto" w:fill="auto"/>
            <w:vAlign w:val="center"/>
          </w:tcPr>
          <w:p w:rsidR="000A0087" w:rsidRDefault="000A0087" w:rsidP="007F573F">
            <w:pPr>
              <w:pStyle w:val="Financials"/>
              <w:jc w:val="right"/>
              <w:rPr>
                <w:rFonts w:ascii="Arial" w:eastAsia="Times New Roman" w:hAnsi="Arial" w:cs="Arial"/>
                <w:sz w:val="20"/>
                <w:szCs w:val="20"/>
                <w:lang w:eastAsia="en-AU"/>
              </w:rPr>
            </w:pPr>
          </w:p>
        </w:tc>
        <w:tc>
          <w:tcPr>
            <w:tcW w:w="1134" w:type="dxa"/>
            <w:tcBorders>
              <w:left w:val="nil"/>
              <w:right w:val="nil"/>
            </w:tcBorders>
            <w:shd w:val="clear" w:color="auto" w:fill="auto"/>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9</w:t>
            </w:r>
          </w:p>
        </w:tc>
        <w:tc>
          <w:tcPr>
            <w:tcW w:w="1134" w:type="dxa"/>
            <w:tcBorders>
              <w:left w:val="nil"/>
              <w:right w:val="nil"/>
            </w:tcBorders>
            <w:shd w:val="clear" w:color="auto" w:fill="E0DCCB" w:themeFill="accent4" w:themeFillTint="66"/>
          </w:tcPr>
          <w:p w:rsidR="000A0087" w:rsidRDefault="000F34E9"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275" w:type="dxa"/>
            <w:tcBorders>
              <w:left w:val="nil"/>
              <w:right w:val="nil"/>
            </w:tcBorders>
            <w:shd w:val="clear" w:color="auto" w:fill="auto"/>
            <w:vAlign w:val="center"/>
          </w:tcPr>
          <w:p w:rsidR="000A0087" w:rsidRDefault="000F34E9"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134" w:type="dxa"/>
            <w:tcBorders>
              <w:left w:val="nil"/>
              <w:right w:val="nil"/>
            </w:tcBorders>
            <w:shd w:val="clear" w:color="auto" w:fill="auto"/>
            <w:vAlign w:val="center"/>
          </w:tcPr>
          <w:p w:rsidR="000A0087" w:rsidRDefault="000A0087" w:rsidP="000F34E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0F34E9">
              <w:rPr>
                <w:rFonts w:ascii="Arial" w:eastAsia="Times New Roman" w:hAnsi="Arial" w:cs="Arial"/>
                <w:sz w:val="20"/>
                <w:szCs w:val="20"/>
                <w:lang w:eastAsia="en-AU"/>
              </w:rPr>
              <w:t>9</w:t>
            </w:r>
            <w:r>
              <w:rPr>
                <w:rFonts w:ascii="Arial" w:eastAsia="Times New Roman" w:hAnsi="Arial" w:cs="Arial"/>
                <w:sz w:val="20"/>
                <w:szCs w:val="20"/>
                <w:lang w:eastAsia="en-AU"/>
              </w:rPr>
              <w:t>)</w:t>
            </w:r>
          </w:p>
        </w:tc>
        <w:tc>
          <w:tcPr>
            <w:tcW w:w="1349" w:type="dxa"/>
            <w:tcBorders>
              <w:left w:val="nil"/>
              <w:right w:val="nil"/>
            </w:tcBorders>
            <w:shd w:val="clear" w:color="auto" w:fill="auto"/>
            <w:vAlign w:val="center"/>
          </w:tcPr>
          <w:p w:rsidR="000A0087" w:rsidRPr="000F34E9" w:rsidRDefault="000F34E9" w:rsidP="007F573F">
            <w:pPr>
              <w:pStyle w:val="Financials"/>
              <w:jc w:val="right"/>
              <w:rPr>
                <w:rFonts w:ascii="Arial" w:eastAsia="Times New Roman" w:hAnsi="Arial" w:cs="Arial"/>
                <w:bCs/>
                <w:sz w:val="20"/>
                <w:szCs w:val="20"/>
                <w:lang w:eastAsia="en-AU"/>
              </w:rPr>
            </w:pPr>
            <w:r>
              <w:rPr>
                <w:rFonts w:ascii="Arial" w:eastAsia="Times New Roman" w:hAnsi="Arial" w:cs="Arial"/>
                <w:bCs/>
                <w:sz w:val="20"/>
                <w:szCs w:val="20"/>
                <w:lang w:eastAsia="en-AU"/>
              </w:rPr>
              <w:t>-</w:t>
            </w:r>
          </w:p>
        </w:tc>
      </w:tr>
      <w:tr w:rsidR="000A0087" w:rsidRPr="007043E4" w:rsidTr="007F573F">
        <w:trPr>
          <w:trHeight w:val="285"/>
        </w:trPr>
        <w:tc>
          <w:tcPr>
            <w:tcW w:w="2694" w:type="dxa"/>
            <w:tcBorders>
              <w:left w:val="nil"/>
              <w:bottom w:val="single" w:sz="4" w:space="0" w:color="E0DCCB" w:themeColor="accent4" w:themeTint="66"/>
              <w:right w:val="nil"/>
            </w:tcBorders>
            <w:shd w:val="clear" w:color="auto" w:fill="auto"/>
            <w:vAlign w:val="center"/>
          </w:tcPr>
          <w:p w:rsidR="000A0087" w:rsidRPr="004241FA" w:rsidRDefault="000A0087" w:rsidP="00F6395E">
            <w:pPr>
              <w:pStyle w:val="Financials"/>
              <w:rPr>
                <w:rFonts w:ascii="Arial" w:eastAsia="Times New Roman" w:hAnsi="Arial" w:cs="Arial"/>
                <w:b/>
                <w:sz w:val="20"/>
                <w:szCs w:val="20"/>
                <w:lang w:eastAsia="en-AU"/>
              </w:rPr>
            </w:pPr>
            <w:r w:rsidRPr="004241FA">
              <w:rPr>
                <w:rFonts w:ascii="Arial" w:eastAsia="Times New Roman" w:hAnsi="Arial" w:cs="Arial"/>
                <w:b/>
                <w:bCs/>
                <w:sz w:val="20"/>
                <w:szCs w:val="20"/>
                <w:lang w:eastAsia="en-AU"/>
              </w:rPr>
              <w:t>Total Non-Current Liabilities</w:t>
            </w:r>
          </w:p>
        </w:tc>
        <w:tc>
          <w:tcPr>
            <w:tcW w:w="1134" w:type="dxa"/>
            <w:tcBorders>
              <w:left w:val="nil"/>
              <w:bottom w:val="single" w:sz="4" w:space="0" w:color="E0DCCB" w:themeColor="accent4" w:themeTint="66"/>
              <w:right w:val="nil"/>
            </w:tcBorders>
            <w:shd w:val="clear" w:color="auto" w:fill="auto"/>
            <w:vAlign w:val="center"/>
          </w:tcPr>
          <w:p w:rsidR="000A0087" w:rsidRPr="004241FA" w:rsidRDefault="000A0087" w:rsidP="007F573F">
            <w:pPr>
              <w:pStyle w:val="Financials"/>
              <w:jc w:val="right"/>
              <w:rPr>
                <w:rFonts w:ascii="Arial" w:eastAsia="Times New Roman" w:hAnsi="Arial" w:cs="Arial"/>
                <w:b/>
                <w:sz w:val="20"/>
                <w:szCs w:val="20"/>
                <w:lang w:eastAsia="en-AU"/>
              </w:rPr>
            </w:pPr>
          </w:p>
        </w:tc>
        <w:tc>
          <w:tcPr>
            <w:tcW w:w="1134" w:type="dxa"/>
            <w:tcBorders>
              <w:left w:val="nil"/>
              <w:bottom w:val="single" w:sz="4" w:space="0" w:color="E0DCCB" w:themeColor="accent4" w:themeTint="66"/>
              <w:right w:val="nil"/>
            </w:tcBorders>
            <w:shd w:val="clear" w:color="auto" w:fill="auto"/>
            <w:vAlign w:val="center"/>
          </w:tcPr>
          <w:p w:rsidR="000A0087" w:rsidRPr="004241FA" w:rsidRDefault="000A0087" w:rsidP="007F573F">
            <w:pPr>
              <w:pStyle w:val="Financials"/>
              <w:jc w:val="right"/>
              <w:rPr>
                <w:rFonts w:ascii="Arial" w:eastAsia="Times New Roman" w:hAnsi="Arial" w:cs="Arial"/>
                <w:b/>
                <w:bCs/>
                <w:sz w:val="20"/>
                <w:szCs w:val="20"/>
                <w:lang w:eastAsia="en-AU"/>
              </w:rPr>
            </w:pPr>
            <w:r w:rsidRPr="004241FA">
              <w:rPr>
                <w:rFonts w:ascii="Arial" w:eastAsia="Times New Roman" w:hAnsi="Arial" w:cs="Arial"/>
                <w:b/>
                <w:bCs/>
                <w:sz w:val="20"/>
                <w:szCs w:val="20"/>
                <w:lang w:eastAsia="en-AU"/>
              </w:rPr>
              <w:fldChar w:fldCharType="begin"/>
            </w:r>
            <w:r w:rsidRPr="004241FA">
              <w:rPr>
                <w:rFonts w:ascii="Arial" w:eastAsia="Times New Roman" w:hAnsi="Arial" w:cs="Arial"/>
                <w:b/>
                <w:bCs/>
                <w:sz w:val="20"/>
                <w:szCs w:val="20"/>
                <w:lang w:eastAsia="en-AU"/>
              </w:rPr>
              <w:instrText xml:space="preserve"> =SUM(ABOVE) </w:instrText>
            </w:r>
            <w:r w:rsidRPr="004241FA">
              <w:rPr>
                <w:rFonts w:ascii="Arial" w:eastAsia="Times New Roman" w:hAnsi="Arial" w:cs="Arial"/>
                <w:b/>
                <w:bCs/>
                <w:sz w:val="20"/>
                <w:szCs w:val="20"/>
                <w:lang w:eastAsia="en-AU"/>
              </w:rPr>
              <w:fldChar w:fldCharType="separate"/>
            </w:r>
            <w:r w:rsidRPr="004241FA">
              <w:rPr>
                <w:rFonts w:ascii="Arial" w:eastAsia="Times New Roman" w:hAnsi="Arial" w:cs="Arial"/>
                <w:b/>
                <w:bCs/>
                <w:noProof/>
                <w:sz w:val="20"/>
                <w:szCs w:val="20"/>
                <w:lang w:eastAsia="en-AU"/>
              </w:rPr>
              <w:t>925</w:t>
            </w:r>
            <w:r w:rsidRPr="004241FA">
              <w:rPr>
                <w:rFonts w:ascii="Arial" w:eastAsia="Times New Roman" w:hAnsi="Arial" w:cs="Arial"/>
                <w:b/>
                <w:bCs/>
                <w:sz w:val="20"/>
                <w:szCs w:val="20"/>
                <w:lang w:eastAsia="en-AU"/>
              </w:rPr>
              <w:fldChar w:fldCharType="end"/>
            </w:r>
          </w:p>
        </w:tc>
        <w:tc>
          <w:tcPr>
            <w:tcW w:w="1134" w:type="dxa"/>
            <w:tcBorders>
              <w:left w:val="nil"/>
              <w:bottom w:val="single" w:sz="4" w:space="0" w:color="FFFFFF" w:themeColor="background1"/>
              <w:right w:val="nil"/>
            </w:tcBorders>
            <w:shd w:val="clear" w:color="auto" w:fill="E0DCCB" w:themeFill="accent4" w:themeFillTint="66"/>
            <w:vAlign w:val="center"/>
          </w:tcPr>
          <w:p w:rsidR="000A0087" w:rsidRPr="004241FA" w:rsidRDefault="000A0087" w:rsidP="007F573F">
            <w:pPr>
              <w:pStyle w:val="Financials"/>
              <w:jc w:val="right"/>
              <w:rPr>
                <w:rFonts w:ascii="Arial" w:eastAsia="Times New Roman" w:hAnsi="Arial" w:cs="Arial"/>
                <w:b/>
                <w:bCs/>
                <w:sz w:val="20"/>
                <w:szCs w:val="20"/>
                <w:lang w:eastAsia="en-AU"/>
              </w:rPr>
            </w:pPr>
            <w:r w:rsidRPr="004241FA">
              <w:rPr>
                <w:rFonts w:ascii="Arial" w:eastAsia="Times New Roman" w:hAnsi="Arial" w:cs="Arial"/>
                <w:b/>
                <w:bCs/>
                <w:sz w:val="20"/>
                <w:szCs w:val="20"/>
                <w:lang w:eastAsia="en-AU"/>
              </w:rPr>
              <w:fldChar w:fldCharType="begin"/>
            </w:r>
            <w:r w:rsidRPr="004241FA">
              <w:rPr>
                <w:rFonts w:ascii="Arial" w:eastAsia="Times New Roman" w:hAnsi="Arial" w:cs="Arial"/>
                <w:b/>
                <w:bCs/>
                <w:sz w:val="20"/>
                <w:szCs w:val="20"/>
                <w:lang w:eastAsia="en-AU"/>
              </w:rPr>
              <w:instrText xml:space="preserve"> =SUM(ABOVE) </w:instrText>
            </w:r>
            <w:r w:rsidRPr="004241FA">
              <w:rPr>
                <w:rFonts w:ascii="Arial" w:eastAsia="Times New Roman" w:hAnsi="Arial" w:cs="Arial"/>
                <w:b/>
                <w:bCs/>
                <w:sz w:val="20"/>
                <w:szCs w:val="20"/>
                <w:lang w:eastAsia="en-AU"/>
              </w:rPr>
              <w:fldChar w:fldCharType="separate"/>
            </w:r>
            <w:r w:rsidRPr="004241FA">
              <w:rPr>
                <w:rFonts w:ascii="Arial" w:eastAsia="Times New Roman" w:hAnsi="Arial" w:cs="Arial"/>
                <w:b/>
                <w:bCs/>
                <w:noProof/>
                <w:sz w:val="20"/>
                <w:szCs w:val="20"/>
                <w:lang w:eastAsia="en-AU"/>
              </w:rPr>
              <w:t>658</w:t>
            </w:r>
            <w:r w:rsidRPr="004241FA">
              <w:rPr>
                <w:rFonts w:ascii="Arial" w:eastAsia="Times New Roman" w:hAnsi="Arial" w:cs="Arial"/>
                <w:b/>
                <w:bCs/>
                <w:sz w:val="20"/>
                <w:szCs w:val="20"/>
                <w:lang w:eastAsia="en-AU"/>
              </w:rPr>
              <w:fldChar w:fldCharType="end"/>
            </w:r>
          </w:p>
        </w:tc>
        <w:tc>
          <w:tcPr>
            <w:tcW w:w="1275" w:type="dxa"/>
            <w:tcBorders>
              <w:left w:val="nil"/>
              <w:bottom w:val="single" w:sz="4" w:space="0" w:color="E0DCCB" w:themeColor="accent4" w:themeTint="66"/>
              <w:right w:val="nil"/>
            </w:tcBorders>
            <w:shd w:val="clear" w:color="auto" w:fill="auto"/>
            <w:vAlign w:val="center"/>
          </w:tcPr>
          <w:p w:rsidR="000A0087" w:rsidRPr="004241FA" w:rsidRDefault="000A0087" w:rsidP="007F573F">
            <w:pPr>
              <w:pStyle w:val="Financials"/>
              <w:jc w:val="right"/>
              <w:rPr>
                <w:rFonts w:ascii="Arial" w:eastAsia="Times New Roman" w:hAnsi="Arial" w:cs="Arial"/>
                <w:b/>
                <w:sz w:val="20"/>
                <w:szCs w:val="20"/>
                <w:lang w:eastAsia="en-AU"/>
              </w:rPr>
            </w:pPr>
            <w:r w:rsidRPr="004241FA">
              <w:rPr>
                <w:rFonts w:ascii="Arial" w:eastAsia="Times New Roman" w:hAnsi="Arial" w:cs="Arial"/>
                <w:b/>
                <w:bCs/>
                <w:sz w:val="20"/>
                <w:szCs w:val="20"/>
                <w:lang w:eastAsia="en-AU"/>
              </w:rPr>
              <w:fldChar w:fldCharType="begin"/>
            </w:r>
            <w:r w:rsidRPr="004241FA">
              <w:rPr>
                <w:rFonts w:ascii="Arial" w:eastAsia="Times New Roman" w:hAnsi="Arial" w:cs="Arial"/>
                <w:b/>
                <w:bCs/>
                <w:sz w:val="20"/>
                <w:szCs w:val="20"/>
                <w:lang w:eastAsia="en-AU"/>
              </w:rPr>
              <w:instrText xml:space="preserve"> =SUM(ABOVE) </w:instrText>
            </w:r>
            <w:r w:rsidRPr="004241FA">
              <w:rPr>
                <w:rFonts w:ascii="Arial" w:eastAsia="Times New Roman" w:hAnsi="Arial" w:cs="Arial"/>
                <w:b/>
                <w:bCs/>
                <w:sz w:val="20"/>
                <w:szCs w:val="20"/>
                <w:lang w:eastAsia="en-AU"/>
              </w:rPr>
              <w:fldChar w:fldCharType="separate"/>
            </w:r>
            <w:r w:rsidRPr="004241FA">
              <w:rPr>
                <w:rFonts w:ascii="Arial" w:eastAsia="Times New Roman" w:hAnsi="Arial" w:cs="Arial"/>
                <w:b/>
                <w:bCs/>
                <w:noProof/>
                <w:sz w:val="20"/>
                <w:szCs w:val="20"/>
                <w:lang w:eastAsia="en-AU"/>
              </w:rPr>
              <w:t>813</w:t>
            </w:r>
            <w:r w:rsidRPr="004241FA">
              <w:rPr>
                <w:rFonts w:ascii="Arial" w:eastAsia="Times New Roman" w:hAnsi="Arial" w:cs="Arial"/>
                <w:b/>
                <w:bCs/>
                <w:sz w:val="20"/>
                <w:szCs w:val="20"/>
                <w:lang w:eastAsia="en-AU"/>
              </w:rPr>
              <w:fldChar w:fldCharType="end"/>
            </w:r>
          </w:p>
        </w:tc>
        <w:tc>
          <w:tcPr>
            <w:tcW w:w="1134" w:type="dxa"/>
            <w:tcBorders>
              <w:left w:val="nil"/>
              <w:bottom w:val="single" w:sz="4" w:space="0" w:color="E0DCCB" w:themeColor="accent4" w:themeTint="66"/>
              <w:right w:val="nil"/>
            </w:tcBorders>
            <w:shd w:val="clear" w:color="auto" w:fill="auto"/>
            <w:vAlign w:val="center"/>
          </w:tcPr>
          <w:p w:rsidR="000A0087" w:rsidRPr="004241FA" w:rsidRDefault="000A0087" w:rsidP="000F34E9">
            <w:pPr>
              <w:pStyle w:val="Financials"/>
              <w:jc w:val="right"/>
              <w:rPr>
                <w:rFonts w:ascii="Arial" w:eastAsia="Times New Roman" w:hAnsi="Arial" w:cs="Arial"/>
                <w:b/>
                <w:sz w:val="20"/>
                <w:szCs w:val="20"/>
                <w:lang w:eastAsia="en-AU"/>
              </w:rPr>
            </w:pPr>
            <w:r w:rsidRPr="004241FA">
              <w:rPr>
                <w:rFonts w:ascii="Arial" w:eastAsia="Times New Roman" w:hAnsi="Arial" w:cs="Arial"/>
                <w:b/>
                <w:bCs/>
                <w:sz w:val="20"/>
                <w:szCs w:val="20"/>
                <w:lang w:eastAsia="en-AU"/>
              </w:rPr>
              <w:t>(26</w:t>
            </w:r>
            <w:r w:rsidR="000F34E9">
              <w:rPr>
                <w:rFonts w:ascii="Arial" w:eastAsia="Times New Roman" w:hAnsi="Arial" w:cs="Arial"/>
                <w:b/>
                <w:bCs/>
                <w:sz w:val="20"/>
                <w:szCs w:val="20"/>
                <w:lang w:eastAsia="en-AU"/>
              </w:rPr>
              <w:t>6</w:t>
            </w:r>
            <w:r w:rsidRPr="004241FA">
              <w:rPr>
                <w:rFonts w:ascii="Arial" w:eastAsia="Times New Roman" w:hAnsi="Arial" w:cs="Arial"/>
                <w:b/>
                <w:bCs/>
                <w:sz w:val="20"/>
                <w:szCs w:val="20"/>
                <w:lang w:eastAsia="en-AU"/>
              </w:rPr>
              <w:t>)</w:t>
            </w:r>
          </w:p>
        </w:tc>
        <w:tc>
          <w:tcPr>
            <w:tcW w:w="1349" w:type="dxa"/>
            <w:tcBorders>
              <w:left w:val="nil"/>
              <w:bottom w:val="single" w:sz="4" w:space="0" w:color="E0DCCB" w:themeColor="accent4" w:themeTint="66"/>
              <w:right w:val="nil"/>
            </w:tcBorders>
            <w:shd w:val="clear" w:color="auto" w:fill="auto"/>
            <w:vAlign w:val="center"/>
          </w:tcPr>
          <w:p w:rsidR="000A0087" w:rsidRPr="004241FA" w:rsidRDefault="000A0087" w:rsidP="007F573F">
            <w:pPr>
              <w:pStyle w:val="Financials"/>
              <w:jc w:val="right"/>
              <w:rPr>
                <w:rFonts w:ascii="Arial" w:eastAsia="Times New Roman" w:hAnsi="Arial" w:cs="Arial"/>
                <w:b/>
                <w:sz w:val="20"/>
                <w:szCs w:val="20"/>
                <w:lang w:eastAsia="en-AU"/>
              </w:rPr>
            </w:pPr>
            <w:r w:rsidRPr="004241FA">
              <w:rPr>
                <w:rFonts w:ascii="Arial" w:eastAsia="Times New Roman" w:hAnsi="Arial" w:cs="Arial"/>
                <w:b/>
                <w:sz w:val="20"/>
                <w:szCs w:val="20"/>
                <w:lang w:eastAsia="en-AU"/>
              </w:rPr>
              <w:t>(155)</w:t>
            </w:r>
          </w:p>
        </w:tc>
      </w:tr>
      <w:tr w:rsidR="000A0087" w:rsidRPr="007043E4" w:rsidTr="000F34E9">
        <w:trPr>
          <w:trHeight w:val="285"/>
        </w:trPr>
        <w:tc>
          <w:tcPr>
            <w:tcW w:w="269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0F34E9">
            <w:pPr>
              <w:pStyle w:val="Financials"/>
              <w:rPr>
                <w:rFonts w:ascii="Arial" w:eastAsia="Times New Roman" w:hAnsi="Arial" w:cs="Arial"/>
                <w:sz w:val="20"/>
                <w:szCs w:val="20"/>
                <w:lang w:eastAsia="en-AU"/>
              </w:rPr>
            </w:pPr>
            <w:r w:rsidRPr="005D6BC7">
              <w:rPr>
                <w:rFonts w:ascii="Arial" w:eastAsia="Times New Roman" w:hAnsi="Arial" w:cs="Arial"/>
                <w:b/>
                <w:bCs/>
                <w:sz w:val="20"/>
                <w:szCs w:val="20"/>
                <w:lang w:eastAsia="en-AU"/>
              </w:rPr>
              <w:t>TOTAL LIABILITIES</w:t>
            </w: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0F34E9">
            <w:pPr>
              <w:pStyle w:val="Financials"/>
              <w:rPr>
                <w:rFonts w:ascii="Arial" w:eastAsia="Times New Roman" w:hAnsi="Arial" w:cs="Arial"/>
                <w:sz w:val="20"/>
                <w:szCs w:val="20"/>
                <w:lang w:eastAsia="en-AU"/>
              </w:rPr>
            </w:pP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Default="000A0087" w:rsidP="000F34E9">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3,388</w:t>
            </w:r>
          </w:p>
        </w:tc>
        <w:tc>
          <w:tcPr>
            <w:tcW w:w="1134"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0A0087" w:rsidRDefault="000A0087" w:rsidP="000F34E9">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2,934</w:t>
            </w:r>
          </w:p>
        </w:tc>
        <w:tc>
          <w:tcPr>
            <w:tcW w:w="1275"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0F34E9">
            <w:pPr>
              <w:pStyle w:val="Financials"/>
              <w:jc w:val="right"/>
              <w:rPr>
                <w:rFonts w:ascii="Arial" w:eastAsia="Times New Roman" w:hAnsi="Arial" w:cs="Arial"/>
                <w:sz w:val="20"/>
                <w:szCs w:val="20"/>
                <w:lang w:eastAsia="en-AU"/>
              </w:rPr>
            </w:pPr>
            <w:r>
              <w:rPr>
                <w:rFonts w:ascii="Arial" w:eastAsia="Times New Roman" w:hAnsi="Arial" w:cs="Arial"/>
                <w:b/>
                <w:bCs/>
                <w:sz w:val="20"/>
                <w:szCs w:val="20"/>
                <w:lang w:eastAsia="en-AU"/>
              </w:rPr>
              <w:t>3,801</w:t>
            </w: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Default="000A0087" w:rsidP="000F34E9">
            <w:pPr>
              <w:pStyle w:val="Financials"/>
              <w:jc w:val="right"/>
              <w:rPr>
                <w:rFonts w:ascii="Arial" w:eastAsia="Times New Roman" w:hAnsi="Arial" w:cs="Arial"/>
                <w:sz w:val="20"/>
                <w:szCs w:val="20"/>
                <w:lang w:eastAsia="en-AU"/>
              </w:rPr>
            </w:pPr>
            <w:r>
              <w:rPr>
                <w:rFonts w:ascii="Arial" w:eastAsia="Times New Roman" w:hAnsi="Arial" w:cs="Arial"/>
                <w:b/>
                <w:bCs/>
                <w:sz w:val="20"/>
                <w:szCs w:val="20"/>
                <w:lang w:eastAsia="en-AU"/>
              </w:rPr>
              <w:t>(</w:t>
            </w:r>
            <w:r w:rsidR="000F34E9">
              <w:rPr>
                <w:rFonts w:ascii="Arial" w:eastAsia="Times New Roman" w:hAnsi="Arial" w:cs="Arial"/>
                <w:b/>
                <w:bCs/>
                <w:sz w:val="20"/>
                <w:szCs w:val="20"/>
                <w:lang w:eastAsia="en-AU"/>
              </w:rPr>
              <w:t>454</w:t>
            </w:r>
            <w:r>
              <w:rPr>
                <w:rFonts w:ascii="Arial" w:eastAsia="Times New Roman" w:hAnsi="Arial" w:cs="Arial"/>
                <w:b/>
                <w:bCs/>
                <w:sz w:val="20"/>
                <w:szCs w:val="20"/>
                <w:lang w:eastAsia="en-AU"/>
              </w:rPr>
              <w:t>)</w:t>
            </w:r>
          </w:p>
        </w:tc>
        <w:tc>
          <w:tcPr>
            <w:tcW w:w="1349"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0F34E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0F34E9">
              <w:rPr>
                <w:rFonts w:ascii="Arial" w:eastAsia="Times New Roman" w:hAnsi="Arial" w:cs="Arial"/>
                <w:sz w:val="20"/>
                <w:szCs w:val="20"/>
                <w:lang w:eastAsia="en-AU"/>
              </w:rPr>
              <w:t>867</w:t>
            </w:r>
            <w:r>
              <w:rPr>
                <w:rFonts w:ascii="Arial" w:eastAsia="Times New Roman" w:hAnsi="Arial" w:cs="Arial"/>
                <w:sz w:val="20"/>
                <w:szCs w:val="20"/>
                <w:lang w:eastAsia="en-AU"/>
              </w:rPr>
              <w:t>)</w:t>
            </w:r>
          </w:p>
        </w:tc>
      </w:tr>
      <w:tr w:rsidR="000A0087" w:rsidRPr="007043E4" w:rsidTr="000F34E9">
        <w:trPr>
          <w:trHeight w:val="285"/>
        </w:trPr>
        <w:tc>
          <w:tcPr>
            <w:tcW w:w="269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0F34E9">
            <w:pPr>
              <w:pStyle w:val="Financials"/>
              <w:rPr>
                <w:rFonts w:ascii="Arial" w:eastAsia="Times New Roman" w:hAnsi="Arial" w:cs="Arial"/>
                <w:sz w:val="20"/>
                <w:szCs w:val="20"/>
                <w:lang w:eastAsia="en-AU"/>
              </w:rPr>
            </w:pPr>
            <w:r w:rsidRPr="005D6BC7">
              <w:rPr>
                <w:rFonts w:ascii="Arial" w:eastAsia="Times New Roman" w:hAnsi="Arial" w:cs="Arial"/>
                <w:b/>
                <w:bCs/>
                <w:sz w:val="20"/>
                <w:szCs w:val="20"/>
                <w:lang w:eastAsia="en-AU"/>
              </w:rPr>
              <w:t>NET ASSETS</w:t>
            </w: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0F34E9">
            <w:pPr>
              <w:pStyle w:val="Financials"/>
              <w:rPr>
                <w:rFonts w:ascii="Arial" w:eastAsia="Times New Roman" w:hAnsi="Arial" w:cs="Arial"/>
                <w:sz w:val="20"/>
                <w:szCs w:val="20"/>
                <w:lang w:eastAsia="en-AU"/>
              </w:rPr>
            </w:pP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Default="000A0087" w:rsidP="000F34E9">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(1,056)</w:t>
            </w:r>
          </w:p>
        </w:tc>
        <w:tc>
          <w:tcPr>
            <w:tcW w:w="1134" w:type="dxa"/>
            <w:tcBorders>
              <w:top w:val="single" w:sz="4" w:space="0" w:color="E0DCCB" w:themeColor="accent4" w:themeTint="66"/>
              <w:left w:val="nil"/>
              <w:bottom w:val="single" w:sz="4" w:space="0" w:color="B2A97E" w:themeColor="accent4"/>
              <w:right w:val="nil"/>
            </w:tcBorders>
            <w:shd w:val="clear" w:color="auto" w:fill="E0DCCB" w:themeFill="accent4" w:themeFillTint="66"/>
            <w:vAlign w:val="center"/>
          </w:tcPr>
          <w:p w:rsidR="000A0087" w:rsidRDefault="000A0087" w:rsidP="000F34E9">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(1,324)</w:t>
            </w:r>
          </w:p>
        </w:tc>
        <w:tc>
          <w:tcPr>
            <w:tcW w:w="1275"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0F34E9">
            <w:pPr>
              <w:pStyle w:val="Financials"/>
              <w:jc w:val="right"/>
              <w:rPr>
                <w:rFonts w:ascii="Arial" w:eastAsia="Times New Roman" w:hAnsi="Arial" w:cs="Arial"/>
                <w:sz w:val="20"/>
                <w:szCs w:val="20"/>
                <w:lang w:eastAsia="en-AU"/>
              </w:rPr>
            </w:pPr>
            <w:r w:rsidRPr="005D6BC7">
              <w:rPr>
                <w:rFonts w:ascii="Arial" w:eastAsia="Times New Roman" w:hAnsi="Arial" w:cs="Arial"/>
                <w:b/>
                <w:bCs/>
                <w:sz w:val="20"/>
                <w:szCs w:val="20"/>
                <w:lang w:eastAsia="en-AU"/>
              </w:rPr>
              <w:t>(</w:t>
            </w:r>
            <w:r>
              <w:rPr>
                <w:rFonts w:ascii="Arial" w:eastAsia="Times New Roman" w:hAnsi="Arial" w:cs="Arial"/>
                <w:b/>
                <w:bCs/>
                <w:sz w:val="20"/>
                <w:szCs w:val="20"/>
                <w:lang w:eastAsia="en-AU"/>
              </w:rPr>
              <w:t>1,827</w:t>
            </w:r>
            <w:r w:rsidRPr="005D6BC7">
              <w:rPr>
                <w:rFonts w:ascii="Arial" w:eastAsia="Times New Roman" w:hAnsi="Arial" w:cs="Arial"/>
                <w:b/>
                <w:bCs/>
                <w:sz w:val="20"/>
                <w:szCs w:val="20"/>
                <w:lang w:eastAsia="en-AU"/>
              </w:rPr>
              <w:t>)</w:t>
            </w: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Default="000A0087" w:rsidP="000F34E9">
            <w:pPr>
              <w:pStyle w:val="Financials"/>
              <w:jc w:val="right"/>
              <w:rPr>
                <w:rFonts w:ascii="Arial" w:eastAsia="Times New Roman" w:hAnsi="Arial" w:cs="Arial"/>
                <w:sz w:val="20"/>
                <w:szCs w:val="20"/>
                <w:lang w:eastAsia="en-AU"/>
              </w:rPr>
            </w:pPr>
            <w:r>
              <w:rPr>
                <w:rFonts w:ascii="Arial" w:eastAsia="Times New Roman" w:hAnsi="Arial" w:cs="Arial"/>
                <w:b/>
                <w:bCs/>
                <w:sz w:val="20"/>
                <w:szCs w:val="20"/>
                <w:lang w:eastAsia="en-AU"/>
              </w:rPr>
              <w:t>(268)</w:t>
            </w:r>
          </w:p>
        </w:tc>
        <w:tc>
          <w:tcPr>
            <w:tcW w:w="1349"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941375" w:rsidRDefault="000A0087" w:rsidP="000F34E9">
            <w:pPr>
              <w:pStyle w:val="Financials"/>
              <w:jc w:val="right"/>
              <w:rPr>
                <w:rFonts w:ascii="Arial" w:eastAsia="Times New Roman" w:hAnsi="Arial" w:cs="Arial"/>
                <w:b/>
                <w:sz w:val="20"/>
                <w:szCs w:val="20"/>
                <w:lang w:eastAsia="en-AU"/>
              </w:rPr>
            </w:pPr>
            <w:r>
              <w:rPr>
                <w:rFonts w:ascii="Arial" w:eastAsia="Times New Roman" w:hAnsi="Arial" w:cs="Arial"/>
                <w:b/>
                <w:sz w:val="20"/>
                <w:szCs w:val="20"/>
                <w:lang w:eastAsia="en-AU"/>
              </w:rPr>
              <w:t>503</w:t>
            </w:r>
          </w:p>
        </w:tc>
      </w:tr>
      <w:tr w:rsidR="000A0087" w:rsidRPr="007043E4" w:rsidTr="000A0087">
        <w:trPr>
          <w:trHeight w:val="285"/>
        </w:trPr>
        <w:tc>
          <w:tcPr>
            <w:tcW w:w="2694" w:type="dxa"/>
            <w:tcBorders>
              <w:left w:val="nil"/>
              <w:right w:val="nil"/>
            </w:tcBorders>
            <w:shd w:val="clear" w:color="auto" w:fill="auto"/>
            <w:vAlign w:val="center"/>
          </w:tcPr>
          <w:p w:rsidR="000A0087" w:rsidRPr="005D6BC7"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b/>
                <w:bCs/>
                <w:sz w:val="20"/>
                <w:szCs w:val="20"/>
                <w:lang w:eastAsia="en-AU"/>
              </w:rPr>
              <w:t>EQUITY</w:t>
            </w:r>
          </w:p>
        </w:tc>
        <w:tc>
          <w:tcPr>
            <w:tcW w:w="1134" w:type="dxa"/>
            <w:tcBorders>
              <w:left w:val="nil"/>
              <w:right w:val="nil"/>
            </w:tcBorders>
            <w:shd w:val="clear" w:color="auto" w:fill="auto"/>
            <w:vAlign w:val="center"/>
          </w:tcPr>
          <w:p w:rsidR="000A0087" w:rsidRPr="005D6BC7" w:rsidRDefault="000A0087" w:rsidP="007F573F">
            <w:pPr>
              <w:pStyle w:val="Financials"/>
              <w:jc w:val="right"/>
              <w:rPr>
                <w:rFonts w:ascii="Arial" w:eastAsia="Times New Roman" w:hAnsi="Arial" w:cs="Arial"/>
                <w:sz w:val="20"/>
                <w:szCs w:val="20"/>
                <w:lang w:eastAsia="en-AU"/>
              </w:rPr>
            </w:pPr>
          </w:p>
        </w:tc>
        <w:tc>
          <w:tcPr>
            <w:tcW w:w="1134" w:type="dxa"/>
            <w:tcBorders>
              <w:left w:val="nil"/>
              <w:right w:val="nil"/>
            </w:tcBorders>
            <w:shd w:val="clear" w:color="auto" w:fill="auto"/>
          </w:tcPr>
          <w:p w:rsidR="000A0087" w:rsidRDefault="000A0087" w:rsidP="007F573F">
            <w:pPr>
              <w:pStyle w:val="Financials"/>
              <w:jc w:val="right"/>
              <w:rPr>
                <w:rFonts w:ascii="Arial" w:eastAsia="Times New Roman" w:hAnsi="Arial" w:cs="Arial"/>
                <w:sz w:val="20"/>
                <w:szCs w:val="20"/>
                <w:lang w:eastAsia="en-AU"/>
              </w:rPr>
            </w:pPr>
          </w:p>
        </w:tc>
        <w:tc>
          <w:tcPr>
            <w:tcW w:w="1134" w:type="dxa"/>
            <w:tcBorders>
              <w:left w:val="nil"/>
              <w:right w:val="nil"/>
            </w:tcBorders>
            <w:shd w:val="clear" w:color="auto" w:fill="E0DCCB" w:themeFill="accent4" w:themeFillTint="66"/>
          </w:tcPr>
          <w:p w:rsidR="000A0087" w:rsidRDefault="000A0087" w:rsidP="007F573F">
            <w:pPr>
              <w:pStyle w:val="Financials"/>
              <w:jc w:val="right"/>
              <w:rPr>
                <w:rFonts w:ascii="Arial" w:eastAsia="Times New Roman" w:hAnsi="Arial" w:cs="Arial"/>
                <w:sz w:val="20"/>
                <w:szCs w:val="20"/>
                <w:lang w:eastAsia="en-AU"/>
              </w:rPr>
            </w:pPr>
          </w:p>
        </w:tc>
        <w:tc>
          <w:tcPr>
            <w:tcW w:w="1275" w:type="dxa"/>
            <w:tcBorders>
              <w:left w:val="nil"/>
              <w:right w:val="nil"/>
            </w:tcBorders>
            <w:shd w:val="clear" w:color="auto" w:fill="auto"/>
            <w:vAlign w:val="center"/>
          </w:tcPr>
          <w:p w:rsidR="000A0087" w:rsidRPr="005D6BC7" w:rsidRDefault="000A0087" w:rsidP="007F573F">
            <w:pPr>
              <w:pStyle w:val="Financials"/>
              <w:jc w:val="right"/>
              <w:rPr>
                <w:rFonts w:ascii="Arial" w:eastAsia="Times New Roman" w:hAnsi="Arial" w:cs="Arial"/>
                <w:sz w:val="20"/>
                <w:szCs w:val="20"/>
                <w:lang w:eastAsia="en-AU"/>
              </w:rPr>
            </w:pPr>
          </w:p>
        </w:tc>
        <w:tc>
          <w:tcPr>
            <w:tcW w:w="1134" w:type="dxa"/>
            <w:tcBorders>
              <w:left w:val="nil"/>
              <w:right w:val="nil"/>
            </w:tcBorders>
            <w:shd w:val="clear" w:color="auto" w:fill="auto"/>
            <w:vAlign w:val="center"/>
          </w:tcPr>
          <w:p w:rsidR="000A0087" w:rsidRDefault="000A0087" w:rsidP="007F573F">
            <w:pPr>
              <w:pStyle w:val="Financials"/>
              <w:jc w:val="right"/>
              <w:rPr>
                <w:rFonts w:ascii="Arial" w:eastAsia="Times New Roman" w:hAnsi="Arial" w:cs="Arial"/>
                <w:sz w:val="20"/>
                <w:szCs w:val="20"/>
                <w:lang w:eastAsia="en-AU"/>
              </w:rPr>
            </w:pPr>
          </w:p>
        </w:tc>
        <w:tc>
          <w:tcPr>
            <w:tcW w:w="1349" w:type="dxa"/>
            <w:tcBorders>
              <w:left w:val="nil"/>
              <w:right w:val="nil"/>
            </w:tcBorders>
            <w:shd w:val="clear" w:color="auto" w:fill="auto"/>
            <w:vAlign w:val="center"/>
          </w:tcPr>
          <w:p w:rsidR="000A0087" w:rsidRPr="005D6BC7" w:rsidRDefault="000A0087" w:rsidP="007F573F">
            <w:pPr>
              <w:pStyle w:val="Financials"/>
              <w:jc w:val="right"/>
              <w:rPr>
                <w:rFonts w:ascii="Arial" w:eastAsia="Times New Roman" w:hAnsi="Arial" w:cs="Arial"/>
                <w:sz w:val="20"/>
                <w:szCs w:val="20"/>
                <w:lang w:eastAsia="en-AU"/>
              </w:rPr>
            </w:pPr>
          </w:p>
        </w:tc>
      </w:tr>
      <w:tr w:rsidR="000A0087" w:rsidRPr="007043E4" w:rsidTr="000A0087">
        <w:trPr>
          <w:trHeight w:val="285"/>
        </w:trPr>
        <w:tc>
          <w:tcPr>
            <w:tcW w:w="2694" w:type="dxa"/>
            <w:tcBorders>
              <w:left w:val="nil"/>
              <w:right w:val="nil"/>
            </w:tcBorders>
            <w:shd w:val="clear" w:color="auto" w:fill="auto"/>
            <w:vAlign w:val="center"/>
          </w:tcPr>
          <w:p w:rsidR="000A0087" w:rsidRPr="005D6BC7"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Contributed equity</w:t>
            </w:r>
          </w:p>
        </w:tc>
        <w:tc>
          <w:tcPr>
            <w:tcW w:w="1134" w:type="dxa"/>
            <w:tcBorders>
              <w:left w:val="nil"/>
              <w:right w:val="nil"/>
            </w:tcBorders>
            <w:shd w:val="clear" w:color="auto" w:fill="auto"/>
            <w:vAlign w:val="center"/>
          </w:tcPr>
          <w:p w:rsidR="000A0087" w:rsidRPr="005D6BC7" w:rsidRDefault="000F34E9"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12</w:t>
            </w:r>
          </w:p>
        </w:tc>
        <w:tc>
          <w:tcPr>
            <w:tcW w:w="1134" w:type="dxa"/>
            <w:tcBorders>
              <w:left w:val="nil"/>
              <w:right w:val="nil"/>
            </w:tcBorders>
            <w:shd w:val="clear" w:color="auto" w:fill="auto"/>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503</w:t>
            </w:r>
          </w:p>
        </w:tc>
        <w:tc>
          <w:tcPr>
            <w:tcW w:w="1134" w:type="dxa"/>
            <w:tcBorders>
              <w:left w:val="nil"/>
              <w:right w:val="nil"/>
            </w:tcBorders>
            <w:shd w:val="clear" w:color="auto" w:fill="E0DCCB" w:themeFill="accent4" w:themeFillTint="66"/>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403</w:t>
            </w:r>
          </w:p>
        </w:tc>
        <w:tc>
          <w:tcPr>
            <w:tcW w:w="1275" w:type="dxa"/>
            <w:tcBorders>
              <w:left w:val="nil"/>
              <w:right w:val="nil"/>
            </w:tcBorders>
            <w:shd w:val="clear" w:color="auto" w:fill="auto"/>
            <w:vAlign w:val="center"/>
          </w:tcPr>
          <w:p w:rsidR="000A0087" w:rsidRPr="005D6BC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444</w:t>
            </w:r>
          </w:p>
        </w:tc>
        <w:tc>
          <w:tcPr>
            <w:tcW w:w="1134" w:type="dxa"/>
            <w:tcBorders>
              <w:left w:val="nil"/>
              <w:right w:val="nil"/>
            </w:tcBorders>
            <w:shd w:val="clear" w:color="auto" w:fill="auto"/>
            <w:vAlign w:val="center"/>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(100)</w:t>
            </w:r>
          </w:p>
        </w:tc>
        <w:tc>
          <w:tcPr>
            <w:tcW w:w="1349" w:type="dxa"/>
            <w:tcBorders>
              <w:left w:val="nil"/>
              <w:right w:val="nil"/>
            </w:tcBorders>
            <w:shd w:val="clear" w:color="auto" w:fill="auto"/>
            <w:vAlign w:val="center"/>
          </w:tcPr>
          <w:p w:rsidR="000A0087" w:rsidRPr="005D6BC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(41)</w:t>
            </w:r>
          </w:p>
        </w:tc>
      </w:tr>
      <w:tr w:rsidR="000A0087" w:rsidRPr="007043E4" w:rsidTr="007F573F">
        <w:trPr>
          <w:trHeight w:val="285"/>
        </w:trPr>
        <w:tc>
          <w:tcPr>
            <w:tcW w:w="2694" w:type="dxa"/>
            <w:tcBorders>
              <w:left w:val="nil"/>
              <w:bottom w:val="single" w:sz="4" w:space="0" w:color="E0DCCB" w:themeColor="accent4" w:themeTint="66"/>
              <w:right w:val="nil"/>
            </w:tcBorders>
            <w:shd w:val="clear" w:color="auto" w:fill="auto"/>
            <w:vAlign w:val="center"/>
          </w:tcPr>
          <w:p w:rsidR="000A0087" w:rsidRPr="005D6BC7"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Accumulated surplus/(deficit)</w:t>
            </w:r>
          </w:p>
        </w:tc>
        <w:tc>
          <w:tcPr>
            <w:tcW w:w="1134" w:type="dxa"/>
            <w:tcBorders>
              <w:left w:val="nil"/>
              <w:bottom w:val="single" w:sz="4" w:space="0" w:color="E0DCCB" w:themeColor="accent4" w:themeTint="66"/>
              <w:right w:val="nil"/>
            </w:tcBorders>
            <w:shd w:val="clear" w:color="auto" w:fill="auto"/>
            <w:vAlign w:val="center"/>
          </w:tcPr>
          <w:p w:rsidR="000A0087" w:rsidRPr="005D6BC7" w:rsidRDefault="000A0087" w:rsidP="007F573F">
            <w:pPr>
              <w:pStyle w:val="Financials"/>
              <w:jc w:val="right"/>
              <w:rPr>
                <w:rFonts w:ascii="Arial" w:eastAsia="Times New Roman" w:hAnsi="Arial" w:cs="Arial"/>
                <w:sz w:val="20"/>
                <w:szCs w:val="20"/>
                <w:lang w:eastAsia="en-AU"/>
              </w:rPr>
            </w:pPr>
          </w:p>
        </w:tc>
        <w:tc>
          <w:tcPr>
            <w:tcW w:w="1134" w:type="dxa"/>
            <w:tcBorders>
              <w:left w:val="nil"/>
              <w:bottom w:val="single" w:sz="4" w:space="0" w:color="E0DCCB" w:themeColor="accent4" w:themeTint="66"/>
              <w:right w:val="nil"/>
            </w:tcBorders>
            <w:shd w:val="clear" w:color="auto" w:fill="auto"/>
            <w:vAlign w:val="center"/>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(1,559)</w:t>
            </w:r>
          </w:p>
        </w:tc>
        <w:tc>
          <w:tcPr>
            <w:tcW w:w="1134" w:type="dxa"/>
            <w:tcBorders>
              <w:left w:val="nil"/>
              <w:bottom w:val="single" w:sz="4" w:space="0" w:color="FFFFFF" w:themeColor="background1"/>
              <w:right w:val="nil"/>
            </w:tcBorders>
            <w:shd w:val="clear" w:color="auto" w:fill="E0DCCB" w:themeFill="accent4" w:themeFillTint="66"/>
            <w:vAlign w:val="center"/>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(1,727)</w:t>
            </w:r>
          </w:p>
        </w:tc>
        <w:tc>
          <w:tcPr>
            <w:tcW w:w="1275" w:type="dxa"/>
            <w:tcBorders>
              <w:left w:val="nil"/>
              <w:bottom w:val="single" w:sz="4" w:space="0" w:color="E0DCCB" w:themeColor="accent4" w:themeTint="66"/>
              <w:right w:val="nil"/>
            </w:tcBorders>
            <w:shd w:val="clear" w:color="auto" w:fill="auto"/>
            <w:vAlign w:val="center"/>
          </w:tcPr>
          <w:p w:rsidR="000A0087" w:rsidRPr="005D6BC7" w:rsidRDefault="000A0087" w:rsidP="007F573F">
            <w:pPr>
              <w:pStyle w:val="Financials"/>
              <w:jc w:val="right"/>
              <w:rPr>
                <w:rFonts w:ascii="Arial" w:eastAsia="Times New Roman" w:hAnsi="Arial" w:cs="Arial"/>
                <w:sz w:val="20"/>
                <w:szCs w:val="20"/>
                <w:lang w:eastAsia="en-AU"/>
              </w:rPr>
            </w:pPr>
            <w:r w:rsidRPr="005D6BC7">
              <w:rPr>
                <w:rFonts w:ascii="Arial" w:eastAsia="Times New Roman" w:hAnsi="Arial" w:cs="Arial"/>
                <w:sz w:val="20"/>
                <w:szCs w:val="20"/>
                <w:lang w:eastAsia="en-AU"/>
              </w:rPr>
              <w:t>(</w:t>
            </w:r>
            <w:r>
              <w:rPr>
                <w:rFonts w:ascii="Arial" w:eastAsia="Times New Roman" w:hAnsi="Arial" w:cs="Arial"/>
                <w:sz w:val="20"/>
                <w:szCs w:val="20"/>
                <w:lang w:eastAsia="en-AU"/>
              </w:rPr>
              <w:t>2,271</w:t>
            </w:r>
            <w:r w:rsidRPr="005D6BC7">
              <w:rPr>
                <w:rFonts w:ascii="Arial" w:eastAsia="Times New Roman" w:hAnsi="Arial" w:cs="Arial"/>
                <w:sz w:val="20"/>
                <w:szCs w:val="20"/>
                <w:lang w:eastAsia="en-AU"/>
              </w:rPr>
              <w:t>)</w:t>
            </w:r>
          </w:p>
        </w:tc>
        <w:tc>
          <w:tcPr>
            <w:tcW w:w="1134" w:type="dxa"/>
            <w:tcBorders>
              <w:left w:val="nil"/>
              <w:bottom w:val="single" w:sz="4" w:space="0" w:color="E0DCCB" w:themeColor="accent4" w:themeTint="66"/>
              <w:right w:val="nil"/>
            </w:tcBorders>
            <w:shd w:val="clear" w:color="auto" w:fill="auto"/>
            <w:vAlign w:val="center"/>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(168)</w:t>
            </w:r>
          </w:p>
        </w:tc>
        <w:tc>
          <w:tcPr>
            <w:tcW w:w="1349" w:type="dxa"/>
            <w:tcBorders>
              <w:left w:val="nil"/>
              <w:bottom w:val="single" w:sz="4" w:space="0" w:color="E0DCCB" w:themeColor="accent4" w:themeTint="66"/>
              <w:right w:val="nil"/>
            </w:tcBorders>
            <w:shd w:val="clear" w:color="auto" w:fill="auto"/>
            <w:vAlign w:val="center"/>
          </w:tcPr>
          <w:p w:rsidR="000A0087" w:rsidRPr="005D6BC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544</w:t>
            </w:r>
          </w:p>
        </w:tc>
      </w:tr>
      <w:tr w:rsidR="000A0087" w:rsidRPr="007043E4" w:rsidTr="007F573F">
        <w:trPr>
          <w:trHeight w:val="285"/>
        </w:trPr>
        <w:tc>
          <w:tcPr>
            <w:tcW w:w="269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b/>
                <w:bCs/>
                <w:sz w:val="20"/>
                <w:szCs w:val="20"/>
                <w:lang w:eastAsia="en-AU"/>
              </w:rPr>
              <w:t>TOTAL EQUITY</w:t>
            </w: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7F573F">
            <w:pPr>
              <w:pStyle w:val="Financials"/>
              <w:jc w:val="right"/>
              <w:rPr>
                <w:rFonts w:ascii="Arial" w:eastAsia="Times New Roman" w:hAnsi="Arial" w:cs="Arial"/>
                <w:sz w:val="20"/>
                <w:szCs w:val="20"/>
                <w:lang w:eastAsia="en-AU"/>
              </w:rPr>
            </w:pPr>
          </w:p>
        </w:tc>
        <w:tc>
          <w:tcPr>
            <w:tcW w:w="1134" w:type="dxa"/>
            <w:tcBorders>
              <w:top w:val="single" w:sz="4" w:space="0" w:color="E0DCCB" w:themeColor="accent4" w:themeTint="66"/>
              <w:left w:val="nil"/>
              <w:bottom w:val="single" w:sz="4" w:space="0" w:color="B2A97E" w:themeColor="accent4"/>
              <w:right w:val="nil"/>
            </w:tcBorders>
            <w:shd w:val="clear" w:color="auto" w:fill="auto"/>
          </w:tcPr>
          <w:p w:rsidR="000A0087" w:rsidRPr="005D6BC7" w:rsidRDefault="000A0087" w:rsidP="007F573F">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fldChar w:fldCharType="begin"/>
            </w:r>
            <w:r>
              <w:rPr>
                <w:rFonts w:ascii="Arial" w:eastAsia="Times New Roman" w:hAnsi="Arial" w:cs="Arial"/>
                <w:b/>
                <w:bCs/>
                <w:sz w:val="20"/>
                <w:szCs w:val="20"/>
                <w:lang w:eastAsia="en-AU"/>
              </w:rPr>
              <w:instrText xml:space="preserve"> =SUM(ABOVE) </w:instrText>
            </w:r>
            <w:r>
              <w:rPr>
                <w:rFonts w:ascii="Arial" w:eastAsia="Times New Roman" w:hAnsi="Arial" w:cs="Arial"/>
                <w:b/>
                <w:bCs/>
                <w:sz w:val="20"/>
                <w:szCs w:val="20"/>
                <w:lang w:eastAsia="en-AU"/>
              </w:rPr>
              <w:fldChar w:fldCharType="separate"/>
            </w:r>
            <w:r>
              <w:rPr>
                <w:rFonts w:ascii="Arial" w:eastAsia="Times New Roman" w:hAnsi="Arial" w:cs="Arial"/>
                <w:b/>
                <w:bCs/>
                <w:noProof/>
                <w:sz w:val="20"/>
                <w:szCs w:val="20"/>
                <w:lang w:eastAsia="en-AU"/>
              </w:rPr>
              <w:t>(1,056)</w:t>
            </w:r>
            <w:r>
              <w:rPr>
                <w:rFonts w:ascii="Arial" w:eastAsia="Times New Roman" w:hAnsi="Arial" w:cs="Arial"/>
                <w:b/>
                <w:bCs/>
                <w:sz w:val="20"/>
                <w:szCs w:val="20"/>
                <w:lang w:eastAsia="en-AU"/>
              </w:rPr>
              <w:fldChar w:fldCharType="end"/>
            </w:r>
          </w:p>
        </w:tc>
        <w:tc>
          <w:tcPr>
            <w:tcW w:w="1134" w:type="dxa"/>
            <w:tcBorders>
              <w:top w:val="single" w:sz="4" w:space="0" w:color="FFFFFF" w:themeColor="background1"/>
              <w:left w:val="nil"/>
              <w:bottom w:val="single" w:sz="4" w:space="0" w:color="B2A97E" w:themeColor="accent4"/>
              <w:right w:val="nil"/>
            </w:tcBorders>
            <w:shd w:val="clear" w:color="auto" w:fill="E0DCCB" w:themeFill="accent4" w:themeFillTint="66"/>
          </w:tcPr>
          <w:p w:rsidR="000A0087" w:rsidRPr="005D6BC7" w:rsidRDefault="000A0087" w:rsidP="007F573F">
            <w:pPr>
              <w:pStyle w:val="Financials"/>
              <w:jc w:val="right"/>
              <w:rPr>
                <w:rFonts w:ascii="Arial" w:eastAsia="Times New Roman" w:hAnsi="Arial" w:cs="Arial"/>
                <w:b/>
                <w:bCs/>
                <w:sz w:val="20"/>
                <w:szCs w:val="20"/>
                <w:lang w:eastAsia="en-AU"/>
              </w:rPr>
            </w:pPr>
            <w:r>
              <w:rPr>
                <w:rFonts w:ascii="Arial" w:eastAsia="Times New Roman" w:hAnsi="Arial" w:cs="Arial"/>
                <w:b/>
                <w:bCs/>
                <w:sz w:val="20"/>
                <w:szCs w:val="20"/>
                <w:lang w:eastAsia="en-AU"/>
              </w:rPr>
              <w:t>(1,324)</w:t>
            </w:r>
          </w:p>
        </w:tc>
        <w:tc>
          <w:tcPr>
            <w:tcW w:w="1275"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7F573F">
            <w:pPr>
              <w:pStyle w:val="Financials"/>
              <w:jc w:val="right"/>
              <w:rPr>
                <w:rFonts w:ascii="Arial" w:eastAsia="Times New Roman" w:hAnsi="Arial" w:cs="Arial"/>
                <w:sz w:val="20"/>
                <w:szCs w:val="20"/>
                <w:lang w:eastAsia="en-AU"/>
              </w:rPr>
            </w:pPr>
            <w:r w:rsidRPr="005D6BC7">
              <w:rPr>
                <w:rFonts w:ascii="Arial" w:eastAsia="Times New Roman" w:hAnsi="Arial" w:cs="Arial"/>
                <w:b/>
                <w:bCs/>
                <w:sz w:val="20"/>
                <w:szCs w:val="20"/>
                <w:lang w:eastAsia="en-AU"/>
              </w:rPr>
              <w:t>(</w:t>
            </w:r>
            <w:r>
              <w:rPr>
                <w:rFonts w:ascii="Arial" w:eastAsia="Times New Roman" w:hAnsi="Arial" w:cs="Arial"/>
                <w:b/>
                <w:bCs/>
                <w:sz w:val="20"/>
                <w:szCs w:val="20"/>
                <w:lang w:eastAsia="en-AU"/>
              </w:rPr>
              <w:t>1,827</w:t>
            </w:r>
            <w:r w:rsidRPr="005D6BC7">
              <w:rPr>
                <w:rFonts w:ascii="Arial" w:eastAsia="Times New Roman" w:hAnsi="Arial" w:cs="Arial"/>
                <w:b/>
                <w:bCs/>
                <w:sz w:val="20"/>
                <w:szCs w:val="20"/>
                <w:lang w:eastAsia="en-AU"/>
              </w:rPr>
              <w:t>)</w:t>
            </w: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Default="000A0087" w:rsidP="007F573F">
            <w:pPr>
              <w:pStyle w:val="Financials"/>
              <w:jc w:val="right"/>
              <w:rPr>
                <w:rFonts w:ascii="Arial" w:eastAsia="Times New Roman" w:hAnsi="Arial" w:cs="Arial"/>
                <w:sz w:val="20"/>
                <w:szCs w:val="20"/>
                <w:lang w:eastAsia="en-AU"/>
              </w:rPr>
            </w:pPr>
            <w:r>
              <w:rPr>
                <w:rFonts w:ascii="Arial" w:eastAsia="Times New Roman" w:hAnsi="Arial" w:cs="Arial"/>
                <w:b/>
                <w:bCs/>
                <w:sz w:val="20"/>
                <w:szCs w:val="20"/>
                <w:lang w:eastAsia="en-AU"/>
              </w:rPr>
              <w:t>(268)</w:t>
            </w:r>
          </w:p>
        </w:tc>
        <w:tc>
          <w:tcPr>
            <w:tcW w:w="1349"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941375" w:rsidRDefault="000A0087" w:rsidP="007F573F">
            <w:pPr>
              <w:pStyle w:val="Financials"/>
              <w:jc w:val="right"/>
              <w:rPr>
                <w:rFonts w:ascii="Arial" w:eastAsia="Times New Roman" w:hAnsi="Arial" w:cs="Arial"/>
                <w:b/>
                <w:sz w:val="20"/>
                <w:szCs w:val="20"/>
                <w:lang w:eastAsia="en-AU"/>
              </w:rPr>
            </w:pPr>
            <w:r>
              <w:rPr>
                <w:rFonts w:ascii="Arial" w:eastAsia="Times New Roman" w:hAnsi="Arial" w:cs="Arial"/>
                <w:b/>
                <w:sz w:val="20"/>
                <w:szCs w:val="20"/>
                <w:lang w:eastAsia="en-AU"/>
              </w:rPr>
              <w:t>503</w:t>
            </w:r>
          </w:p>
        </w:tc>
      </w:tr>
    </w:tbl>
    <w:p w:rsidR="00F6395E" w:rsidRDefault="00F6395E">
      <w:r>
        <w:br w:type="page"/>
      </w:r>
    </w:p>
    <w:tbl>
      <w:tblPr>
        <w:tblW w:w="0" w:type="auto"/>
        <w:tblInd w:w="108" w:type="dxa"/>
        <w:tblCellMar>
          <w:top w:w="28" w:type="dxa"/>
          <w:bottom w:w="28" w:type="dxa"/>
        </w:tblCellMar>
        <w:tblLook w:val="04A0" w:firstRow="1" w:lastRow="0" w:firstColumn="1" w:lastColumn="0" w:noHBand="0" w:noVBand="1"/>
      </w:tblPr>
      <w:tblGrid>
        <w:gridCol w:w="2919"/>
        <w:gridCol w:w="1050"/>
        <w:gridCol w:w="1134"/>
        <w:gridCol w:w="993"/>
        <w:gridCol w:w="1134"/>
        <w:gridCol w:w="1275"/>
        <w:gridCol w:w="1349"/>
      </w:tblGrid>
      <w:tr w:rsidR="000A0087" w:rsidRPr="007043E4" w:rsidTr="00913BB7">
        <w:trPr>
          <w:trHeight w:val="255"/>
        </w:trPr>
        <w:tc>
          <w:tcPr>
            <w:tcW w:w="2919" w:type="dxa"/>
            <w:tcBorders>
              <w:top w:val="nil"/>
              <w:left w:val="nil"/>
              <w:bottom w:val="nil"/>
              <w:right w:val="nil"/>
            </w:tcBorders>
            <w:shd w:val="clear" w:color="auto" w:fill="E0DCCB" w:themeFill="accent4" w:themeFillTint="66"/>
            <w:vAlign w:val="center"/>
            <w:hideMark/>
          </w:tcPr>
          <w:p w:rsidR="000A0087" w:rsidRPr="007F573F" w:rsidRDefault="000A0087" w:rsidP="00F6395E">
            <w:pPr>
              <w:pStyle w:val="Financials"/>
              <w:rPr>
                <w:rFonts w:eastAsia="Times New Roman" w:cs="Arial"/>
                <w:lang w:eastAsia="en-AU"/>
              </w:rPr>
            </w:pPr>
            <w:r w:rsidRPr="007F573F">
              <w:rPr>
                <w:rFonts w:ascii="Arial" w:eastAsia="Times New Roman" w:hAnsi="Arial" w:cs="Arial"/>
                <w:b/>
                <w:bCs/>
                <w:lang w:eastAsia="en-AU"/>
              </w:rPr>
              <w:lastRenderedPageBreak/>
              <w:t>Statement of Cash Flow</w:t>
            </w:r>
          </w:p>
        </w:tc>
        <w:tc>
          <w:tcPr>
            <w:tcW w:w="1050" w:type="dxa"/>
            <w:tcBorders>
              <w:top w:val="nil"/>
              <w:left w:val="nil"/>
              <w:bottom w:val="nil"/>
              <w:right w:val="nil"/>
            </w:tcBorders>
            <w:shd w:val="clear" w:color="auto" w:fill="E0DCCB" w:themeFill="accent4" w:themeFillTint="66"/>
            <w:vAlign w:val="center"/>
          </w:tcPr>
          <w:p w:rsidR="000A0087" w:rsidRPr="007043E4" w:rsidRDefault="000A0087" w:rsidP="001A6712">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 xml:space="preserve">Variance </w:t>
            </w:r>
            <w:r w:rsidRPr="007043E4">
              <w:rPr>
                <w:rFonts w:ascii="Arial" w:eastAsia="Times New Roman" w:hAnsi="Arial" w:cs="Arial"/>
                <w:b/>
                <w:bCs/>
                <w:sz w:val="20"/>
                <w:szCs w:val="20"/>
                <w:lang w:eastAsia="en-AU"/>
              </w:rPr>
              <w:t>Note</w:t>
            </w:r>
          </w:p>
        </w:tc>
        <w:tc>
          <w:tcPr>
            <w:tcW w:w="1134" w:type="dxa"/>
            <w:tcBorders>
              <w:top w:val="nil"/>
              <w:left w:val="nil"/>
              <w:bottom w:val="nil"/>
              <w:right w:val="nil"/>
            </w:tcBorders>
            <w:shd w:val="clear" w:color="auto" w:fill="E0DCCB" w:themeFill="accent4" w:themeFillTint="66"/>
            <w:vAlign w:val="center"/>
          </w:tcPr>
          <w:p w:rsidR="000A0087" w:rsidRDefault="000A0087" w:rsidP="001A6712">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Original Budget 2015</w:t>
            </w:r>
          </w:p>
          <w:p w:rsidR="000A0087" w:rsidRPr="007043E4" w:rsidRDefault="000A0087" w:rsidP="001A6712">
            <w:pPr>
              <w:pStyle w:val="Financials"/>
              <w:jc w:val="center"/>
              <w:rPr>
                <w:rFonts w:ascii="Arial" w:eastAsia="Times New Roman" w:hAnsi="Arial" w:cs="Arial"/>
                <w:b/>
                <w:bCs/>
                <w:sz w:val="20"/>
                <w:szCs w:val="20"/>
                <w:lang w:eastAsia="en-AU"/>
              </w:rPr>
            </w:pPr>
          </w:p>
        </w:tc>
        <w:tc>
          <w:tcPr>
            <w:tcW w:w="993" w:type="dxa"/>
            <w:tcBorders>
              <w:top w:val="nil"/>
              <w:left w:val="nil"/>
              <w:bottom w:val="nil"/>
              <w:right w:val="nil"/>
            </w:tcBorders>
            <w:shd w:val="clear" w:color="auto" w:fill="E0DCCB" w:themeFill="accent4" w:themeFillTint="66"/>
            <w:vAlign w:val="center"/>
          </w:tcPr>
          <w:p w:rsidR="000A0087" w:rsidRPr="007043E4" w:rsidRDefault="000A0087" w:rsidP="001A6712">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Actual 2015</w:t>
            </w:r>
          </w:p>
        </w:tc>
        <w:tc>
          <w:tcPr>
            <w:tcW w:w="1134" w:type="dxa"/>
            <w:tcBorders>
              <w:top w:val="nil"/>
              <w:left w:val="nil"/>
              <w:bottom w:val="nil"/>
              <w:right w:val="nil"/>
            </w:tcBorders>
            <w:shd w:val="clear" w:color="auto" w:fill="E0DCCB" w:themeFill="accent4" w:themeFillTint="66"/>
            <w:vAlign w:val="center"/>
            <w:hideMark/>
          </w:tcPr>
          <w:p w:rsidR="000A0087" w:rsidRPr="007043E4" w:rsidRDefault="000A0087" w:rsidP="001A6712">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 xml:space="preserve">Actual </w:t>
            </w:r>
            <w:r w:rsidRPr="007043E4">
              <w:rPr>
                <w:rFonts w:ascii="Arial" w:eastAsia="Times New Roman" w:hAnsi="Arial" w:cs="Arial"/>
                <w:b/>
                <w:bCs/>
                <w:sz w:val="20"/>
                <w:szCs w:val="20"/>
                <w:lang w:eastAsia="en-AU"/>
              </w:rPr>
              <w:t>201</w:t>
            </w:r>
            <w:r>
              <w:rPr>
                <w:rFonts w:ascii="Arial" w:eastAsia="Times New Roman" w:hAnsi="Arial" w:cs="Arial"/>
                <w:b/>
                <w:bCs/>
                <w:sz w:val="20"/>
                <w:szCs w:val="20"/>
                <w:lang w:eastAsia="en-AU"/>
              </w:rPr>
              <w:t>4</w:t>
            </w:r>
          </w:p>
        </w:tc>
        <w:tc>
          <w:tcPr>
            <w:tcW w:w="1275" w:type="dxa"/>
            <w:tcBorders>
              <w:top w:val="nil"/>
              <w:left w:val="nil"/>
              <w:bottom w:val="nil"/>
              <w:right w:val="nil"/>
            </w:tcBorders>
            <w:shd w:val="clear" w:color="auto" w:fill="E0DCCB" w:themeFill="accent4" w:themeFillTint="66"/>
            <w:vAlign w:val="center"/>
          </w:tcPr>
          <w:p w:rsidR="000A0087" w:rsidRPr="007043E4" w:rsidRDefault="000A0087" w:rsidP="001A6712">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Variance between estimate and actual</w:t>
            </w:r>
          </w:p>
        </w:tc>
        <w:tc>
          <w:tcPr>
            <w:tcW w:w="1349" w:type="dxa"/>
            <w:tcBorders>
              <w:top w:val="nil"/>
              <w:left w:val="nil"/>
              <w:bottom w:val="nil"/>
              <w:right w:val="nil"/>
            </w:tcBorders>
            <w:shd w:val="clear" w:color="auto" w:fill="E0DCCB" w:themeFill="accent4" w:themeFillTint="66"/>
            <w:vAlign w:val="center"/>
            <w:hideMark/>
          </w:tcPr>
          <w:p w:rsidR="000A0087" w:rsidRPr="007043E4" w:rsidRDefault="000A0087" w:rsidP="001A6712">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Variance between actual result for 2015 and 2014</w:t>
            </w:r>
          </w:p>
        </w:tc>
      </w:tr>
      <w:tr w:rsidR="000A0087" w:rsidRPr="007043E4" w:rsidTr="00913BB7">
        <w:trPr>
          <w:trHeight w:val="255"/>
        </w:trPr>
        <w:tc>
          <w:tcPr>
            <w:tcW w:w="2919" w:type="dxa"/>
            <w:tcBorders>
              <w:top w:val="nil"/>
              <w:left w:val="nil"/>
              <w:bottom w:val="nil"/>
              <w:right w:val="nil"/>
            </w:tcBorders>
            <w:shd w:val="clear" w:color="auto" w:fill="E0DCCB" w:themeFill="accent4" w:themeFillTint="66"/>
            <w:vAlign w:val="center"/>
            <w:hideMark/>
          </w:tcPr>
          <w:p w:rsidR="000A0087" w:rsidRPr="007043E4" w:rsidRDefault="000A0087" w:rsidP="00F6395E">
            <w:pPr>
              <w:pStyle w:val="Financials"/>
              <w:rPr>
                <w:rFonts w:ascii="Arial" w:eastAsia="Times New Roman" w:hAnsi="Arial" w:cs="Arial"/>
                <w:sz w:val="20"/>
                <w:szCs w:val="20"/>
                <w:lang w:eastAsia="en-AU"/>
              </w:rPr>
            </w:pPr>
          </w:p>
        </w:tc>
        <w:tc>
          <w:tcPr>
            <w:tcW w:w="1050" w:type="dxa"/>
            <w:tcBorders>
              <w:top w:val="nil"/>
              <w:left w:val="nil"/>
              <w:bottom w:val="nil"/>
              <w:right w:val="nil"/>
            </w:tcBorders>
            <w:shd w:val="clear" w:color="auto" w:fill="E0DCCB" w:themeFill="accent4" w:themeFillTint="66"/>
            <w:vAlign w:val="center"/>
          </w:tcPr>
          <w:p w:rsidR="000A0087" w:rsidRPr="007043E4" w:rsidRDefault="000A0087" w:rsidP="001A6712">
            <w:pPr>
              <w:pStyle w:val="Financials"/>
              <w:jc w:val="center"/>
              <w:rPr>
                <w:rFonts w:ascii="Arial" w:eastAsia="Times New Roman" w:hAnsi="Arial" w:cs="Arial"/>
                <w:b/>
                <w:bCs/>
                <w:sz w:val="20"/>
                <w:szCs w:val="20"/>
                <w:lang w:eastAsia="en-AU"/>
              </w:rPr>
            </w:pPr>
          </w:p>
        </w:tc>
        <w:tc>
          <w:tcPr>
            <w:tcW w:w="1134" w:type="dxa"/>
            <w:tcBorders>
              <w:top w:val="nil"/>
              <w:left w:val="nil"/>
              <w:bottom w:val="nil"/>
              <w:right w:val="nil"/>
            </w:tcBorders>
            <w:shd w:val="clear" w:color="auto" w:fill="E0DCCB" w:themeFill="accent4" w:themeFillTint="66"/>
            <w:vAlign w:val="center"/>
          </w:tcPr>
          <w:p w:rsidR="000A0087" w:rsidRPr="007043E4" w:rsidRDefault="000A0087" w:rsidP="001A6712">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$’000</w:t>
            </w:r>
          </w:p>
        </w:tc>
        <w:tc>
          <w:tcPr>
            <w:tcW w:w="993" w:type="dxa"/>
            <w:tcBorders>
              <w:top w:val="nil"/>
              <w:left w:val="nil"/>
              <w:bottom w:val="nil"/>
              <w:right w:val="nil"/>
            </w:tcBorders>
            <w:shd w:val="clear" w:color="auto" w:fill="E0DCCB" w:themeFill="accent4" w:themeFillTint="66"/>
            <w:vAlign w:val="center"/>
          </w:tcPr>
          <w:p w:rsidR="000A0087" w:rsidRPr="007043E4" w:rsidRDefault="000A0087" w:rsidP="001A6712">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$’000</w:t>
            </w:r>
          </w:p>
        </w:tc>
        <w:tc>
          <w:tcPr>
            <w:tcW w:w="1134" w:type="dxa"/>
            <w:tcBorders>
              <w:top w:val="nil"/>
              <w:left w:val="nil"/>
              <w:bottom w:val="nil"/>
              <w:right w:val="nil"/>
            </w:tcBorders>
            <w:shd w:val="clear" w:color="auto" w:fill="E0DCCB" w:themeFill="accent4" w:themeFillTint="66"/>
            <w:vAlign w:val="center"/>
            <w:hideMark/>
          </w:tcPr>
          <w:p w:rsidR="000A0087" w:rsidRPr="007043E4" w:rsidRDefault="000A0087" w:rsidP="001A6712">
            <w:pPr>
              <w:pStyle w:val="Financials"/>
              <w:jc w:val="center"/>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w:t>
            </w:r>
            <w:r>
              <w:rPr>
                <w:rFonts w:ascii="Arial" w:eastAsia="Times New Roman" w:hAnsi="Arial" w:cs="Arial"/>
                <w:b/>
                <w:bCs/>
                <w:sz w:val="20"/>
                <w:szCs w:val="20"/>
                <w:lang w:eastAsia="en-AU"/>
              </w:rPr>
              <w:t>’000</w:t>
            </w:r>
          </w:p>
        </w:tc>
        <w:tc>
          <w:tcPr>
            <w:tcW w:w="1275" w:type="dxa"/>
            <w:tcBorders>
              <w:top w:val="nil"/>
              <w:left w:val="nil"/>
              <w:bottom w:val="nil"/>
              <w:right w:val="nil"/>
            </w:tcBorders>
            <w:shd w:val="clear" w:color="auto" w:fill="E0DCCB" w:themeFill="accent4" w:themeFillTint="66"/>
            <w:vAlign w:val="center"/>
          </w:tcPr>
          <w:p w:rsidR="000A0087" w:rsidRPr="007043E4" w:rsidRDefault="000A0087" w:rsidP="001A6712">
            <w:pPr>
              <w:pStyle w:val="Financials"/>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$’000</w:t>
            </w:r>
          </w:p>
        </w:tc>
        <w:tc>
          <w:tcPr>
            <w:tcW w:w="1349" w:type="dxa"/>
            <w:tcBorders>
              <w:top w:val="nil"/>
              <w:left w:val="nil"/>
              <w:bottom w:val="nil"/>
              <w:right w:val="nil"/>
            </w:tcBorders>
            <w:shd w:val="clear" w:color="auto" w:fill="E0DCCB" w:themeFill="accent4" w:themeFillTint="66"/>
            <w:vAlign w:val="center"/>
            <w:hideMark/>
          </w:tcPr>
          <w:p w:rsidR="000A0087" w:rsidRPr="007043E4" w:rsidRDefault="000A0087" w:rsidP="001A6712">
            <w:pPr>
              <w:pStyle w:val="Financials"/>
              <w:jc w:val="center"/>
              <w:rPr>
                <w:rFonts w:ascii="Arial" w:eastAsia="Times New Roman" w:hAnsi="Arial" w:cs="Arial"/>
                <w:b/>
                <w:bCs/>
                <w:sz w:val="20"/>
                <w:szCs w:val="20"/>
                <w:lang w:eastAsia="en-AU"/>
              </w:rPr>
            </w:pPr>
            <w:r w:rsidRPr="007043E4">
              <w:rPr>
                <w:rFonts w:ascii="Arial" w:eastAsia="Times New Roman" w:hAnsi="Arial" w:cs="Arial"/>
                <w:b/>
                <w:bCs/>
                <w:sz w:val="20"/>
                <w:szCs w:val="20"/>
                <w:lang w:eastAsia="en-AU"/>
              </w:rPr>
              <w:t>$</w:t>
            </w:r>
            <w:r>
              <w:rPr>
                <w:rFonts w:ascii="Arial" w:eastAsia="Times New Roman" w:hAnsi="Arial" w:cs="Arial"/>
                <w:b/>
                <w:bCs/>
                <w:sz w:val="20"/>
                <w:szCs w:val="20"/>
                <w:lang w:eastAsia="en-AU"/>
              </w:rPr>
              <w:t>’000</w:t>
            </w:r>
          </w:p>
        </w:tc>
      </w:tr>
      <w:tr w:rsidR="000A0087" w:rsidRPr="007043E4" w:rsidTr="00913BB7">
        <w:trPr>
          <w:trHeight w:val="255"/>
        </w:trPr>
        <w:tc>
          <w:tcPr>
            <w:tcW w:w="0" w:type="auto"/>
            <w:gridSpan w:val="7"/>
            <w:tcBorders>
              <w:top w:val="nil"/>
              <w:left w:val="nil"/>
              <w:bottom w:val="nil"/>
              <w:right w:val="nil"/>
            </w:tcBorders>
            <w:shd w:val="clear" w:color="auto" w:fill="auto"/>
            <w:vAlign w:val="center"/>
            <w:hideMark/>
          </w:tcPr>
          <w:p w:rsidR="000A0087" w:rsidRPr="007043E4" w:rsidRDefault="000A0087" w:rsidP="001A6712">
            <w:pPr>
              <w:pStyle w:val="Financials"/>
              <w:spacing w:before="120"/>
              <w:rPr>
                <w:rFonts w:ascii="Arial" w:eastAsia="Times New Roman" w:hAnsi="Arial" w:cs="Arial"/>
                <w:sz w:val="20"/>
                <w:szCs w:val="20"/>
                <w:lang w:eastAsia="en-AU"/>
              </w:rPr>
            </w:pPr>
            <w:r w:rsidRPr="00245AE8">
              <w:rPr>
                <w:rFonts w:ascii="Arial" w:eastAsia="Times New Roman" w:hAnsi="Arial" w:cs="Arial"/>
                <w:b/>
                <w:bCs/>
                <w:sz w:val="20"/>
                <w:szCs w:val="20"/>
                <w:lang w:eastAsia="en-AU"/>
              </w:rPr>
              <w:t>CASH FLOWS FROM STATE GOVER</w:t>
            </w:r>
            <w:r w:rsidRPr="005D6BC7">
              <w:rPr>
                <w:rFonts w:ascii="Arial" w:eastAsia="Times New Roman" w:hAnsi="Arial" w:cs="Arial"/>
                <w:b/>
                <w:bCs/>
                <w:sz w:val="20"/>
                <w:szCs w:val="20"/>
                <w:lang w:eastAsia="en-AU"/>
              </w:rPr>
              <w:t>NMENT</w:t>
            </w:r>
          </w:p>
        </w:tc>
      </w:tr>
      <w:tr w:rsidR="000A0087" w:rsidRPr="007043E4" w:rsidTr="00913BB7">
        <w:trPr>
          <w:trHeight w:val="255"/>
        </w:trPr>
        <w:tc>
          <w:tcPr>
            <w:tcW w:w="2919" w:type="dxa"/>
            <w:tcBorders>
              <w:top w:val="nil"/>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b/>
                <w:bCs/>
                <w:sz w:val="20"/>
                <w:szCs w:val="20"/>
                <w:lang w:eastAsia="en-AU"/>
              </w:rPr>
            </w:pPr>
            <w:r w:rsidRPr="005D6BC7">
              <w:rPr>
                <w:rFonts w:ascii="Arial" w:eastAsia="Times New Roman" w:hAnsi="Arial" w:cs="Arial"/>
                <w:sz w:val="20"/>
                <w:szCs w:val="20"/>
                <w:lang w:eastAsia="en-AU"/>
              </w:rPr>
              <w:t>Service appropriation</w:t>
            </w:r>
          </w:p>
        </w:tc>
        <w:tc>
          <w:tcPr>
            <w:tcW w:w="1050" w:type="dxa"/>
            <w:tcBorders>
              <w:top w:val="nil"/>
              <w:left w:val="nil"/>
              <w:bottom w:val="nil"/>
              <w:right w:val="nil"/>
            </w:tcBorders>
            <w:vAlign w:val="center"/>
          </w:tcPr>
          <w:p w:rsidR="000A0087" w:rsidRPr="007043E4" w:rsidRDefault="000A0087" w:rsidP="001A6712">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vAlign w:val="center"/>
          </w:tcPr>
          <w:p w:rsidR="000A0087" w:rsidRPr="007043E4" w:rsidRDefault="000A0087"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14,675</w:t>
            </w:r>
          </w:p>
        </w:tc>
        <w:tc>
          <w:tcPr>
            <w:tcW w:w="993" w:type="dxa"/>
            <w:tcBorders>
              <w:top w:val="nil"/>
              <w:left w:val="nil"/>
              <w:bottom w:val="nil"/>
              <w:right w:val="nil"/>
            </w:tcBorders>
            <w:shd w:val="clear" w:color="auto" w:fill="E0DCCB" w:themeFill="accent4" w:themeFillTint="66"/>
            <w:vAlign w:val="center"/>
          </w:tcPr>
          <w:p w:rsidR="000A0087" w:rsidRPr="007043E4" w:rsidRDefault="00245AE8"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15,033</w:t>
            </w:r>
          </w:p>
        </w:tc>
        <w:tc>
          <w:tcPr>
            <w:tcW w:w="1134" w:type="dxa"/>
            <w:tcBorders>
              <w:top w:val="nil"/>
              <w:left w:val="nil"/>
              <w:bottom w:val="nil"/>
              <w:right w:val="nil"/>
            </w:tcBorders>
            <w:shd w:val="clear" w:color="auto" w:fill="auto"/>
            <w:vAlign w:val="center"/>
            <w:hideMark/>
          </w:tcPr>
          <w:p w:rsidR="000A0087" w:rsidRPr="007043E4" w:rsidRDefault="000A0087" w:rsidP="00245AE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14,</w:t>
            </w:r>
            <w:r w:rsidR="00245AE8">
              <w:rPr>
                <w:rFonts w:ascii="Arial" w:eastAsia="Times New Roman" w:hAnsi="Arial" w:cs="Arial"/>
                <w:sz w:val="20"/>
                <w:szCs w:val="20"/>
                <w:lang w:eastAsia="en-AU"/>
              </w:rPr>
              <w:t>629</w:t>
            </w:r>
          </w:p>
        </w:tc>
        <w:tc>
          <w:tcPr>
            <w:tcW w:w="1275" w:type="dxa"/>
            <w:tcBorders>
              <w:top w:val="nil"/>
              <w:left w:val="nil"/>
              <w:bottom w:val="nil"/>
              <w:right w:val="nil"/>
            </w:tcBorders>
            <w:shd w:val="clear" w:color="auto" w:fill="auto"/>
            <w:vAlign w:val="center"/>
          </w:tcPr>
          <w:p w:rsidR="000A0087" w:rsidRPr="007043E4" w:rsidRDefault="00245AE8"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358</w:t>
            </w:r>
          </w:p>
        </w:tc>
        <w:tc>
          <w:tcPr>
            <w:tcW w:w="1349" w:type="dxa"/>
            <w:tcBorders>
              <w:top w:val="nil"/>
              <w:left w:val="nil"/>
              <w:bottom w:val="nil"/>
              <w:right w:val="nil"/>
            </w:tcBorders>
            <w:shd w:val="clear" w:color="auto" w:fill="auto"/>
            <w:vAlign w:val="center"/>
          </w:tcPr>
          <w:p w:rsidR="000A0087" w:rsidRPr="007043E4" w:rsidRDefault="000A0087" w:rsidP="00245AE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4</w:t>
            </w:r>
            <w:r w:rsidR="00245AE8">
              <w:rPr>
                <w:rFonts w:ascii="Arial" w:eastAsia="Times New Roman" w:hAnsi="Arial" w:cs="Arial"/>
                <w:sz w:val="20"/>
                <w:szCs w:val="20"/>
                <w:lang w:eastAsia="en-AU"/>
              </w:rPr>
              <w:t>04</w:t>
            </w:r>
          </w:p>
        </w:tc>
      </w:tr>
      <w:tr w:rsidR="000A0087" w:rsidRPr="007043E4" w:rsidTr="00913BB7">
        <w:trPr>
          <w:trHeight w:val="255"/>
        </w:trPr>
        <w:tc>
          <w:tcPr>
            <w:tcW w:w="2919" w:type="dxa"/>
            <w:tcBorders>
              <w:top w:val="nil"/>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Capital appropriations</w:t>
            </w:r>
          </w:p>
        </w:tc>
        <w:tc>
          <w:tcPr>
            <w:tcW w:w="1050" w:type="dxa"/>
            <w:tcBorders>
              <w:top w:val="nil"/>
              <w:left w:val="nil"/>
              <w:bottom w:val="nil"/>
              <w:right w:val="nil"/>
            </w:tcBorders>
            <w:vAlign w:val="center"/>
          </w:tcPr>
          <w:p w:rsidR="000A0087" w:rsidRPr="007043E4" w:rsidRDefault="00245AE8"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N</w:t>
            </w:r>
          </w:p>
        </w:tc>
        <w:tc>
          <w:tcPr>
            <w:tcW w:w="1134" w:type="dxa"/>
            <w:tcBorders>
              <w:top w:val="nil"/>
              <w:left w:val="nil"/>
              <w:bottom w:val="nil"/>
              <w:right w:val="nil"/>
            </w:tcBorders>
            <w:vAlign w:val="center"/>
          </w:tcPr>
          <w:p w:rsidR="000A0087" w:rsidRPr="007043E4" w:rsidRDefault="000A0087"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59</w:t>
            </w:r>
          </w:p>
        </w:tc>
        <w:tc>
          <w:tcPr>
            <w:tcW w:w="993" w:type="dxa"/>
            <w:tcBorders>
              <w:top w:val="nil"/>
              <w:left w:val="nil"/>
              <w:bottom w:val="nil"/>
              <w:right w:val="nil"/>
            </w:tcBorders>
            <w:shd w:val="clear" w:color="auto" w:fill="E0DCCB" w:themeFill="accent4" w:themeFillTint="66"/>
            <w:vAlign w:val="center"/>
          </w:tcPr>
          <w:p w:rsidR="000A0087" w:rsidRPr="007043E4" w:rsidRDefault="000A0087"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59</w:t>
            </w:r>
          </w:p>
        </w:tc>
        <w:tc>
          <w:tcPr>
            <w:tcW w:w="1134" w:type="dxa"/>
            <w:tcBorders>
              <w:top w:val="nil"/>
              <w:left w:val="nil"/>
              <w:bottom w:val="nil"/>
              <w:right w:val="nil"/>
            </w:tcBorders>
            <w:shd w:val="clear" w:color="auto" w:fill="auto"/>
            <w:vAlign w:val="center"/>
            <w:hideMark/>
          </w:tcPr>
          <w:p w:rsidR="000A0087" w:rsidRPr="007043E4" w:rsidRDefault="000A0087"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275" w:type="dxa"/>
            <w:tcBorders>
              <w:top w:val="nil"/>
              <w:left w:val="nil"/>
              <w:bottom w:val="nil"/>
              <w:right w:val="nil"/>
            </w:tcBorders>
            <w:shd w:val="clear" w:color="auto" w:fill="auto"/>
            <w:vAlign w:val="center"/>
          </w:tcPr>
          <w:p w:rsidR="000A0087" w:rsidRPr="007043E4" w:rsidRDefault="000A0087" w:rsidP="001A6712">
            <w:pPr>
              <w:pStyle w:val="Financials"/>
              <w:jc w:val="right"/>
              <w:rPr>
                <w:rFonts w:ascii="Arial" w:eastAsia="Times New Roman" w:hAnsi="Arial" w:cs="Arial"/>
                <w:sz w:val="20"/>
                <w:szCs w:val="20"/>
                <w:highlight w:val="yellow"/>
                <w:lang w:eastAsia="en-AU"/>
              </w:rPr>
            </w:pPr>
            <w:r>
              <w:rPr>
                <w:rFonts w:ascii="Arial" w:eastAsia="Times New Roman" w:hAnsi="Arial" w:cs="Arial"/>
                <w:sz w:val="20"/>
                <w:szCs w:val="20"/>
                <w:lang w:eastAsia="en-AU"/>
              </w:rPr>
              <w:t>-</w:t>
            </w:r>
          </w:p>
        </w:tc>
        <w:tc>
          <w:tcPr>
            <w:tcW w:w="1349" w:type="dxa"/>
            <w:tcBorders>
              <w:top w:val="nil"/>
              <w:left w:val="nil"/>
              <w:bottom w:val="nil"/>
              <w:right w:val="nil"/>
            </w:tcBorders>
            <w:shd w:val="clear" w:color="auto" w:fill="auto"/>
            <w:vAlign w:val="center"/>
          </w:tcPr>
          <w:p w:rsidR="000A0087" w:rsidRPr="007043E4" w:rsidRDefault="000A0087"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59</w:t>
            </w:r>
          </w:p>
        </w:tc>
      </w:tr>
      <w:tr w:rsidR="000A0087" w:rsidRPr="007043E4" w:rsidTr="00913BB7">
        <w:trPr>
          <w:trHeight w:val="255"/>
        </w:trPr>
        <w:tc>
          <w:tcPr>
            <w:tcW w:w="2919" w:type="dxa"/>
            <w:tcBorders>
              <w:top w:val="nil"/>
              <w:left w:val="nil"/>
              <w:bottom w:val="single" w:sz="4" w:space="0" w:color="FFFFFF" w:themeColor="background1"/>
              <w:right w:val="nil"/>
            </w:tcBorders>
            <w:shd w:val="clear" w:color="auto" w:fill="auto"/>
          </w:tcPr>
          <w:p w:rsidR="000A0087" w:rsidRDefault="000A0087" w:rsidP="00245AE8">
            <w:pPr>
              <w:pStyle w:val="Financials"/>
              <w:rPr>
                <w:rFonts w:ascii="Arial" w:eastAsia="Times New Roman" w:hAnsi="Arial" w:cs="Arial"/>
                <w:sz w:val="20"/>
                <w:szCs w:val="20"/>
                <w:lang w:eastAsia="en-AU"/>
              </w:rPr>
            </w:pPr>
            <w:r w:rsidRPr="00A26BF0">
              <w:rPr>
                <w:rFonts w:ascii="Arial" w:eastAsia="Times New Roman" w:hAnsi="Arial" w:cs="Arial"/>
                <w:sz w:val="20"/>
                <w:szCs w:val="20"/>
                <w:lang w:eastAsia="en-AU"/>
              </w:rPr>
              <w:t>Non-retained revenue distributed to owner</w:t>
            </w:r>
          </w:p>
        </w:tc>
        <w:tc>
          <w:tcPr>
            <w:tcW w:w="1050" w:type="dxa"/>
            <w:tcBorders>
              <w:top w:val="nil"/>
              <w:left w:val="nil"/>
              <w:bottom w:val="single" w:sz="4" w:space="0" w:color="FFFFFF" w:themeColor="background1"/>
              <w:right w:val="nil"/>
            </w:tcBorders>
          </w:tcPr>
          <w:p w:rsidR="000A0087" w:rsidRPr="007043E4" w:rsidRDefault="00245AE8" w:rsidP="00245AE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12,O</w:t>
            </w:r>
          </w:p>
        </w:tc>
        <w:tc>
          <w:tcPr>
            <w:tcW w:w="1134" w:type="dxa"/>
            <w:tcBorders>
              <w:top w:val="nil"/>
              <w:left w:val="nil"/>
              <w:bottom w:val="single" w:sz="4" w:space="0" w:color="FFFFFF" w:themeColor="background1"/>
              <w:right w:val="nil"/>
            </w:tcBorders>
          </w:tcPr>
          <w:p w:rsidR="000A0087" w:rsidRDefault="000A0087" w:rsidP="00245AE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993" w:type="dxa"/>
            <w:tcBorders>
              <w:top w:val="nil"/>
              <w:left w:val="nil"/>
              <w:right w:val="nil"/>
            </w:tcBorders>
            <w:shd w:val="clear" w:color="auto" w:fill="E0DCCB" w:themeFill="accent4" w:themeFillTint="66"/>
          </w:tcPr>
          <w:p w:rsidR="000A0087" w:rsidRPr="007043E4" w:rsidRDefault="000A0087" w:rsidP="00245AE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(100)</w:t>
            </w:r>
          </w:p>
        </w:tc>
        <w:tc>
          <w:tcPr>
            <w:tcW w:w="1134" w:type="dxa"/>
            <w:tcBorders>
              <w:top w:val="nil"/>
              <w:left w:val="nil"/>
              <w:bottom w:val="single" w:sz="4" w:space="0" w:color="FFFFFF" w:themeColor="background1"/>
              <w:right w:val="nil"/>
            </w:tcBorders>
            <w:shd w:val="clear" w:color="auto" w:fill="auto"/>
          </w:tcPr>
          <w:p w:rsidR="000A0087" w:rsidRDefault="000A0087" w:rsidP="00245AE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275" w:type="dxa"/>
            <w:tcBorders>
              <w:top w:val="nil"/>
              <w:left w:val="nil"/>
              <w:bottom w:val="single" w:sz="4" w:space="0" w:color="FFFFFF" w:themeColor="background1"/>
              <w:right w:val="nil"/>
            </w:tcBorders>
            <w:shd w:val="clear" w:color="auto" w:fill="auto"/>
          </w:tcPr>
          <w:p w:rsidR="000A0087" w:rsidRDefault="000A0087" w:rsidP="00245AE8">
            <w:pPr>
              <w:pStyle w:val="Financials"/>
              <w:jc w:val="right"/>
              <w:rPr>
                <w:rFonts w:ascii="Arial" w:eastAsia="Times New Roman" w:hAnsi="Arial" w:cs="Arial"/>
                <w:bCs/>
                <w:sz w:val="20"/>
                <w:szCs w:val="20"/>
                <w:lang w:eastAsia="en-AU"/>
              </w:rPr>
            </w:pPr>
            <w:r>
              <w:rPr>
                <w:rFonts w:ascii="Arial" w:eastAsia="Times New Roman" w:hAnsi="Arial" w:cs="Arial"/>
                <w:bCs/>
                <w:sz w:val="20"/>
                <w:szCs w:val="20"/>
                <w:lang w:eastAsia="en-AU"/>
              </w:rPr>
              <w:t>100</w:t>
            </w:r>
          </w:p>
        </w:tc>
        <w:tc>
          <w:tcPr>
            <w:tcW w:w="1349" w:type="dxa"/>
            <w:tcBorders>
              <w:top w:val="nil"/>
              <w:left w:val="nil"/>
              <w:bottom w:val="single" w:sz="4" w:space="0" w:color="FFFFFF" w:themeColor="background1"/>
              <w:right w:val="nil"/>
            </w:tcBorders>
            <w:shd w:val="clear" w:color="auto" w:fill="auto"/>
          </w:tcPr>
          <w:p w:rsidR="000A0087" w:rsidRPr="007043E4" w:rsidRDefault="000A0087" w:rsidP="00245AE8">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(100)</w:t>
            </w:r>
          </w:p>
        </w:tc>
      </w:tr>
      <w:tr w:rsidR="000A0087" w:rsidRPr="007043E4" w:rsidTr="00913BB7">
        <w:trPr>
          <w:trHeight w:val="255"/>
        </w:trPr>
        <w:tc>
          <w:tcPr>
            <w:tcW w:w="2919" w:type="dxa"/>
            <w:tcBorders>
              <w:top w:val="single" w:sz="4" w:space="0" w:color="FFFFFF" w:themeColor="background1"/>
              <w:left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Pr>
                <w:rFonts w:ascii="Arial" w:eastAsia="Times New Roman" w:hAnsi="Arial" w:cs="Arial"/>
                <w:sz w:val="20"/>
                <w:szCs w:val="20"/>
                <w:lang w:eastAsia="en-AU"/>
              </w:rPr>
              <w:t>Holding account drawdowns</w:t>
            </w:r>
          </w:p>
        </w:tc>
        <w:tc>
          <w:tcPr>
            <w:tcW w:w="1050" w:type="dxa"/>
            <w:tcBorders>
              <w:top w:val="single" w:sz="4" w:space="0" w:color="FFFFFF" w:themeColor="background1"/>
              <w:left w:val="nil"/>
              <w:right w:val="nil"/>
            </w:tcBorders>
            <w:vAlign w:val="center"/>
          </w:tcPr>
          <w:p w:rsidR="000A0087" w:rsidRPr="007043E4" w:rsidRDefault="000A0087" w:rsidP="001A6712">
            <w:pPr>
              <w:pStyle w:val="Financials"/>
              <w:jc w:val="right"/>
              <w:rPr>
                <w:rFonts w:ascii="Arial" w:eastAsia="Times New Roman" w:hAnsi="Arial" w:cs="Arial"/>
                <w:sz w:val="20"/>
                <w:szCs w:val="20"/>
                <w:lang w:eastAsia="en-AU"/>
              </w:rPr>
            </w:pPr>
          </w:p>
        </w:tc>
        <w:tc>
          <w:tcPr>
            <w:tcW w:w="1134" w:type="dxa"/>
            <w:tcBorders>
              <w:top w:val="single" w:sz="4" w:space="0" w:color="FFFFFF" w:themeColor="background1"/>
              <w:left w:val="nil"/>
              <w:right w:val="nil"/>
            </w:tcBorders>
            <w:vAlign w:val="center"/>
          </w:tcPr>
          <w:p w:rsidR="000A0087" w:rsidRPr="007043E4" w:rsidRDefault="000A0087"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87</w:t>
            </w:r>
          </w:p>
        </w:tc>
        <w:tc>
          <w:tcPr>
            <w:tcW w:w="993" w:type="dxa"/>
            <w:tcBorders>
              <w:left w:val="nil"/>
              <w:right w:val="nil"/>
            </w:tcBorders>
            <w:shd w:val="clear" w:color="auto" w:fill="E0DCCB" w:themeFill="accent4" w:themeFillTint="66"/>
            <w:vAlign w:val="center"/>
          </w:tcPr>
          <w:p w:rsidR="000A0087" w:rsidRPr="007043E4" w:rsidRDefault="00245AE8"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134" w:type="dxa"/>
            <w:tcBorders>
              <w:top w:val="single" w:sz="4" w:space="0" w:color="FFFFFF" w:themeColor="background1"/>
              <w:left w:val="nil"/>
              <w:right w:val="nil"/>
            </w:tcBorders>
            <w:shd w:val="clear" w:color="auto" w:fill="auto"/>
            <w:vAlign w:val="center"/>
            <w:hideMark/>
          </w:tcPr>
          <w:p w:rsidR="000A0087" w:rsidRPr="007043E4" w:rsidRDefault="00245AE8"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275" w:type="dxa"/>
            <w:tcBorders>
              <w:top w:val="single" w:sz="4" w:space="0" w:color="FFFFFF" w:themeColor="background1"/>
              <w:left w:val="nil"/>
              <w:right w:val="nil"/>
            </w:tcBorders>
            <w:shd w:val="clear" w:color="auto" w:fill="auto"/>
            <w:vAlign w:val="center"/>
          </w:tcPr>
          <w:p w:rsidR="000A0087" w:rsidRPr="007043E4" w:rsidRDefault="00245AE8" w:rsidP="001A6712">
            <w:pPr>
              <w:pStyle w:val="Financials"/>
              <w:jc w:val="right"/>
              <w:rPr>
                <w:rFonts w:ascii="Arial" w:eastAsia="Times New Roman" w:hAnsi="Arial" w:cs="Arial"/>
                <w:sz w:val="20"/>
                <w:szCs w:val="20"/>
                <w:lang w:eastAsia="en-AU"/>
              </w:rPr>
            </w:pPr>
            <w:r>
              <w:rPr>
                <w:rFonts w:ascii="Arial" w:eastAsia="Times New Roman" w:hAnsi="Arial" w:cs="Arial"/>
                <w:bCs/>
                <w:sz w:val="20"/>
                <w:szCs w:val="20"/>
                <w:lang w:eastAsia="en-AU"/>
              </w:rPr>
              <w:t>(87)</w:t>
            </w:r>
          </w:p>
        </w:tc>
        <w:tc>
          <w:tcPr>
            <w:tcW w:w="1349" w:type="dxa"/>
            <w:tcBorders>
              <w:top w:val="single" w:sz="4" w:space="0" w:color="FFFFFF" w:themeColor="background1"/>
              <w:left w:val="nil"/>
              <w:right w:val="nil"/>
            </w:tcBorders>
            <w:shd w:val="clear" w:color="auto" w:fill="auto"/>
            <w:vAlign w:val="center"/>
          </w:tcPr>
          <w:p w:rsidR="000A0087" w:rsidRPr="007043E4" w:rsidRDefault="00245AE8"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r>
      <w:tr w:rsidR="000A0087" w:rsidRPr="007043E4" w:rsidTr="00913BB7">
        <w:trPr>
          <w:trHeight w:val="255"/>
        </w:trPr>
        <w:tc>
          <w:tcPr>
            <w:tcW w:w="2919" w:type="dxa"/>
            <w:tcBorders>
              <w:left w:val="nil"/>
              <w:bottom w:val="single" w:sz="4" w:space="0" w:color="E0DCCB" w:themeColor="accent4" w:themeTint="66"/>
              <w:right w:val="nil"/>
            </w:tcBorders>
            <w:shd w:val="clear" w:color="auto" w:fill="auto"/>
            <w:vAlign w:val="center"/>
          </w:tcPr>
          <w:p w:rsidR="000A0087" w:rsidRPr="00343F41" w:rsidRDefault="000A0087" w:rsidP="00F6395E">
            <w:pPr>
              <w:pStyle w:val="Financials"/>
              <w:rPr>
                <w:rFonts w:ascii="Arial" w:eastAsia="Times New Roman" w:hAnsi="Arial" w:cs="Arial"/>
                <w:bCs/>
                <w:sz w:val="20"/>
                <w:szCs w:val="20"/>
                <w:lang w:eastAsia="en-AU"/>
              </w:rPr>
            </w:pPr>
            <w:r w:rsidRPr="00343F41">
              <w:rPr>
                <w:rFonts w:ascii="Arial" w:eastAsia="Times New Roman" w:hAnsi="Arial" w:cs="Arial"/>
                <w:bCs/>
                <w:sz w:val="20"/>
                <w:szCs w:val="20"/>
                <w:lang w:eastAsia="en-AU"/>
              </w:rPr>
              <w:t>Royalties for Regions</w:t>
            </w:r>
          </w:p>
        </w:tc>
        <w:tc>
          <w:tcPr>
            <w:tcW w:w="1050" w:type="dxa"/>
            <w:tcBorders>
              <w:left w:val="nil"/>
              <w:bottom w:val="single" w:sz="4" w:space="0" w:color="E0DCCB" w:themeColor="accent4" w:themeTint="66"/>
              <w:right w:val="nil"/>
            </w:tcBorders>
            <w:vAlign w:val="center"/>
          </w:tcPr>
          <w:p w:rsidR="000A0087" w:rsidRPr="007043E4" w:rsidRDefault="000A0087"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P</w:t>
            </w:r>
          </w:p>
        </w:tc>
        <w:tc>
          <w:tcPr>
            <w:tcW w:w="1134" w:type="dxa"/>
            <w:tcBorders>
              <w:left w:val="nil"/>
              <w:bottom w:val="single" w:sz="4" w:space="0" w:color="E0DCCB" w:themeColor="accent4" w:themeTint="66"/>
              <w:right w:val="nil"/>
            </w:tcBorders>
            <w:vAlign w:val="center"/>
          </w:tcPr>
          <w:p w:rsidR="000A0087" w:rsidRPr="007043E4" w:rsidRDefault="000A0087"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993" w:type="dxa"/>
            <w:tcBorders>
              <w:left w:val="nil"/>
              <w:bottom w:val="single" w:sz="4" w:space="0" w:color="FFFFFF" w:themeColor="background1"/>
              <w:right w:val="nil"/>
            </w:tcBorders>
            <w:shd w:val="clear" w:color="auto" w:fill="E0DCCB" w:themeFill="accent4" w:themeFillTint="66"/>
            <w:vAlign w:val="center"/>
          </w:tcPr>
          <w:p w:rsidR="000A0087" w:rsidRPr="007043E4" w:rsidRDefault="000A0087"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134" w:type="dxa"/>
            <w:tcBorders>
              <w:left w:val="nil"/>
              <w:bottom w:val="single" w:sz="4" w:space="0" w:color="E0DCCB" w:themeColor="accent4" w:themeTint="66"/>
              <w:right w:val="nil"/>
            </w:tcBorders>
            <w:shd w:val="clear" w:color="auto" w:fill="auto"/>
            <w:vAlign w:val="center"/>
          </w:tcPr>
          <w:p w:rsidR="000A0087" w:rsidRDefault="000A0087"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390</w:t>
            </w:r>
          </w:p>
        </w:tc>
        <w:tc>
          <w:tcPr>
            <w:tcW w:w="1275" w:type="dxa"/>
            <w:tcBorders>
              <w:left w:val="nil"/>
              <w:bottom w:val="single" w:sz="4" w:space="0" w:color="E0DCCB" w:themeColor="accent4" w:themeTint="66"/>
              <w:right w:val="nil"/>
            </w:tcBorders>
            <w:shd w:val="clear" w:color="auto" w:fill="auto"/>
            <w:vAlign w:val="center"/>
          </w:tcPr>
          <w:p w:rsidR="000A0087" w:rsidRDefault="000A0087" w:rsidP="001A6712">
            <w:pPr>
              <w:pStyle w:val="Financials"/>
              <w:jc w:val="right"/>
              <w:rPr>
                <w:rFonts w:ascii="Arial" w:eastAsia="Times New Roman" w:hAnsi="Arial" w:cs="Arial"/>
                <w:bCs/>
                <w:sz w:val="20"/>
                <w:szCs w:val="20"/>
                <w:lang w:eastAsia="en-AU"/>
              </w:rPr>
            </w:pPr>
            <w:r>
              <w:rPr>
                <w:rFonts w:ascii="Arial" w:eastAsia="Times New Roman" w:hAnsi="Arial" w:cs="Arial"/>
                <w:bCs/>
                <w:sz w:val="20"/>
                <w:szCs w:val="20"/>
                <w:lang w:eastAsia="en-AU"/>
              </w:rPr>
              <w:t>-</w:t>
            </w:r>
          </w:p>
        </w:tc>
        <w:tc>
          <w:tcPr>
            <w:tcW w:w="1349" w:type="dxa"/>
            <w:tcBorders>
              <w:left w:val="nil"/>
              <w:bottom w:val="single" w:sz="4" w:space="0" w:color="E0DCCB" w:themeColor="accent4" w:themeTint="66"/>
              <w:right w:val="nil"/>
            </w:tcBorders>
            <w:shd w:val="clear" w:color="auto" w:fill="auto"/>
            <w:vAlign w:val="center"/>
          </w:tcPr>
          <w:p w:rsidR="000A0087" w:rsidRPr="007043E4" w:rsidRDefault="000A0087" w:rsidP="001A6712">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(390)</w:t>
            </w:r>
          </w:p>
        </w:tc>
      </w:tr>
      <w:tr w:rsidR="000A0087" w:rsidRPr="007043E4" w:rsidTr="00913BB7">
        <w:trPr>
          <w:trHeight w:val="255"/>
        </w:trPr>
        <w:tc>
          <w:tcPr>
            <w:tcW w:w="2919"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AA3D3B" w:rsidRDefault="000A0087" w:rsidP="00F6395E">
            <w:pPr>
              <w:pStyle w:val="Financials"/>
              <w:rPr>
                <w:rFonts w:ascii="Arial" w:eastAsia="Times New Roman" w:hAnsi="Arial" w:cs="Arial"/>
                <w:b/>
                <w:sz w:val="20"/>
                <w:szCs w:val="20"/>
                <w:lang w:eastAsia="en-AU"/>
              </w:rPr>
            </w:pPr>
            <w:r w:rsidRPr="00AA3D3B">
              <w:rPr>
                <w:rFonts w:ascii="Arial" w:eastAsia="Times New Roman" w:hAnsi="Arial" w:cs="Arial"/>
                <w:b/>
                <w:bCs/>
                <w:sz w:val="20"/>
                <w:szCs w:val="20"/>
                <w:lang w:eastAsia="en-AU"/>
              </w:rPr>
              <w:t>Net cash provided by State Government</w:t>
            </w:r>
          </w:p>
        </w:tc>
        <w:tc>
          <w:tcPr>
            <w:tcW w:w="1050" w:type="dxa"/>
            <w:tcBorders>
              <w:top w:val="single" w:sz="4" w:space="0" w:color="E0DCCB" w:themeColor="accent4" w:themeTint="66"/>
              <w:left w:val="nil"/>
              <w:bottom w:val="single" w:sz="4" w:space="0" w:color="E0DCCB" w:themeColor="accent4" w:themeTint="66"/>
              <w:right w:val="nil"/>
            </w:tcBorders>
            <w:vAlign w:val="center"/>
          </w:tcPr>
          <w:p w:rsidR="000A0087" w:rsidRPr="00AA3D3B" w:rsidRDefault="000A0087" w:rsidP="001A6712">
            <w:pPr>
              <w:pStyle w:val="Financials"/>
              <w:jc w:val="right"/>
              <w:rPr>
                <w:rFonts w:ascii="Arial" w:eastAsia="Times New Roman" w:hAnsi="Arial" w:cs="Arial"/>
                <w:b/>
                <w:sz w:val="20"/>
                <w:szCs w:val="20"/>
                <w:lang w:eastAsia="en-AU"/>
              </w:rPr>
            </w:pPr>
          </w:p>
        </w:tc>
        <w:tc>
          <w:tcPr>
            <w:tcW w:w="1134" w:type="dxa"/>
            <w:tcBorders>
              <w:top w:val="single" w:sz="4" w:space="0" w:color="E0DCCB" w:themeColor="accent4" w:themeTint="66"/>
              <w:left w:val="nil"/>
              <w:bottom w:val="single" w:sz="4" w:space="0" w:color="E0DCCB" w:themeColor="accent4" w:themeTint="66"/>
              <w:right w:val="nil"/>
            </w:tcBorders>
            <w:vAlign w:val="center"/>
          </w:tcPr>
          <w:p w:rsidR="000A0087" w:rsidRPr="00AA3D3B" w:rsidRDefault="000A0087" w:rsidP="001A6712">
            <w:pPr>
              <w:pStyle w:val="Financials"/>
              <w:jc w:val="right"/>
              <w:rPr>
                <w:rFonts w:ascii="Arial" w:eastAsia="Times New Roman" w:hAnsi="Arial" w:cs="Arial"/>
                <w:b/>
                <w:sz w:val="20"/>
                <w:szCs w:val="20"/>
                <w:lang w:eastAsia="en-AU"/>
              </w:rPr>
            </w:pPr>
            <w:r w:rsidRPr="00AA3D3B">
              <w:rPr>
                <w:rFonts w:ascii="Arial" w:eastAsia="Times New Roman" w:hAnsi="Arial" w:cs="Arial"/>
                <w:b/>
                <w:sz w:val="20"/>
                <w:szCs w:val="20"/>
                <w:lang w:eastAsia="en-AU"/>
              </w:rPr>
              <w:fldChar w:fldCharType="begin"/>
            </w:r>
            <w:r w:rsidRPr="00AA3D3B">
              <w:rPr>
                <w:rFonts w:ascii="Arial" w:eastAsia="Times New Roman" w:hAnsi="Arial" w:cs="Arial"/>
                <w:b/>
                <w:sz w:val="20"/>
                <w:szCs w:val="20"/>
                <w:lang w:eastAsia="en-AU"/>
              </w:rPr>
              <w:instrText xml:space="preserve"> =SUM(ABOVE) </w:instrText>
            </w:r>
            <w:r w:rsidRPr="00AA3D3B">
              <w:rPr>
                <w:rFonts w:ascii="Arial" w:eastAsia="Times New Roman" w:hAnsi="Arial" w:cs="Arial"/>
                <w:b/>
                <w:sz w:val="20"/>
                <w:szCs w:val="20"/>
                <w:lang w:eastAsia="en-AU"/>
              </w:rPr>
              <w:fldChar w:fldCharType="separate"/>
            </w:r>
            <w:r w:rsidRPr="00AA3D3B">
              <w:rPr>
                <w:rFonts w:ascii="Arial" w:eastAsia="Times New Roman" w:hAnsi="Arial" w:cs="Arial"/>
                <w:b/>
                <w:noProof/>
                <w:sz w:val="20"/>
                <w:szCs w:val="20"/>
                <w:lang w:eastAsia="en-AU"/>
              </w:rPr>
              <w:t>14,821</w:t>
            </w:r>
            <w:r w:rsidRPr="00AA3D3B">
              <w:rPr>
                <w:rFonts w:ascii="Arial" w:eastAsia="Times New Roman" w:hAnsi="Arial" w:cs="Arial"/>
                <w:b/>
                <w:sz w:val="20"/>
                <w:szCs w:val="20"/>
                <w:lang w:eastAsia="en-AU"/>
              </w:rPr>
              <w:fldChar w:fldCharType="end"/>
            </w:r>
          </w:p>
        </w:tc>
        <w:tc>
          <w:tcPr>
            <w:tcW w:w="993" w:type="dxa"/>
            <w:tcBorders>
              <w:top w:val="single" w:sz="4" w:space="0" w:color="FFFFFF" w:themeColor="background1"/>
              <w:left w:val="nil"/>
              <w:bottom w:val="single" w:sz="4" w:space="0" w:color="E0DCCB" w:themeColor="accent4" w:themeTint="66"/>
              <w:right w:val="nil"/>
            </w:tcBorders>
            <w:shd w:val="clear" w:color="auto" w:fill="E0DCCB" w:themeFill="accent4" w:themeFillTint="66"/>
            <w:vAlign w:val="center"/>
          </w:tcPr>
          <w:p w:rsidR="000A0087" w:rsidRPr="00AA3D3B" w:rsidRDefault="000A0087" w:rsidP="001A6712">
            <w:pPr>
              <w:pStyle w:val="Financials"/>
              <w:jc w:val="right"/>
              <w:rPr>
                <w:rFonts w:ascii="Arial" w:eastAsia="Times New Roman" w:hAnsi="Arial" w:cs="Arial"/>
                <w:b/>
                <w:sz w:val="20"/>
                <w:szCs w:val="20"/>
                <w:lang w:eastAsia="en-AU"/>
              </w:rPr>
            </w:pPr>
            <w:r w:rsidRPr="00AA3D3B">
              <w:rPr>
                <w:rFonts w:ascii="Arial" w:eastAsia="Times New Roman" w:hAnsi="Arial" w:cs="Arial"/>
                <w:b/>
                <w:sz w:val="20"/>
                <w:szCs w:val="20"/>
                <w:lang w:eastAsia="en-AU"/>
              </w:rPr>
              <w:t>14,992</w:t>
            </w:r>
          </w:p>
        </w:tc>
        <w:tc>
          <w:tcPr>
            <w:tcW w:w="1134"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AA3D3B" w:rsidRDefault="000A0087" w:rsidP="001A6712">
            <w:pPr>
              <w:pStyle w:val="Financials"/>
              <w:jc w:val="right"/>
              <w:rPr>
                <w:rFonts w:ascii="Arial" w:eastAsia="Times New Roman" w:hAnsi="Arial" w:cs="Arial"/>
                <w:b/>
                <w:sz w:val="20"/>
                <w:szCs w:val="20"/>
                <w:lang w:eastAsia="en-AU"/>
              </w:rPr>
            </w:pPr>
            <w:r w:rsidRPr="00AA3D3B">
              <w:rPr>
                <w:rFonts w:ascii="Arial" w:eastAsia="Times New Roman" w:hAnsi="Arial" w:cs="Arial"/>
                <w:b/>
                <w:sz w:val="20"/>
                <w:szCs w:val="20"/>
                <w:lang w:eastAsia="en-AU"/>
              </w:rPr>
              <w:fldChar w:fldCharType="begin"/>
            </w:r>
            <w:r w:rsidRPr="00AA3D3B">
              <w:rPr>
                <w:rFonts w:ascii="Arial" w:eastAsia="Times New Roman" w:hAnsi="Arial" w:cs="Arial"/>
                <w:b/>
                <w:sz w:val="20"/>
                <w:szCs w:val="20"/>
                <w:lang w:eastAsia="en-AU"/>
              </w:rPr>
              <w:instrText xml:space="preserve"> =SUM(ABOVE) </w:instrText>
            </w:r>
            <w:r w:rsidRPr="00AA3D3B">
              <w:rPr>
                <w:rFonts w:ascii="Arial" w:eastAsia="Times New Roman" w:hAnsi="Arial" w:cs="Arial"/>
                <w:b/>
                <w:sz w:val="20"/>
                <w:szCs w:val="20"/>
                <w:lang w:eastAsia="en-AU"/>
              </w:rPr>
              <w:fldChar w:fldCharType="separate"/>
            </w:r>
            <w:r w:rsidRPr="00AA3D3B">
              <w:rPr>
                <w:rFonts w:ascii="Arial" w:eastAsia="Times New Roman" w:hAnsi="Arial" w:cs="Arial"/>
                <w:b/>
                <w:noProof/>
                <w:sz w:val="20"/>
                <w:szCs w:val="20"/>
                <w:lang w:eastAsia="en-AU"/>
              </w:rPr>
              <w:t>15,019</w:t>
            </w:r>
            <w:r w:rsidRPr="00AA3D3B">
              <w:rPr>
                <w:rFonts w:ascii="Arial" w:eastAsia="Times New Roman" w:hAnsi="Arial" w:cs="Arial"/>
                <w:b/>
                <w:sz w:val="20"/>
                <w:szCs w:val="20"/>
                <w:lang w:eastAsia="en-AU"/>
              </w:rPr>
              <w:fldChar w:fldCharType="end"/>
            </w:r>
          </w:p>
        </w:tc>
        <w:tc>
          <w:tcPr>
            <w:tcW w:w="1275"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AA3D3B" w:rsidRDefault="000A0087" w:rsidP="006B7D8A">
            <w:pPr>
              <w:pStyle w:val="Financials"/>
              <w:jc w:val="right"/>
              <w:rPr>
                <w:rFonts w:ascii="Arial" w:eastAsia="Times New Roman" w:hAnsi="Arial" w:cs="Arial"/>
                <w:b/>
                <w:sz w:val="20"/>
                <w:szCs w:val="20"/>
                <w:lang w:eastAsia="en-AU"/>
              </w:rPr>
            </w:pPr>
            <w:r w:rsidRPr="00AA3D3B">
              <w:rPr>
                <w:rFonts w:ascii="Arial" w:eastAsia="Times New Roman" w:hAnsi="Arial" w:cs="Arial"/>
                <w:b/>
                <w:bCs/>
                <w:sz w:val="20"/>
                <w:szCs w:val="20"/>
                <w:lang w:eastAsia="en-AU"/>
              </w:rPr>
              <w:t>171</w:t>
            </w:r>
          </w:p>
        </w:tc>
        <w:tc>
          <w:tcPr>
            <w:tcW w:w="1349"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AA3D3B" w:rsidRDefault="000A0087" w:rsidP="001A6712">
            <w:pPr>
              <w:pStyle w:val="Financials"/>
              <w:jc w:val="right"/>
              <w:rPr>
                <w:rFonts w:ascii="Arial" w:eastAsia="Times New Roman" w:hAnsi="Arial" w:cs="Arial"/>
                <w:b/>
                <w:sz w:val="20"/>
                <w:szCs w:val="20"/>
                <w:lang w:eastAsia="en-AU"/>
              </w:rPr>
            </w:pPr>
            <w:r w:rsidRPr="00AA3D3B">
              <w:rPr>
                <w:rFonts w:ascii="Arial" w:eastAsia="Times New Roman" w:hAnsi="Arial" w:cs="Arial"/>
                <w:b/>
                <w:sz w:val="20"/>
                <w:szCs w:val="20"/>
                <w:lang w:eastAsia="en-AU"/>
              </w:rPr>
              <w:t>(27)</w:t>
            </w:r>
          </w:p>
        </w:tc>
      </w:tr>
      <w:tr w:rsidR="000A0087" w:rsidRPr="007043E4" w:rsidTr="00913BB7">
        <w:trPr>
          <w:trHeight w:val="270"/>
        </w:trPr>
        <w:tc>
          <w:tcPr>
            <w:tcW w:w="2919" w:type="dxa"/>
            <w:tcBorders>
              <w:left w:val="nil"/>
              <w:right w:val="nil"/>
            </w:tcBorders>
            <w:shd w:val="clear" w:color="auto" w:fill="auto"/>
            <w:vAlign w:val="center"/>
            <w:hideMark/>
          </w:tcPr>
          <w:p w:rsidR="001A6712" w:rsidRDefault="001A6712" w:rsidP="00F6395E">
            <w:pPr>
              <w:pStyle w:val="Financials"/>
              <w:rPr>
                <w:rFonts w:ascii="Arial" w:eastAsia="Times New Roman" w:hAnsi="Arial" w:cs="Arial"/>
                <w:sz w:val="20"/>
                <w:szCs w:val="20"/>
                <w:lang w:eastAsia="en-AU"/>
              </w:rPr>
            </w:pPr>
          </w:p>
          <w:p w:rsidR="000A0087"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Utilised as follows:</w:t>
            </w:r>
          </w:p>
          <w:p w:rsidR="001A6712" w:rsidRPr="007043E4" w:rsidRDefault="001A6712" w:rsidP="00F6395E">
            <w:pPr>
              <w:pStyle w:val="Financials"/>
              <w:rPr>
                <w:rFonts w:ascii="Arial" w:eastAsia="Times New Roman" w:hAnsi="Arial" w:cs="Arial"/>
                <w:sz w:val="20"/>
                <w:szCs w:val="20"/>
                <w:lang w:eastAsia="en-AU"/>
              </w:rPr>
            </w:pPr>
          </w:p>
        </w:tc>
        <w:tc>
          <w:tcPr>
            <w:tcW w:w="1050" w:type="dxa"/>
            <w:tcBorders>
              <w:left w:val="nil"/>
              <w:right w:val="nil"/>
            </w:tcBorders>
            <w:vAlign w:val="center"/>
          </w:tcPr>
          <w:p w:rsidR="000A0087" w:rsidRPr="007043E4" w:rsidRDefault="000A0087" w:rsidP="00F6395E">
            <w:pPr>
              <w:pStyle w:val="Financials"/>
              <w:rPr>
                <w:rFonts w:ascii="Arial" w:eastAsia="Times New Roman" w:hAnsi="Arial" w:cs="Arial"/>
                <w:sz w:val="20"/>
                <w:szCs w:val="20"/>
                <w:lang w:eastAsia="en-AU"/>
              </w:rPr>
            </w:pPr>
          </w:p>
        </w:tc>
        <w:tc>
          <w:tcPr>
            <w:tcW w:w="1134" w:type="dxa"/>
            <w:tcBorders>
              <w:left w:val="nil"/>
              <w:right w:val="nil"/>
            </w:tcBorders>
            <w:vAlign w:val="center"/>
          </w:tcPr>
          <w:p w:rsidR="000A0087" w:rsidRPr="007043E4" w:rsidRDefault="000A0087" w:rsidP="00F6395E">
            <w:pPr>
              <w:pStyle w:val="Financials"/>
              <w:rPr>
                <w:rFonts w:ascii="Arial" w:eastAsia="Times New Roman" w:hAnsi="Arial" w:cs="Arial"/>
                <w:sz w:val="20"/>
                <w:szCs w:val="20"/>
                <w:lang w:eastAsia="en-AU"/>
              </w:rPr>
            </w:pPr>
          </w:p>
        </w:tc>
        <w:tc>
          <w:tcPr>
            <w:tcW w:w="993" w:type="dxa"/>
            <w:tcBorders>
              <w:left w:val="nil"/>
              <w:right w:val="nil"/>
            </w:tcBorders>
            <w:vAlign w:val="center"/>
          </w:tcPr>
          <w:p w:rsidR="000A0087" w:rsidRPr="007043E4" w:rsidRDefault="000A0087" w:rsidP="00F6395E">
            <w:pPr>
              <w:pStyle w:val="Financials"/>
              <w:rPr>
                <w:rFonts w:ascii="Arial" w:eastAsia="Times New Roman" w:hAnsi="Arial" w:cs="Arial"/>
                <w:sz w:val="20"/>
                <w:szCs w:val="20"/>
                <w:lang w:eastAsia="en-AU"/>
              </w:rPr>
            </w:pPr>
          </w:p>
        </w:tc>
        <w:tc>
          <w:tcPr>
            <w:tcW w:w="1134" w:type="dxa"/>
            <w:tcBorders>
              <w:left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p>
        </w:tc>
        <w:tc>
          <w:tcPr>
            <w:tcW w:w="1275" w:type="dxa"/>
            <w:tcBorders>
              <w:top w:val="single" w:sz="4" w:space="0" w:color="E0DCCB" w:themeColor="accent4" w:themeTint="66"/>
              <w:left w:val="nil"/>
              <w:right w:val="nil"/>
            </w:tcBorders>
            <w:shd w:val="clear" w:color="auto" w:fill="auto"/>
            <w:vAlign w:val="center"/>
          </w:tcPr>
          <w:p w:rsidR="000A0087" w:rsidRPr="007043E4" w:rsidRDefault="000A0087" w:rsidP="00F6395E">
            <w:pPr>
              <w:pStyle w:val="Financials"/>
              <w:rPr>
                <w:rFonts w:ascii="Arial" w:eastAsia="Times New Roman" w:hAnsi="Arial" w:cs="Arial"/>
                <w:sz w:val="20"/>
                <w:szCs w:val="20"/>
                <w:highlight w:val="yellow"/>
                <w:lang w:eastAsia="en-AU"/>
              </w:rPr>
            </w:pPr>
          </w:p>
        </w:tc>
        <w:tc>
          <w:tcPr>
            <w:tcW w:w="1349" w:type="dxa"/>
            <w:tcBorders>
              <w:left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p>
        </w:tc>
      </w:tr>
      <w:tr w:rsidR="000A0087" w:rsidRPr="007043E4" w:rsidTr="00913BB7">
        <w:trPr>
          <w:trHeight w:val="270"/>
        </w:trPr>
        <w:tc>
          <w:tcPr>
            <w:tcW w:w="0" w:type="auto"/>
            <w:gridSpan w:val="7"/>
            <w:tcBorders>
              <w:left w:val="nil"/>
              <w:right w:val="nil"/>
            </w:tcBorders>
            <w:shd w:val="clear" w:color="auto" w:fill="auto"/>
            <w:vAlign w:val="center"/>
            <w:hideMark/>
          </w:tcPr>
          <w:p w:rsidR="000A0087" w:rsidRPr="007043E4" w:rsidRDefault="000A0087" w:rsidP="00F6395E">
            <w:pPr>
              <w:pStyle w:val="Financials"/>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t>CASH FLOWS FROM OPERATING ACTIVITIES</w:t>
            </w:r>
          </w:p>
        </w:tc>
      </w:tr>
      <w:tr w:rsidR="000A0087" w:rsidRPr="00D578E2" w:rsidTr="00913BB7">
        <w:trPr>
          <w:trHeight w:val="255"/>
        </w:trPr>
        <w:tc>
          <w:tcPr>
            <w:tcW w:w="2919" w:type="dxa"/>
            <w:tcBorders>
              <w:left w:val="nil"/>
              <w:bottom w:val="nil"/>
              <w:right w:val="nil"/>
            </w:tcBorders>
            <w:shd w:val="clear" w:color="auto" w:fill="auto"/>
            <w:vAlign w:val="center"/>
            <w:hideMark/>
          </w:tcPr>
          <w:p w:rsidR="000A0087" w:rsidRPr="00D578E2" w:rsidRDefault="000A0087" w:rsidP="00F6395E">
            <w:pPr>
              <w:pStyle w:val="Financials"/>
              <w:rPr>
                <w:rFonts w:ascii="Arial" w:eastAsia="Times New Roman" w:hAnsi="Arial" w:cs="Arial"/>
                <w:sz w:val="8"/>
                <w:szCs w:val="8"/>
                <w:lang w:eastAsia="en-AU"/>
              </w:rPr>
            </w:pPr>
            <w:r w:rsidRPr="005D6BC7">
              <w:rPr>
                <w:rFonts w:ascii="Arial" w:eastAsia="Times New Roman" w:hAnsi="Arial" w:cs="Arial"/>
                <w:b/>
                <w:bCs/>
                <w:sz w:val="20"/>
                <w:szCs w:val="20"/>
                <w:lang w:eastAsia="en-AU"/>
              </w:rPr>
              <w:t>Payments</w:t>
            </w:r>
          </w:p>
        </w:tc>
        <w:tc>
          <w:tcPr>
            <w:tcW w:w="1050" w:type="dxa"/>
            <w:tcBorders>
              <w:left w:val="nil"/>
              <w:bottom w:val="nil"/>
              <w:right w:val="nil"/>
            </w:tcBorders>
            <w:vAlign w:val="center"/>
          </w:tcPr>
          <w:p w:rsidR="000A0087" w:rsidRPr="00D578E2" w:rsidRDefault="000A0087" w:rsidP="00F6395E">
            <w:pPr>
              <w:pStyle w:val="Financials"/>
              <w:rPr>
                <w:rFonts w:ascii="Arial" w:eastAsia="Times New Roman" w:hAnsi="Arial" w:cs="Arial"/>
                <w:sz w:val="8"/>
                <w:szCs w:val="8"/>
                <w:lang w:eastAsia="en-AU"/>
              </w:rPr>
            </w:pPr>
          </w:p>
        </w:tc>
        <w:tc>
          <w:tcPr>
            <w:tcW w:w="1134" w:type="dxa"/>
            <w:tcBorders>
              <w:left w:val="nil"/>
              <w:bottom w:val="nil"/>
              <w:right w:val="nil"/>
            </w:tcBorders>
            <w:vAlign w:val="center"/>
          </w:tcPr>
          <w:p w:rsidR="000A0087" w:rsidRPr="00D578E2" w:rsidRDefault="000A0087" w:rsidP="00F6395E">
            <w:pPr>
              <w:pStyle w:val="Financials"/>
              <w:rPr>
                <w:rFonts w:ascii="Arial" w:eastAsia="Times New Roman" w:hAnsi="Arial" w:cs="Arial"/>
                <w:sz w:val="8"/>
                <w:szCs w:val="8"/>
                <w:lang w:eastAsia="en-AU"/>
              </w:rPr>
            </w:pPr>
          </w:p>
        </w:tc>
        <w:tc>
          <w:tcPr>
            <w:tcW w:w="993" w:type="dxa"/>
            <w:tcBorders>
              <w:left w:val="nil"/>
              <w:bottom w:val="nil"/>
              <w:right w:val="nil"/>
            </w:tcBorders>
            <w:vAlign w:val="center"/>
          </w:tcPr>
          <w:p w:rsidR="000A0087" w:rsidRPr="00D578E2" w:rsidRDefault="000A0087" w:rsidP="00F6395E">
            <w:pPr>
              <w:pStyle w:val="Financials"/>
              <w:rPr>
                <w:rFonts w:ascii="Arial" w:eastAsia="Times New Roman" w:hAnsi="Arial" w:cs="Arial"/>
                <w:sz w:val="8"/>
                <w:szCs w:val="8"/>
                <w:lang w:eastAsia="en-AU"/>
              </w:rPr>
            </w:pPr>
          </w:p>
        </w:tc>
        <w:tc>
          <w:tcPr>
            <w:tcW w:w="1134" w:type="dxa"/>
            <w:tcBorders>
              <w:left w:val="nil"/>
              <w:bottom w:val="nil"/>
              <w:right w:val="nil"/>
            </w:tcBorders>
            <w:shd w:val="clear" w:color="auto" w:fill="auto"/>
            <w:vAlign w:val="center"/>
            <w:hideMark/>
          </w:tcPr>
          <w:p w:rsidR="000A0087" w:rsidRPr="00D578E2" w:rsidRDefault="000A0087" w:rsidP="00F6395E">
            <w:pPr>
              <w:pStyle w:val="Financials"/>
              <w:rPr>
                <w:rFonts w:ascii="Arial" w:eastAsia="Times New Roman" w:hAnsi="Arial" w:cs="Arial"/>
                <w:sz w:val="8"/>
                <w:szCs w:val="8"/>
                <w:lang w:eastAsia="en-AU"/>
              </w:rPr>
            </w:pPr>
          </w:p>
        </w:tc>
        <w:tc>
          <w:tcPr>
            <w:tcW w:w="1275" w:type="dxa"/>
            <w:tcBorders>
              <w:left w:val="nil"/>
              <w:bottom w:val="nil"/>
              <w:right w:val="nil"/>
            </w:tcBorders>
            <w:shd w:val="clear" w:color="auto" w:fill="auto"/>
            <w:vAlign w:val="center"/>
          </w:tcPr>
          <w:p w:rsidR="000A0087" w:rsidRPr="00D578E2" w:rsidRDefault="000A0087" w:rsidP="00F6395E">
            <w:pPr>
              <w:pStyle w:val="Financials"/>
              <w:rPr>
                <w:rFonts w:ascii="Arial" w:eastAsia="Times New Roman" w:hAnsi="Arial" w:cs="Arial"/>
                <w:sz w:val="8"/>
                <w:szCs w:val="8"/>
                <w:lang w:eastAsia="en-AU"/>
              </w:rPr>
            </w:pPr>
          </w:p>
        </w:tc>
        <w:tc>
          <w:tcPr>
            <w:tcW w:w="1349" w:type="dxa"/>
            <w:tcBorders>
              <w:left w:val="nil"/>
              <w:bottom w:val="nil"/>
              <w:right w:val="nil"/>
            </w:tcBorders>
            <w:shd w:val="clear" w:color="auto" w:fill="auto"/>
            <w:vAlign w:val="center"/>
            <w:hideMark/>
          </w:tcPr>
          <w:p w:rsidR="000A0087" w:rsidRPr="00D578E2" w:rsidRDefault="000A0087" w:rsidP="00F6395E">
            <w:pPr>
              <w:pStyle w:val="Financials"/>
              <w:rPr>
                <w:rFonts w:ascii="Arial" w:eastAsia="Times New Roman" w:hAnsi="Arial" w:cs="Arial"/>
                <w:sz w:val="8"/>
                <w:szCs w:val="8"/>
                <w:lang w:eastAsia="en-AU"/>
              </w:rPr>
            </w:pPr>
          </w:p>
        </w:tc>
      </w:tr>
      <w:tr w:rsidR="000A0087" w:rsidRPr="007043E4" w:rsidTr="00913BB7">
        <w:trPr>
          <w:trHeight w:val="255"/>
        </w:trPr>
        <w:tc>
          <w:tcPr>
            <w:tcW w:w="2919" w:type="dxa"/>
            <w:tcBorders>
              <w:top w:val="nil"/>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b/>
                <w:bCs/>
                <w:sz w:val="20"/>
                <w:szCs w:val="20"/>
                <w:lang w:eastAsia="en-AU"/>
              </w:rPr>
            </w:pPr>
            <w:r w:rsidRPr="005D6BC7">
              <w:rPr>
                <w:rFonts w:ascii="Arial" w:eastAsia="Times New Roman" w:hAnsi="Arial" w:cs="Arial"/>
                <w:sz w:val="20"/>
                <w:szCs w:val="20"/>
                <w:lang w:eastAsia="en-AU"/>
              </w:rPr>
              <w:t>Employee benefits</w:t>
            </w:r>
          </w:p>
        </w:tc>
        <w:tc>
          <w:tcPr>
            <w:tcW w:w="1050" w:type="dxa"/>
            <w:tcBorders>
              <w:top w:val="nil"/>
              <w:left w:val="nil"/>
              <w:bottom w:val="nil"/>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p>
        </w:tc>
        <w:tc>
          <w:tcPr>
            <w:tcW w:w="1134" w:type="dxa"/>
            <w:tcBorders>
              <w:top w:val="nil"/>
              <w:left w:val="nil"/>
              <w:bottom w:val="nil"/>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(12,449)</w:t>
            </w:r>
          </w:p>
        </w:tc>
        <w:tc>
          <w:tcPr>
            <w:tcW w:w="993" w:type="dxa"/>
            <w:tcBorders>
              <w:top w:val="nil"/>
              <w:left w:val="nil"/>
              <w:bottom w:val="nil"/>
              <w:right w:val="nil"/>
            </w:tcBorders>
            <w:shd w:val="clear" w:color="auto" w:fill="E0DCCB" w:themeFill="accent4" w:themeFillTint="66"/>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(11,965)</w:t>
            </w:r>
          </w:p>
        </w:tc>
        <w:tc>
          <w:tcPr>
            <w:tcW w:w="1134" w:type="dxa"/>
            <w:tcBorders>
              <w:top w:val="nil"/>
              <w:left w:val="nil"/>
              <w:bottom w:val="nil"/>
              <w:right w:val="nil"/>
            </w:tcBorders>
            <w:shd w:val="clear" w:color="auto" w:fill="auto"/>
            <w:vAlign w:val="center"/>
            <w:hideMark/>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(12,342)</w:t>
            </w:r>
          </w:p>
        </w:tc>
        <w:tc>
          <w:tcPr>
            <w:tcW w:w="1275" w:type="dxa"/>
            <w:tcBorders>
              <w:top w:val="nil"/>
              <w:left w:val="nil"/>
              <w:bottom w:val="nil"/>
              <w:right w:val="nil"/>
            </w:tcBorders>
            <w:shd w:val="clear" w:color="auto" w:fill="auto"/>
            <w:vAlign w:val="center"/>
          </w:tcPr>
          <w:p w:rsidR="000A0087" w:rsidRPr="007043E4" w:rsidRDefault="006B7D8A"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484</w:t>
            </w:r>
          </w:p>
        </w:tc>
        <w:tc>
          <w:tcPr>
            <w:tcW w:w="1349" w:type="dxa"/>
            <w:tcBorders>
              <w:top w:val="nil"/>
              <w:left w:val="nil"/>
              <w:bottom w:val="nil"/>
              <w:right w:val="nil"/>
            </w:tcBorders>
            <w:shd w:val="clear" w:color="auto" w:fill="auto"/>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377</w:t>
            </w:r>
          </w:p>
        </w:tc>
      </w:tr>
      <w:tr w:rsidR="000A0087" w:rsidRPr="007043E4" w:rsidTr="00913BB7">
        <w:trPr>
          <w:trHeight w:val="255"/>
        </w:trPr>
        <w:tc>
          <w:tcPr>
            <w:tcW w:w="2919" w:type="dxa"/>
            <w:tcBorders>
              <w:top w:val="nil"/>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i/>
                <w:iCs/>
                <w:sz w:val="20"/>
                <w:szCs w:val="20"/>
                <w:lang w:eastAsia="en-AU"/>
              </w:rPr>
            </w:pPr>
            <w:r w:rsidRPr="005D6BC7">
              <w:rPr>
                <w:rFonts w:ascii="Arial" w:eastAsia="Times New Roman" w:hAnsi="Arial" w:cs="Arial"/>
                <w:sz w:val="20"/>
                <w:szCs w:val="20"/>
                <w:lang w:eastAsia="en-AU"/>
              </w:rPr>
              <w:t>Supplies and services</w:t>
            </w:r>
          </w:p>
        </w:tc>
        <w:tc>
          <w:tcPr>
            <w:tcW w:w="1050" w:type="dxa"/>
            <w:tcBorders>
              <w:top w:val="nil"/>
              <w:left w:val="nil"/>
              <w:bottom w:val="nil"/>
              <w:right w:val="nil"/>
            </w:tcBorders>
            <w:vAlign w:val="center"/>
          </w:tcPr>
          <w:p w:rsidR="000A0087" w:rsidRPr="007043E4" w:rsidRDefault="006B7D8A"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13,Q</w:t>
            </w:r>
          </w:p>
        </w:tc>
        <w:tc>
          <w:tcPr>
            <w:tcW w:w="1134" w:type="dxa"/>
            <w:tcBorders>
              <w:top w:val="nil"/>
              <w:left w:val="nil"/>
              <w:bottom w:val="nil"/>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(2,246)</w:t>
            </w:r>
          </w:p>
        </w:tc>
        <w:tc>
          <w:tcPr>
            <w:tcW w:w="993" w:type="dxa"/>
            <w:tcBorders>
              <w:top w:val="nil"/>
              <w:left w:val="nil"/>
              <w:bottom w:val="nil"/>
              <w:right w:val="nil"/>
            </w:tcBorders>
            <w:shd w:val="clear" w:color="auto" w:fill="E0DCCB" w:themeFill="accent4" w:themeFillTint="66"/>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(2845)</w:t>
            </w:r>
          </w:p>
        </w:tc>
        <w:tc>
          <w:tcPr>
            <w:tcW w:w="1134" w:type="dxa"/>
            <w:tcBorders>
              <w:top w:val="nil"/>
              <w:left w:val="nil"/>
              <w:bottom w:val="nil"/>
              <w:right w:val="nil"/>
            </w:tcBorders>
            <w:shd w:val="clear" w:color="auto" w:fill="auto"/>
            <w:vAlign w:val="center"/>
            <w:hideMark/>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(2,577)</w:t>
            </w:r>
          </w:p>
        </w:tc>
        <w:tc>
          <w:tcPr>
            <w:tcW w:w="1275" w:type="dxa"/>
            <w:tcBorders>
              <w:top w:val="nil"/>
              <w:left w:val="nil"/>
              <w:bottom w:val="nil"/>
              <w:right w:val="nil"/>
            </w:tcBorders>
            <w:shd w:val="clear" w:color="auto" w:fill="auto"/>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599</w:t>
            </w:r>
          </w:p>
        </w:tc>
        <w:tc>
          <w:tcPr>
            <w:tcW w:w="1349" w:type="dxa"/>
            <w:tcBorders>
              <w:top w:val="nil"/>
              <w:left w:val="nil"/>
              <w:bottom w:val="nil"/>
              <w:right w:val="nil"/>
            </w:tcBorders>
            <w:shd w:val="clear" w:color="auto" w:fill="auto"/>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(268)</w:t>
            </w:r>
          </w:p>
        </w:tc>
      </w:tr>
      <w:tr w:rsidR="000A0087" w:rsidRPr="007043E4" w:rsidTr="00913BB7">
        <w:trPr>
          <w:trHeight w:val="270"/>
        </w:trPr>
        <w:tc>
          <w:tcPr>
            <w:tcW w:w="2919" w:type="dxa"/>
            <w:tcBorders>
              <w:top w:val="nil"/>
              <w:left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Pr>
                <w:rFonts w:ascii="Arial" w:eastAsia="Times New Roman" w:hAnsi="Arial" w:cs="Arial"/>
                <w:sz w:val="20"/>
                <w:szCs w:val="20"/>
                <w:lang w:eastAsia="en-AU"/>
              </w:rPr>
              <w:t>Grants</w:t>
            </w:r>
          </w:p>
        </w:tc>
        <w:tc>
          <w:tcPr>
            <w:tcW w:w="1050" w:type="dxa"/>
            <w:tcBorders>
              <w:top w:val="nil"/>
              <w:left w:val="nil"/>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p>
        </w:tc>
        <w:tc>
          <w:tcPr>
            <w:tcW w:w="1134" w:type="dxa"/>
            <w:tcBorders>
              <w:top w:val="nil"/>
              <w:left w:val="nil"/>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993" w:type="dxa"/>
            <w:tcBorders>
              <w:top w:val="nil"/>
              <w:left w:val="nil"/>
              <w:right w:val="nil"/>
            </w:tcBorders>
            <w:shd w:val="clear" w:color="auto" w:fill="E0DCCB" w:themeFill="accent4" w:themeFillTint="66"/>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134" w:type="dxa"/>
            <w:tcBorders>
              <w:top w:val="nil"/>
              <w:left w:val="nil"/>
              <w:right w:val="nil"/>
            </w:tcBorders>
            <w:shd w:val="clear" w:color="auto" w:fill="auto"/>
            <w:vAlign w:val="center"/>
            <w:hideMark/>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(110)</w:t>
            </w:r>
          </w:p>
        </w:tc>
        <w:tc>
          <w:tcPr>
            <w:tcW w:w="1275" w:type="dxa"/>
            <w:tcBorders>
              <w:top w:val="nil"/>
              <w:left w:val="nil"/>
              <w:right w:val="nil"/>
            </w:tcBorders>
            <w:shd w:val="clear" w:color="auto" w:fill="auto"/>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349" w:type="dxa"/>
            <w:tcBorders>
              <w:top w:val="nil"/>
              <w:left w:val="nil"/>
              <w:right w:val="nil"/>
            </w:tcBorders>
            <w:shd w:val="clear" w:color="auto" w:fill="auto"/>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110</w:t>
            </w:r>
          </w:p>
        </w:tc>
      </w:tr>
      <w:tr w:rsidR="000A0087" w:rsidRPr="007043E4" w:rsidTr="00913BB7">
        <w:trPr>
          <w:trHeight w:val="255"/>
        </w:trPr>
        <w:tc>
          <w:tcPr>
            <w:tcW w:w="2919" w:type="dxa"/>
            <w:tcBorders>
              <w:left w:val="nil"/>
              <w:bottom w:val="nil"/>
              <w:right w:val="nil"/>
            </w:tcBorders>
            <w:shd w:val="clear" w:color="auto" w:fill="auto"/>
            <w:vAlign w:val="center"/>
          </w:tcPr>
          <w:p w:rsidR="000A0087" w:rsidRPr="005D6BC7" w:rsidRDefault="000A0087" w:rsidP="00F6395E">
            <w:pPr>
              <w:pStyle w:val="Financials"/>
              <w:rPr>
                <w:rFonts w:ascii="Arial" w:eastAsia="Times New Roman" w:hAnsi="Arial" w:cs="Arial"/>
                <w:sz w:val="20"/>
                <w:szCs w:val="20"/>
                <w:lang w:eastAsia="en-AU"/>
              </w:rPr>
            </w:pPr>
            <w:r>
              <w:rPr>
                <w:rFonts w:ascii="Arial" w:eastAsia="Times New Roman" w:hAnsi="Arial" w:cs="Arial"/>
                <w:sz w:val="20"/>
                <w:szCs w:val="20"/>
                <w:lang w:eastAsia="en-AU"/>
              </w:rPr>
              <w:t>GST payments on purchases</w:t>
            </w:r>
          </w:p>
        </w:tc>
        <w:tc>
          <w:tcPr>
            <w:tcW w:w="1050" w:type="dxa"/>
            <w:tcBorders>
              <w:left w:val="nil"/>
              <w:bottom w:val="nil"/>
              <w:right w:val="nil"/>
            </w:tcBorders>
            <w:vAlign w:val="center"/>
          </w:tcPr>
          <w:p w:rsidR="000A0087" w:rsidRPr="007043E4" w:rsidRDefault="006B7D8A"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14</w:t>
            </w:r>
          </w:p>
        </w:tc>
        <w:tc>
          <w:tcPr>
            <w:tcW w:w="1134" w:type="dxa"/>
            <w:tcBorders>
              <w:left w:val="nil"/>
              <w:bottom w:val="nil"/>
              <w:right w:val="nil"/>
            </w:tcBorders>
            <w:vAlign w:val="center"/>
          </w:tcPr>
          <w:p w:rsidR="000A0087" w:rsidRDefault="006B7D8A"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993" w:type="dxa"/>
            <w:tcBorders>
              <w:left w:val="nil"/>
              <w:bottom w:val="nil"/>
              <w:right w:val="nil"/>
            </w:tcBorders>
            <w:shd w:val="clear" w:color="auto" w:fill="E0DCCB" w:themeFill="accent4" w:themeFillTint="66"/>
            <w:vAlign w:val="center"/>
          </w:tcPr>
          <w:p w:rsidR="000A0087"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(333)</w:t>
            </w:r>
          </w:p>
        </w:tc>
        <w:tc>
          <w:tcPr>
            <w:tcW w:w="1134" w:type="dxa"/>
            <w:tcBorders>
              <w:left w:val="nil"/>
              <w:bottom w:val="nil"/>
              <w:right w:val="nil"/>
            </w:tcBorders>
            <w:shd w:val="clear" w:color="auto" w:fill="auto"/>
            <w:vAlign w:val="center"/>
          </w:tcPr>
          <w:p w:rsidR="000A0087"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(216)</w:t>
            </w:r>
          </w:p>
        </w:tc>
        <w:tc>
          <w:tcPr>
            <w:tcW w:w="1275" w:type="dxa"/>
            <w:tcBorders>
              <w:left w:val="nil"/>
              <w:bottom w:val="nil"/>
              <w:right w:val="nil"/>
            </w:tcBorders>
            <w:shd w:val="clear" w:color="auto" w:fill="auto"/>
            <w:vAlign w:val="center"/>
          </w:tcPr>
          <w:p w:rsidR="000A0087" w:rsidRDefault="006B7D8A"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(334)</w:t>
            </w:r>
          </w:p>
        </w:tc>
        <w:tc>
          <w:tcPr>
            <w:tcW w:w="1349" w:type="dxa"/>
            <w:tcBorders>
              <w:left w:val="nil"/>
              <w:bottom w:val="nil"/>
              <w:right w:val="nil"/>
            </w:tcBorders>
            <w:shd w:val="clear" w:color="auto" w:fill="auto"/>
            <w:vAlign w:val="center"/>
          </w:tcPr>
          <w:p w:rsidR="000A0087"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(117)</w:t>
            </w:r>
          </w:p>
        </w:tc>
      </w:tr>
      <w:tr w:rsidR="000A0087" w:rsidRPr="007043E4" w:rsidTr="00913BB7">
        <w:trPr>
          <w:trHeight w:val="255"/>
        </w:trPr>
        <w:tc>
          <w:tcPr>
            <w:tcW w:w="2919" w:type="dxa"/>
            <w:tcBorders>
              <w:left w:val="nil"/>
              <w:bottom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Other payments</w:t>
            </w:r>
          </w:p>
        </w:tc>
        <w:tc>
          <w:tcPr>
            <w:tcW w:w="1050" w:type="dxa"/>
            <w:tcBorders>
              <w:left w:val="nil"/>
              <w:bottom w:val="nil"/>
              <w:right w:val="nil"/>
            </w:tcBorders>
            <w:vAlign w:val="center"/>
          </w:tcPr>
          <w:p w:rsidR="000A0087" w:rsidRPr="007043E4" w:rsidRDefault="006B7D8A"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R</w:t>
            </w:r>
          </w:p>
        </w:tc>
        <w:tc>
          <w:tcPr>
            <w:tcW w:w="1134" w:type="dxa"/>
            <w:tcBorders>
              <w:left w:val="nil"/>
              <w:bottom w:val="nil"/>
              <w:right w:val="nil"/>
            </w:tcBorders>
            <w:vAlign w:val="center"/>
          </w:tcPr>
          <w:p w:rsidR="000A0087" w:rsidRPr="007043E4" w:rsidRDefault="000A0087" w:rsidP="006B7D8A">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6B7D8A">
              <w:rPr>
                <w:rFonts w:ascii="Arial" w:eastAsia="Times New Roman" w:hAnsi="Arial" w:cs="Arial"/>
                <w:sz w:val="20"/>
                <w:szCs w:val="20"/>
                <w:lang w:eastAsia="en-AU"/>
              </w:rPr>
              <w:t>422</w:t>
            </w:r>
            <w:r>
              <w:rPr>
                <w:rFonts w:ascii="Arial" w:eastAsia="Times New Roman" w:hAnsi="Arial" w:cs="Arial"/>
                <w:sz w:val="20"/>
                <w:szCs w:val="20"/>
                <w:lang w:eastAsia="en-AU"/>
              </w:rPr>
              <w:t>)</w:t>
            </w:r>
          </w:p>
        </w:tc>
        <w:tc>
          <w:tcPr>
            <w:tcW w:w="993" w:type="dxa"/>
            <w:tcBorders>
              <w:left w:val="nil"/>
              <w:bottom w:val="nil"/>
              <w:right w:val="nil"/>
            </w:tcBorders>
            <w:shd w:val="clear" w:color="auto" w:fill="E0DCCB" w:themeFill="accent4" w:themeFillTint="66"/>
            <w:vAlign w:val="center"/>
          </w:tcPr>
          <w:p w:rsidR="000A0087" w:rsidRPr="007043E4" w:rsidRDefault="000A0087" w:rsidP="006B7D8A">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6B7D8A">
              <w:rPr>
                <w:rFonts w:ascii="Arial" w:eastAsia="Times New Roman" w:hAnsi="Arial" w:cs="Arial"/>
                <w:sz w:val="20"/>
                <w:szCs w:val="20"/>
                <w:lang w:eastAsia="en-AU"/>
              </w:rPr>
              <w:t>362</w:t>
            </w:r>
            <w:r>
              <w:rPr>
                <w:rFonts w:ascii="Arial" w:eastAsia="Times New Roman" w:hAnsi="Arial" w:cs="Arial"/>
                <w:sz w:val="20"/>
                <w:szCs w:val="20"/>
                <w:lang w:eastAsia="en-AU"/>
              </w:rPr>
              <w:t>)</w:t>
            </w:r>
          </w:p>
        </w:tc>
        <w:tc>
          <w:tcPr>
            <w:tcW w:w="1134" w:type="dxa"/>
            <w:tcBorders>
              <w:left w:val="nil"/>
              <w:bottom w:val="nil"/>
              <w:right w:val="nil"/>
            </w:tcBorders>
            <w:shd w:val="clear" w:color="auto" w:fill="auto"/>
            <w:vAlign w:val="center"/>
            <w:hideMark/>
          </w:tcPr>
          <w:p w:rsidR="000A0087" w:rsidRPr="007043E4" w:rsidRDefault="000A0087" w:rsidP="006B7D8A">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6B7D8A">
              <w:rPr>
                <w:rFonts w:ascii="Arial" w:eastAsia="Times New Roman" w:hAnsi="Arial" w:cs="Arial"/>
                <w:sz w:val="20"/>
                <w:szCs w:val="20"/>
                <w:lang w:eastAsia="en-AU"/>
              </w:rPr>
              <w:t>528</w:t>
            </w:r>
            <w:r>
              <w:rPr>
                <w:rFonts w:ascii="Arial" w:eastAsia="Times New Roman" w:hAnsi="Arial" w:cs="Arial"/>
                <w:sz w:val="20"/>
                <w:szCs w:val="20"/>
                <w:lang w:eastAsia="en-AU"/>
              </w:rPr>
              <w:t>)</w:t>
            </w:r>
          </w:p>
        </w:tc>
        <w:tc>
          <w:tcPr>
            <w:tcW w:w="1275" w:type="dxa"/>
            <w:tcBorders>
              <w:left w:val="nil"/>
              <w:bottom w:val="nil"/>
              <w:right w:val="nil"/>
            </w:tcBorders>
            <w:shd w:val="clear" w:color="auto" w:fill="auto"/>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6</w:t>
            </w:r>
            <w:r w:rsidR="006B7D8A">
              <w:rPr>
                <w:rFonts w:ascii="Arial" w:eastAsia="Times New Roman" w:hAnsi="Arial" w:cs="Arial"/>
                <w:sz w:val="20"/>
                <w:szCs w:val="20"/>
                <w:lang w:eastAsia="en-AU"/>
              </w:rPr>
              <w:t>0</w:t>
            </w:r>
          </w:p>
        </w:tc>
        <w:tc>
          <w:tcPr>
            <w:tcW w:w="1349" w:type="dxa"/>
            <w:tcBorders>
              <w:left w:val="nil"/>
              <w:bottom w:val="nil"/>
              <w:right w:val="nil"/>
            </w:tcBorders>
            <w:shd w:val="clear" w:color="auto" w:fill="auto"/>
            <w:vAlign w:val="center"/>
          </w:tcPr>
          <w:p w:rsidR="000A0087" w:rsidRPr="007043E4" w:rsidRDefault="006B7D8A"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166</w:t>
            </w:r>
          </w:p>
        </w:tc>
      </w:tr>
      <w:tr w:rsidR="000A0087" w:rsidRPr="007043E4" w:rsidTr="00913BB7">
        <w:trPr>
          <w:trHeight w:val="270"/>
        </w:trPr>
        <w:tc>
          <w:tcPr>
            <w:tcW w:w="2919" w:type="dxa"/>
            <w:tcBorders>
              <w:top w:val="nil"/>
              <w:left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b/>
                <w:bCs/>
                <w:sz w:val="20"/>
                <w:szCs w:val="20"/>
                <w:lang w:eastAsia="en-AU"/>
              </w:rPr>
              <w:t>Receipts</w:t>
            </w:r>
          </w:p>
        </w:tc>
        <w:tc>
          <w:tcPr>
            <w:tcW w:w="1050" w:type="dxa"/>
            <w:tcBorders>
              <w:top w:val="nil"/>
              <w:left w:val="nil"/>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p>
        </w:tc>
        <w:tc>
          <w:tcPr>
            <w:tcW w:w="1134" w:type="dxa"/>
            <w:tcBorders>
              <w:top w:val="nil"/>
              <w:left w:val="nil"/>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p>
        </w:tc>
        <w:tc>
          <w:tcPr>
            <w:tcW w:w="993" w:type="dxa"/>
            <w:tcBorders>
              <w:top w:val="nil"/>
              <w:left w:val="nil"/>
              <w:right w:val="nil"/>
            </w:tcBorders>
            <w:shd w:val="clear" w:color="auto" w:fill="E0DCCB" w:themeFill="accent4" w:themeFillTint="66"/>
            <w:vAlign w:val="center"/>
          </w:tcPr>
          <w:p w:rsidR="000A0087" w:rsidRPr="007043E4" w:rsidRDefault="000A0087" w:rsidP="00E13C59">
            <w:pPr>
              <w:pStyle w:val="Financials"/>
              <w:jc w:val="right"/>
              <w:rPr>
                <w:rFonts w:ascii="Arial" w:eastAsia="Times New Roman" w:hAnsi="Arial" w:cs="Arial"/>
                <w:sz w:val="20"/>
                <w:szCs w:val="20"/>
                <w:lang w:eastAsia="en-AU"/>
              </w:rPr>
            </w:pPr>
          </w:p>
        </w:tc>
        <w:tc>
          <w:tcPr>
            <w:tcW w:w="1134" w:type="dxa"/>
            <w:tcBorders>
              <w:top w:val="nil"/>
              <w:left w:val="nil"/>
              <w:right w:val="nil"/>
            </w:tcBorders>
            <w:shd w:val="clear" w:color="auto" w:fill="auto"/>
            <w:vAlign w:val="center"/>
            <w:hideMark/>
          </w:tcPr>
          <w:p w:rsidR="000A0087" w:rsidRPr="007043E4" w:rsidRDefault="000A0087" w:rsidP="00E13C59">
            <w:pPr>
              <w:pStyle w:val="Financials"/>
              <w:jc w:val="right"/>
              <w:rPr>
                <w:rFonts w:ascii="Arial" w:eastAsia="Times New Roman" w:hAnsi="Arial" w:cs="Arial"/>
                <w:sz w:val="20"/>
                <w:szCs w:val="20"/>
                <w:lang w:eastAsia="en-AU"/>
              </w:rPr>
            </w:pPr>
          </w:p>
        </w:tc>
        <w:tc>
          <w:tcPr>
            <w:tcW w:w="1275" w:type="dxa"/>
            <w:tcBorders>
              <w:top w:val="nil"/>
              <w:left w:val="nil"/>
              <w:right w:val="nil"/>
            </w:tcBorders>
            <w:shd w:val="clear" w:color="auto" w:fill="auto"/>
            <w:vAlign w:val="center"/>
          </w:tcPr>
          <w:p w:rsidR="000A0087" w:rsidRPr="007043E4" w:rsidRDefault="000A0087" w:rsidP="00E13C59">
            <w:pPr>
              <w:pStyle w:val="Financials"/>
              <w:jc w:val="right"/>
              <w:rPr>
                <w:rFonts w:ascii="Arial" w:eastAsia="Times New Roman" w:hAnsi="Arial" w:cs="Arial"/>
                <w:sz w:val="20"/>
                <w:szCs w:val="20"/>
                <w:lang w:eastAsia="en-AU"/>
              </w:rPr>
            </w:pPr>
          </w:p>
        </w:tc>
        <w:tc>
          <w:tcPr>
            <w:tcW w:w="1349" w:type="dxa"/>
            <w:tcBorders>
              <w:top w:val="nil"/>
              <w:left w:val="nil"/>
              <w:right w:val="nil"/>
            </w:tcBorders>
            <w:shd w:val="clear" w:color="auto" w:fill="auto"/>
            <w:vAlign w:val="center"/>
          </w:tcPr>
          <w:p w:rsidR="000A0087" w:rsidRPr="007043E4" w:rsidRDefault="000A0087" w:rsidP="00E13C59">
            <w:pPr>
              <w:pStyle w:val="Financials"/>
              <w:jc w:val="right"/>
              <w:rPr>
                <w:rFonts w:ascii="Arial" w:eastAsia="Times New Roman" w:hAnsi="Arial" w:cs="Arial"/>
                <w:sz w:val="20"/>
                <w:szCs w:val="20"/>
                <w:lang w:eastAsia="en-AU"/>
              </w:rPr>
            </w:pPr>
          </w:p>
        </w:tc>
      </w:tr>
      <w:tr w:rsidR="000A0087" w:rsidRPr="00876B04" w:rsidTr="00913BB7">
        <w:trPr>
          <w:trHeight w:val="270"/>
        </w:trPr>
        <w:tc>
          <w:tcPr>
            <w:tcW w:w="2919" w:type="dxa"/>
            <w:tcBorders>
              <w:left w:val="nil"/>
              <w:right w:val="nil"/>
            </w:tcBorders>
            <w:shd w:val="clear" w:color="auto" w:fill="auto"/>
            <w:vAlign w:val="center"/>
          </w:tcPr>
          <w:p w:rsidR="000A0087" w:rsidRPr="007043E4" w:rsidRDefault="000A0087" w:rsidP="00F6395E">
            <w:pPr>
              <w:pStyle w:val="Financials"/>
              <w:rPr>
                <w:rFonts w:ascii="Arial" w:eastAsia="Times New Roman" w:hAnsi="Arial" w:cs="Arial"/>
                <w:b/>
                <w:bCs/>
                <w:sz w:val="20"/>
                <w:szCs w:val="20"/>
                <w:lang w:eastAsia="en-AU"/>
              </w:rPr>
            </w:pPr>
            <w:r>
              <w:rPr>
                <w:rFonts w:ascii="Arial" w:eastAsia="Times New Roman" w:hAnsi="Arial" w:cs="Arial"/>
                <w:sz w:val="20"/>
                <w:szCs w:val="20"/>
                <w:lang w:eastAsia="en-AU"/>
              </w:rPr>
              <w:t>GST receipts</w:t>
            </w:r>
          </w:p>
        </w:tc>
        <w:tc>
          <w:tcPr>
            <w:tcW w:w="1050" w:type="dxa"/>
            <w:tcBorders>
              <w:left w:val="nil"/>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p>
        </w:tc>
        <w:tc>
          <w:tcPr>
            <w:tcW w:w="1134" w:type="dxa"/>
            <w:tcBorders>
              <w:left w:val="nil"/>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220</w:t>
            </w:r>
          </w:p>
        </w:tc>
        <w:tc>
          <w:tcPr>
            <w:tcW w:w="993" w:type="dxa"/>
            <w:tcBorders>
              <w:left w:val="nil"/>
              <w:right w:val="nil"/>
            </w:tcBorders>
            <w:shd w:val="clear" w:color="auto" w:fill="E0DCCB" w:themeFill="accent4" w:themeFillTint="66"/>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284</w:t>
            </w:r>
          </w:p>
        </w:tc>
        <w:tc>
          <w:tcPr>
            <w:tcW w:w="1134" w:type="dxa"/>
            <w:tcBorders>
              <w:left w:val="nil"/>
              <w:right w:val="nil"/>
            </w:tcBorders>
            <w:shd w:val="clear" w:color="auto" w:fill="auto"/>
            <w:vAlign w:val="center"/>
          </w:tcPr>
          <w:p w:rsidR="000A0087" w:rsidRPr="007043E4" w:rsidRDefault="000A0087" w:rsidP="00E13C59">
            <w:pPr>
              <w:pStyle w:val="Financials"/>
              <w:jc w:val="right"/>
              <w:rPr>
                <w:rFonts w:ascii="Arial" w:eastAsia="Times New Roman" w:hAnsi="Arial" w:cs="Arial"/>
                <w:b/>
                <w:bCs/>
                <w:sz w:val="20"/>
                <w:szCs w:val="20"/>
                <w:highlight w:val="yellow"/>
                <w:lang w:eastAsia="en-AU"/>
              </w:rPr>
            </w:pPr>
            <w:r>
              <w:rPr>
                <w:rFonts w:ascii="Arial" w:eastAsia="Times New Roman" w:hAnsi="Arial" w:cs="Arial"/>
                <w:sz w:val="20"/>
                <w:szCs w:val="20"/>
                <w:lang w:eastAsia="en-AU"/>
              </w:rPr>
              <w:t>278</w:t>
            </w:r>
          </w:p>
        </w:tc>
        <w:tc>
          <w:tcPr>
            <w:tcW w:w="1275" w:type="dxa"/>
            <w:tcBorders>
              <w:left w:val="nil"/>
              <w:right w:val="nil"/>
            </w:tcBorders>
            <w:shd w:val="clear" w:color="auto" w:fill="auto"/>
            <w:vAlign w:val="center"/>
          </w:tcPr>
          <w:p w:rsidR="000A0087" w:rsidRPr="007043E4" w:rsidRDefault="000A0087" w:rsidP="006B7D8A">
            <w:pPr>
              <w:pStyle w:val="Financials"/>
              <w:jc w:val="right"/>
              <w:rPr>
                <w:rFonts w:ascii="Arial" w:eastAsia="Times New Roman" w:hAnsi="Arial" w:cs="Arial"/>
                <w:b/>
                <w:bCs/>
                <w:sz w:val="20"/>
                <w:szCs w:val="20"/>
                <w:highlight w:val="yellow"/>
                <w:lang w:eastAsia="en-AU"/>
              </w:rPr>
            </w:pPr>
            <w:r>
              <w:rPr>
                <w:rFonts w:ascii="Arial" w:eastAsia="Times New Roman" w:hAnsi="Arial" w:cs="Arial"/>
                <w:sz w:val="20"/>
                <w:szCs w:val="20"/>
                <w:lang w:eastAsia="en-AU"/>
              </w:rPr>
              <w:t>64</w:t>
            </w:r>
          </w:p>
        </w:tc>
        <w:tc>
          <w:tcPr>
            <w:tcW w:w="1349" w:type="dxa"/>
            <w:tcBorders>
              <w:left w:val="nil"/>
              <w:right w:val="nil"/>
            </w:tcBorders>
            <w:shd w:val="clear" w:color="auto" w:fill="auto"/>
            <w:vAlign w:val="center"/>
          </w:tcPr>
          <w:p w:rsidR="000A0087" w:rsidRPr="00876B04" w:rsidRDefault="000A0087" w:rsidP="00E13C59">
            <w:pPr>
              <w:pStyle w:val="Financials"/>
              <w:jc w:val="right"/>
              <w:rPr>
                <w:rFonts w:ascii="Arial" w:eastAsia="Times New Roman" w:hAnsi="Arial" w:cs="Arial"/>
                <w:b/>
                <w:bCs/>
                <w:sz w:val="20"/>
                <w:szCs w:val="20"/>
                <w:lang w:eastAsia="en-AU"/>
              </w:rPr>
            </w:pPr>
            <w:r w:rsidRPr="00876B04">
              <w:rPr>
                <w:rFonts w:ascii="Arial" w:eastAsia="Times New Roman" w:hAnsi="Arial" w:cs="Arial"/>
                <w:b/>
                <w:bCs/>
                <w:sz w:val="20"/>
                <w:szCs w:val="20"/>
                <w:lang w:eastAsia="en-AU"/>
              </w:rPr>
              <w:t>6</w:t>
            </w:r>
          </w:p>
        </w:tc>
      </w:tr>
      <w:tr w:rsidR="000A0087" w:rsidRPr="007043E4" w:rsidTr="00913BB7">
        <w:trPr>
          <w:trHeight w:val="270"/>
        </w:trPr>
        <w:tc>
          <w:tcPr>
            <w:tcW w:w="2919" w:type="dxa"/>
            <w:tcBorders>
              <w:left w:val="nil"/>
              <w:bottom w:val="single" w:sz="4" w:space="0" w:color="E0DCCB" w:themeColor="accent4" w:themeTint="66"/>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Other receipts</w:t>
            </w:r>
          </w:p>
        </w:tc>
        <w:tc>
          <w:tcPr>
            <w:tcW w:w="1050" w:type="dxa"/>
            <w:tcBorders>
              <w:left w:val="nil"/>
              <w:bottom w:val="single" w:sz="4" w:space="0" w:color="E0DCCB" w:themeColor="accent4" w:themeTint="66"/>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p>
        </w:tc>
        <w:tc>
          <w:tcPr>
            <w:tcW w:w="1134" w:type="dxa"/>
            <w:tcBorders>
              <w:left w:val="nil"/>
              <w:bottom w:val="single" w:sz="4" w:space="0" w:color="E0DCCB" w:themeColor="accent4" w:themeTint="66"/>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150</w:t>
            </w:r>
          </w:p>
        </w:tc>
        <w:tc>
          <w:tcPr>
            <w:tcW w:w="993" w:type="dxa"/>
            <w:tcBorders>
              <w:left w:val="nil"/>
              <w:bottom w:val="single" w:sz="4" w:space="0" w:color="FFFFFF" w:themeColor="background1"/>
              <w:right w:val="nil"/>
            </w:tcBorders>
            <w:shd w:val="clear" w:color="auto" w:fill="E0DCCB" w:themeFill="accent4" w:themeFillTint="66"/>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87</w:t>
            </w:r>
          </w:p>
        </w:tc>
        <w:tc>
          <w:tcPr>
            <w:tcW w:w="1134" w:type="dxa"/>
            <w:tcBorders>
              <w:left w:val="nil"/>
              <w:bottom w:val="single" w:sz="4" w:space="0" w:color="E0DCCB" w:themeColor="accent4" w:themeTint="66"/>
              <w:right w:val="nil"/>
            </w:tcBorders>
            <w:shd w:val="clear" w:color="auto" w:fill="auto"/>
            <w:vAlign w:val="center"/>
            <w:hideMark/>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84</w:t>
            </w:r>
          </w:p>
        </w:tc>
        <w:tc>
          <w:tcPr>
            <w:tcW w:w="1275" w:type="dxa"/>
            <w:tcBorders>
              <w:left w:val="nil"/>
              <w:bottom w:val="single" w:sz="4" w:space="0" w:color="E0DCCB" w:themeColor="accent4" w:themeTint="66"/>
              <w:right w:val="nil"/>
            </w:tcBorders>
            <w:shd w:val="clear" w:color="auto" w:fill="auto"/>
            <w:vAlign w:val="center"/>
          </w:tcPr>
          <w:p w:rsidR="000A0087" w:rsidRPr="007043E4" w:rsidRDefault="006B7D8A"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0A0087">
              <w:rPr>
                <w:rFonts w:ascii="Arial" w:eastAsia="Times New Roman" w:hAnsi="Arial" w:cs="Arial"/>
                <w:sz w:val="20"/>
                <w:szCs w:val="20"/>
                <w:lang w:eastAsia="en-AU"/>
              </w:rPr>
              <w:t>63</w:t>
            </w:r>
            <w:r>
              <w:rPr>
                <w:rFonts w:ascii="Arial" w:eastAsia="Times New Roman" w:hAnsi="Arial" w:cs="Arial"/>
                <w:sz w:val="20"/>
                <w:szCs w:val="20"/>
                <w:lang w:eastAsia="en-AU"/>
              </w:rPr>
              <w:t>)</w:t>
            </w:r>
          </w:p>
        </w:tc>
        <w:tc>
          <w:tcPr>
            <w:tcW w:w="1349" w:type="dxa"/>
            <w:tcBorders>
              <w:left w:val="nil"/>
              <w:bottom w:val="single" w:sz="4" w:space="0" w:color="E0DCCB" w:themeColor="accent4" w:themeTint="66"/>
              <w:right w:val="nil"/>
            </w:tcBorders>
            <w:shd w:val="clear" w:color="auto" w:fill="auto"/>
            <w:vAlign w:val="center"/>
          </w:tcPr>
          <w:p w:rsidR="000A0087" w:rsidRPr="007043E4"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w:t>
            </w:r>
          </w:p>
        </w:tc>
      </w:tr>
      <w:tr w:rsidR="000A0087" w:rsidRPr="007043E4" w:rsidTr="00913BB7">
        <w:trPr>
          <w:trHeight w:val="255"/>
        </w:trPr>
        <w:tc>
          <w:tcPr>
            <w:tcW w:w="2919"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AA3D3B" w:rsidRDefault="000A0087" w:rsidP="00F6395E">
            <w:pPr>
              <w:pStyle w:val="Financials"/>
              <w:rPr>
                <w:rFonts w:ascii="Arial" w:eastAsia="Times New Roman" w:hAnsi="Arial" w:cs="Arial"/>
                <w:b/>
                <w:bCs/>
                <w:sz w:val="20"/>
                <w:szCs w:val="20"/>
                <w:lang w:eastAsia="en-AU"/>
              </w:rPr>
            </w:pPr>
            <w:r w:rsidRPr="00AA3D3B">
              <w:rPr>
                <w:rFonts w:ascii="Arial" w:eastAsia="Times New Roman" w:hAnsi="Arial" w:cs="Arial"/>
                <w:b/>
                <w:bCs/>
                <w:sz w:val="20"/>
                <w:szCs w:val="20"/>
                <w:lang w:eastAsia="en-AU"/>
              </w:rPr>
              <w:t>Net cash provided by/(used in) operating activities</w:t>
            </w:r>
          </w:p>
        </w:tc>
        <w:tc>
          <w:tcPr>
            <w:tcW w:w="1050" w:type="dxa"/>
            <w:tcBorders>
              <w:top w:val="single" w:sz="4" w:space="0" w:color="E0DCCB" w:themeColor="accent4" w:themeTint="66"/>
              <w:left w:val="nil"/>
              <w:bottom w:val="single" w:sz="4" w:space="0" w:color="E0DCCB" w:themeColor="accent4" w:themeTint="66"/>
              <w:right w:val="nil"/>
            </w:tcBorders>
            <w:vAlign w:val="center"/>
          </w:tcPr>
          <w:p w:rsidR="000A0087" w:rsidRPr="00AA3D3B" w:rsidRDefault="000A0087" w:rsidP="00E13C59">
            <w:pPr>
              <w:pStyle w:val="Financials"/>
              <w:jc w:val="right"/>
              <w:rPr>
                <w:rFonts w:ascii="Arial" w:eastAsia="Times New Roman" w:hAnsi="Arial" w:cs="Arial"/>
                <w:b/>
                <w:sz w:val="20"/>
                <w:szCs w:val="20"/>
                <w:lang w:eastAsia="en-AU"/>
              </w:rPr>
            </w:pPr>
          </w:p>
        </w:tc>
        <w:tc>
          <w:tcPr>
            <w:tcW w:w="1134" w:type="dxa"/>
            <w:tcBorders>
              <w:top w:val="single" w:sz="4" w:space="0" w:color="E0DCCB" w:themeColor="accent4" w:themeTint="66"/>
              <w:left w:val="nil"/>
              <w:bottom w:val="single" w:sz="4" w:space="0" w:color="E0DCCB" w:themeColor="accent4" w:themeTint="66"/>
              <w:right w:val="nil"/>
            </w:tcBorders>
            <w:vAlign w:val="center"/>
          </w:tcPr>
          <w:p w:rsidR="000A0087" w:rsidRPr="00AA3D3B" w:rsidRDefault="000A0087" w:rsidP="00E13C59">
            <w:pPr>
              <w:pStyle w:val="Financials"/>
              <w:jc w:val="right"/>
              <w:rPr>
                <w:rFonts w:ascii="Arial" w:eastAsia="Times New Roman" w:hAnsi="Arial" w:cs="Arial"/>
                <w:b/>
                <w:sz w:val="20"/>
                <w:szCs w:val="20"/>
                <w:lang w:eastAsia="en-AU"/>
              </w:rPr>
            </w:pPr>
            <w:r w:rsidRPr="00AA3D3B">
              <w:rPr>
                <w:rFonts w:ascii="Arial" w:eastAsia="Times New Roman" w:hAnsi="Arial" w:cs="Arial"/>
                <w:b/>
                <w:sz w:val="20"/>
                <w:szCs w:val="20"/>
                <w:lang w:eastAsia="en-AU"/>
              </w:rPr>
              <w:t>(14,747)</w:t>
            </w:r>
          </w:p>
        </w:tc>
        <w:tc>
          <w:tcPr>
            <w:tcW w:w="993" w:type="dxa"/>
            <w:tcBorders>
              <w:top w:val="single" w:sz="4" w:space="0" w:color="FFFFFF" w:themeColor="background1"/>
              <w:left w:val="nil"/>
              <w:bottom w:val="single" w:sz="4" w:space="0" w:color="E0DCCB" w:themeColor="accent4" w:themeTint="66"/>
              <w:right w:val="nil"/>
            </w:tcBorders>
            <w:shd w:val="clear" w:color="auto" w:fill="E0DCCB" w:themeFill="accent4" w:themeFillTint="66"/>
            <w:vAlign w:val="center"/>
          </w:tcPr>
          <w:p w:rsidR="000A0087" w:rsidRPr="00AA3D3B" w:rsidRDefault="000A0087" w:rsidP="00E13C59">
            <w:pPr>
              <w:pStyle w:val="Financials"/>
              <w:jc w:val="right"/>
              <w:rPr>
                <w:rFonts w:ascii="Arial" w:eastAsia="Times New Roman" w:hAnsi="Arial" w:cs="Arial"/>
                <w:b/>
                <w:sz w:val="20"/>
                <w:szCs w:val="20"/>
                <w:lang w:eastAsia="en-AU"/>
              </w:rPr>
            </w:pPr>
            <w:r w:rsidRPr="00AA3D3B">
              <w:rPr>
                <w:rFonts w:ascii="Arial" w:eastAsia="Times New Roman" w:hAnsi="Arial" w:cs="Arial"/>
                <w:b/>
                <w:sz w:val="20"/>
                <w:szCs w:val="20"/>
                <w:lang w:eastAsia="en-AU"/>
              </w:rPr>
              <w:t>(15,134)</w:t>
            </w:r>
          </w:p>
        </w:tc>
        <w:tc>
          <w:tcPr>
            <w:tcW w:w="1134" w:type="dxa"/>
            <w:tcBorders>
              <w:top w:val="single" w:sz="4" w:space="0" w:color="E0DCCB" w:themeColor="accent4" w:themeTint="66"/>
              <w:left w:val="nil"/>
              <w:bottom w:val="single" w:sz="4" w:space="0" w:color="E0DCCB" w:themeColor="accent4" w:themeTint="66"/>
              <w:right w:val="nil"/>
            </w:tcBorders>
            <w:shd w:val="clear" w:color="auto" w:fill="auto"/>
            <w:vAlign w:val="center"/>
            <w:hideMark/>
          </w:tcPr>
          <w:p w:rsidR="000A0087" w:rsidRPr="00AA3D3B" w:rsidRDefault="000A0087" w:rsidP="00E13C59">
            <w:pPr>
              <w:pStyle w:val="Financials"/>
              <w:jc w:val="right"/>
              <w:rPr>
                <w:rFonts w:ascii="Arial" w:eastAsia="Times New Roman" w:hAnsi="Arial" w:cs="Arial"/>
                <w:b/>
                <w:sz w:val="20"/>
                <w:szCs w:val="20"/>
                <w:lang w:eastAsia="en-AU"/>
              </w:rPr>
            </w:pPr>
            <w:r w:rsidRPr="00AA3D3B">
              <w:rPr>
                <w:rFonts w:ascii="Arial" w:eastAsia="Times New Roman" w:hAnsi="Arial" w:cs="Arial"/>
                <w:b/>
                <w:bCs/>
                <w:sz w:val="20"/>
                <w:szCs w:val="20"/>
                <w:lang w:eastAsia="en-AU"/>
              </w:rPr>
              <w:t>(15,411)</w:t>
            </w:r>
          </w:p>
        </w:tc>
        <w:tc>
          <w:tcPr>
            <w:tcW w:w="1275"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AA3D3B" w:rsidRDefault="00495FC3" w:rsidP="00E13C59">
            <w:pPr>
              <w:pStyle w:val="Financials"/>
              <w:jc w:val="right"/>
              <w:rPr>
                <w:rFonts w:ascii="Arial" w:eastAsia="Times New Roman" w:hAnsi="Arial" w:cs="Arial"/>
                <w:b/>
                <w:sz w:val="20"/>
                <w:szCs w:val="20"/>
                <w:lang w:eastAsia="en-AU"/>
              </w:rPr>
            </w:pPr>
            <w:r>
              <w:rPr>
                <w:rFonts w:ascii="Arial" w:eastAsia="Times New Roman" w:hAnsi="Arial" w:cs="Arial"/>
                <w:b/>
                <w:bCs/>
                <w:sz w:val="20"/>
                <w:szCs w:val="20"/>
                <w:lang w:eastAsia="en-AU"/>
              </w:rPr>
              <w:t>(387)</w:t>
            </w:r>
          </w:p>
        </w:tc>
        <w:tc>
          <w:tcPr>
            <w:tcW w:w="1349"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AA3D3B" w:rsidRDefault="000A0087" w:rsidP="00495FC3">
            <w:pPr>
              <w:pStyle w:val="Financials"/>
              <w:jc w:val="right"/>
              <w:rPr>
                <w:rFonts w:ascii="Arial" w:eastAsia="Times New Roman" w:hAnsi="Arial" w:cs="Arial"/>
                <w:b/>
                <w:sz w:val="20"/>
                <w:szCs w:val="20"/>
                <w:lang w:eastAsia="en-AU"/>
              </w:rPr>
            </w:pPr>
            <w:r w:rsidRPr="00AA3D3B">
              <w:rPr>
                <w:rFonts w:ascii="Arial" w:eastAsia="Times New Roman" w:hAnsi="Arial" w:cs="Arial"/>
                <w:b/>
                <w:sz w:val="20"/>
                <w:szCs w:val="20"/>
                <w:lang w:eastAsia="en-AU"/>
              </w:rPr>
              <w:t>2</w:t>
            </w:r>
            <w:r w:rsidR="00495FC3">
              <w:rPr>
                <w:rFonts w:ascii="Arial" w:eastAsia="Times New Roman" w:hAnsi="Arial" w:cs="Arial"/>
                <w:b/>
                <w:sz w:val="20"/>
                <w:szCs w:val="20"/>
                <w:lang w:eastAsia="en-AU"/>
              </w:rPr>
              <w:t>77</w:t>
            </w:r>
          </w:p>
        </w:tc>
      </w:tr>
      <w:tr w:rsidR="000A0087" w:rsidRPr="007043E4" w:rsidTr="00913BB7">
        <w:trPr>
          <w:trHeight w:val="255"/>
        </w:trPr>
        <w:tc>
          <w:tcPr>
            <w:tcW w:w="0" w:type="auto"/>
            <w:gridSpan w:val="7"/>
            <w:tcBorders>
              <w:top w:val="nil"/>
              <w:left w:val="nil"/>
              <w:bottom w:val="nil"/>
              <w:right w:val="nil"/>
            </w:tcBorders>
            <w:shd w:val="clear" w:color="auto" w:fill="auto"/>
            <w:vAlign w:val="center"/>
            <w:hideMark/>
          </w:tcPr>
          <w:p w:rsidR="001A6712" w:rsidRDefault="001A6712" w:rsidP="00F6395E">
            <w:pPr>
              <w:pStyle w:val="Financials"/>
              <w:rPr>
                <w:rFonts w:ascii="Arial" w:eastAsia="Times New Roman" w:hAnsi="Arial" w:cs="Arial"/>
                <w:b/>
                <w:bCs/>
                <w:sz w:val="20"/>
                <w:szCs w:val="20"/>
                <w:lang w:eastAsia="en-AU"/>
              </w:rPr>
            </w:pPr>
          </w:p>
          <w:p w:rsidR="000A0087" w:rsidRPr="007043E4" w:rsidRDefault="000A0087" w:rsidP="00F6395E">
            <w:pPr>
              <w:pStyle w:val="Financials"/>
              <w:rPr>
                <w:rFonts w:ascii="Arial" w:eastAsia="Times New Roman" w:hAnsi="Arial" w:cs="Arial"/>
                <w:sz w:val="20"/>
                <w:szCs w:val="20"/>
                <w:lang w:eastAsia="en-AU"/>
              </w:rPr>
            </w:pPr>
            <w:r w:rsidRPr="009B4A90">
              <w:rPr>
                <w:rFonts w:ascii="Arial" w:eastAsia="Times New Roman" w:hAnsi="Arial" w:cs="Arial"/>
                <w:b/>
                <w:bCs/>
                <w:sz w:val="20"/>
                <w:szCs w:val="20"/>
                <w:lang w:eastAsia="en-AU"/>
              </w:rPr>
              <w:t>CASH FLOWS FROM INVESTING ACTIVITIES</w:t>
            </w:r>
          </w:p>
        </w:tc>
      </w:tr>
      <w:tr w:rsidR="000A0087" w:rsidRPr="007043E4" w:rsidTr="00913BB7">
        <w:trPr>
          <w:trHeight w:val="270"/>
        </w:trPr>
        <w:tc>
          <w:tcPr>
            <w:tcW w:w="2919" w:type="dxa"/>
            <w:tcBorders>
              <w:top w:val="nil"/>
              <w:left w:val="nil"/>
              <w:right w:val="nil"/>
            </w:tcBorders>
            <w:shd w:val="clear" w:color="auto" w:fill="auto"/>
            <w:vAlign w:val="center"/>
            <w:hideMark/>
          </w:tcPr>
          <w:p w:rsidR="000A0087" w:rsidRPr="009952CE" w:rsidRDefault="000A0087" w:rsidP="00F6395E">
            <w:pPr>
              <w:pStyle w:val="Financials"/>
            </w:pPr>
            <w:r w:rsidRPr="005D6BC7">
              <w:rPr>
                <w:b/>
                <w:bCs/>
              </w:rPr>
              <w:t>Payments</w:t>
            </w:r>
          </w:p>
        </w:tc>
        <w:tc>
          <w:tcPr>
            <w:tcW w:w="1050" w:type="dxa"/>
            <w:tcBorders>
              <w:top w:val="nil"/>
              <w:left w:val="nil"/>
              <w:right w:val="nil"/>
            </w:tcBorders>
            <w:vAlign w:val="center"/>
          </w:tcPr>
          <w:p w:rsidR="000A0087" w:rsidRPr="007043E4" w:rsidRDefault="000A0087" w:rsidP="00F6395E">
            <w:pPr>
              <w:pStyle w:val="Financials"/>
              <w:rPr>
                <w:rFonts w:ascii="Arial" w:eastAsia="Times New Roman" w:hAnsi="Arial" w:cs="Arial"/>
                <w:sz w:val="20"/>
                <w:szCs w:val="20"/>
                <w:lang w:eastAsia="en-AU"/>
              </w:rPr>
            </w:pPr>
          </w:p>
        </w:tc>
        <w:tc>
          <w:tcPr>
            <w:tcW w:w="1134" w:type="dxa"/>
            <w:tcBorders>
              <w:top w:val="nil"/>
              <w:left w:val="nil"/>
              <w:right w:val="nil"/>
            </w:tcBorders>
            <w:vAlign w:val="center"/>
          </w:tcPr>
          <w:p w:rsidR="000A0087" w:rsidRPr="007043E4" w:rsidRDefault="000A0087" w:rsidP="00F6395E">
            <w:pPr>
              <w:pStyle w:val="Financials"/>
              <w:rPr>
                <w:rFonts w:ascii="Arial" w:eastAsia="Times New Roman" w:hAnsi="Arial" w:cs="Arial"/>
                <w:sz w:val="20"/>
                <w:szCs w:val="20"/>
                <w:lang w:eastAsia="en-AU"/>
              </w:rPr>
            </w:pPr>
          </w:p>
        </w:tc>
        <w:tc>
          <w:tcPr>
            <w:tcW w:w="993" w:type="dxa"/>
            <w:tcBorders>
              <w:top w:val="nil"/>
              <w:left w:val="nil"/>
              <w:right w:val="nil"/>
            </w:tcBorders>
            <w:vAlign w:val="center"/>
          </w:tcPr>
          <w:p w:rsidR="000A0087" w:rsidRPr="007043E4" w:rsidRDefault="000A0087" w:rsidP="00F6395E">
            <w:pPr>
              <w:pStyle w:val="Financials"/>
              <w:rPr>
                <w:rFonts w:ascii="Arial" w:eastAsia="Times New Roman" w:hAnsi="Arial" w:cs="Arial"/>
                <w:sz w:val="20"/>
                <w:szCs w:val="20"/>
                <w:lang w:eastAsia="en-AU"/>
              </w:rPr>
            </w:pPr>
          </w:p>
        </w:tc>
        <w:tc>
          <w:tcPr>
            <w:tcW w:w="1134" w:type="dxa"/>
            <w:tcBorders>
              <w:top w:val="nil"/>
              <w:left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p>
        </w:tc>
        <w:tc>
          <w:tcPr>
            <w:tcW w:w="1275" w:type="dxa"/>
            <w:tcBorders>
              <w:top w:val="nil"/>
              <w:left w:val="nil"/>
              <w:right w:val="nil"/>
            </w:tcBorders>
            <w:shd w:val="clear" w:color="auto" w:fill="auto"/>
            <w:vAlign w:val="center"/>
          </w:tcPr>
          <w:p w:rsidR="000A0087" w:rsidRPr="007043E4" w:rsidRDefault="000A0087" w:rsidP="00F6395E">
            <w:pPr>
              <w:pStyle w:val="Financials"/>
              <w:rPr>
                <w:rFonts w:ascii="Arial" w:eastAsia="Times New Roman" w:hAnsi="Arial" w:cs="Arial"/>
                <w:sz w:val="20"/>
                <w:szCs w:val="20"/>
                <w:lang w:eastAsia="en-AU"/>
              </w:rPr>
            </w:pPr>
          </w:p>
        </w:tc>
        <w:tc>
          <w:tcPr>
            <w:tcW w:w="1349" w:type="dxa"/>
            <w:tcBorders>
              <w:top w:val="nil"/>
              <w:left w:val="nil"/>
              <w:right w:val="nil"/>
            </w:tcBorders>
            <w:shd w:val="clear" w:color="auto" w:fill="auto"/>
            <w:vAlign w:val="center"/>
            <w:hideMark/>
          </w:tcPr>
          <w:p w:rsidR="000A0087" w:rsidRPr="007043E4" w:rsidRDefault="000A0087" w:rsidP="00F6395E">
            <w:pPr>
              <w:pStyle w:val="Financials"/>
              <w:rPr>
                <w:rFonts w:ascii="Arial" w:eastAsia="Times New Roman" w:hAnsi="Arial" w:cs="Arial"/>
                <w:sz w:val="20"/>
                <w:szCs w:val="20"/>
                <w:lang w:eastAsia="en-AU"/>
              </w:rPr>
            </w:pPr>
          </w:p>
        </w:tc>
      </w:tr>
      <w:tr w:rsidR="000A0087" w:rsidRPr="00D578E2" w:rsidTr="00913BB7">
        <w:trPr>
          <w:trHeight w:val="270"/>
        </w:trPr>
        <w:tc>
          <w:tcPr>
            <w:tcW w:w="2919" w:type="dxa"/>
            <w:tcBorders>
              <w:left w:val="nil"/>
              <w:right w:val="nil"/>
            </w:tcBorders>
            <w:shd w:val="clear" w:color="auto" w:fill="auto"/>
            <w:hideMark/>
          </w:tcPr>
          <w:p w:rsidR="000A0087" w:rsidRPr="00D578E2" w:rsidRDefault="000A0087" w:rsidP="00495FC3">
            <w:pPr>
              <w:pStyle w:val="Financials"/>
              <w:rPr>
                <w:rFonts w:ascii="Arial" w:eastAsia="Times New Roman" w:hAnsi="Arial" w:cs="Arial"/>
                <w:b/>
                <w:bCs/>
                <w:sz w:val="8"/>
                <w:szCs w:val="8"/>
                <w:lang w:eastAsia="en-AU"/>
              </w:rPr>
            </w:pPr>
            <w:r w:rsidRPr="005D6BC7">
              <w:rPr>
                <w:rFonts w:ascii="Arial" w:eastAsia="Times New Roman" w:hAnsi="Arial" w:cs="Arial"/>
                <w:sz w:val="20"/>
                <w:szCs w:val="20"/>
                <w:lang w:eastAsia="en-AU"/>
              </w:rPr>
              <w:t>Purchase of non-current physical assets</w:t>
            </w:r>
          </w:p>
        </w:tc>
        <w:tc>
          <w:tcPr>
            <w:tcW w:w="1050" w:type="dxa"/>
            <w:tcBorders>
              <w:left w:val="nil"/>
              <w:right w:val="nil"/>
            </w:tcBorders>
          </w:tcPr>
          <w:p w:rsidR="000A0087" w:rsidRPr="00EE0500" w:rsidRDefault="000A0087" w:rsidP="00495FC3">
            <w:pPr>
              <w:pStyle w:val="Financials"/>
              <w:jc w:val="right"/>
              <w:rPr>
                <w:rFonts w:ascii="Arial" w:eastAsia="Times New Roman" w:hAnsi="Arial" w:cs="Arial"/>
                <w:sz w:val="20"/>
                <w:szCs w:val="20"/>
                <w:lang w:eastAsia="en-AU"/>
              </w:rPr>
            </w:pPr>
          </w:p>
        </w:tc>
        <w:tc>
          <w:tcPr>
            <w:tcW w:w="1134" w:type="dxa"/>
            <w:tcBorders>
              <w:left w:val="nil"/>
              <w:right w:val="nil"/>
            </w:tcBorders>
          </w:tcPr>
          <w:p w:rsidR="000A0087" w:rsidRPr="00EE0500" w:rsidRDefault="000A0087"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(146)</w:t>
            </w:r>
          </w:p>
        </w:tc>
        <w:tc>
          <w:tcPr>
            <w:tcW w:w="993" w:type="dxa"/>
            <w:tcBorders>
              <w:left w:val="nil"/>
              <w:right w:val="nil"/>
            </w:tcBorders>
            <w:shd w:val="clear" w:color="auto" w:fill="E0DCCB" w:themeFill="accent4" w:themeFillTint="66"/>
          </w:tcPr>
          <w:p w:rsidR="000A0087" w:rsidRPr="00EE0500" w:rsidRDefault="000A0087"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(130)</w:t>
            </w:r>
          </w:p>
        </w:tc>
        <w:tc>
          <w:tcPr>
            <w:tcW w:w="1134" w:type="dxa"/>
            <w:tcBorders>
              <w:left w:val="nil"/>
              <w:right w:val="nil"/>
            </w:tcBorders>
            <w:shd w:val="clear" w:color="auto" w:fill="auto"/>
            <w:hideMark/>
          </w:tcPr>
          <w:p w:rsidR="000A0087" w:rsidRPr="00D578E2" w:rsidRDefault="000A0087" w:rsidP="00495FC3">
            <w:pPr>
              <w:pStyle w:val="Financials"/>
              <w:jc w:val="right"/>
              <w:rPr>
                <w:rFonts w:ascii="Arial" w:eastAsia="Times New Roman" w:hAnsi="Arial" w:cs="Arial"/>
                <w:sz w:val="8"/>
                <w:szCs w:val="8"/>
                <w:lang w:eastAsia="en-AU"/>
              </w:rPr>
            </w:pPr>
            <w:r w:rsidRPr="005D6BC7">
              <w:rPr>
                <w:rFonts w:ascii="Arial" w:eastAsia="Times New Roman" w:hAnsi="Arial" w:cs="Arial"/>
                <w:sz w:val="20"/>
                <w:szCs w:val="20"/>
                <w:lang w:eastAsia="en-AU"/>
              </w:rPr>
              <w:t>(</w:t>
            </w:r>
            <w:r>
              <w:rPr>
                <w:rFonts w:ascii="Arial" w:eastAsia="Times New Roman" w:hAnsi="Arial" w:cs="Arial"/>
                <w:sz w:val="20"/>
                <w:szCs w:val="20"/>
                <w:lang w:eastAsia="en-AU"/>
              </w:rPr>
              <w:t>152</w:t>
            </w:r>
            <w:r w:rsidRPr="005D6BC7">
              <w:rPr>
                <w:rFonts w:ascii="Arial" w:eastAsia="Times New Roman" w:hAnsi="Arial" w:cs="Arial"/>
                <w:sz w:val="20"/>
                <w:szCs w:val="20"/>
                <w:lang w:eastAsia="en-AU"/>
              </w:rPr>
              <w:t>)</w:t>
            </w:r>
          </w:p>
        </w:tc>
        <w:tc>
          <w:tcPr>
            <w:tcW w:w="1275" w:type="dxa"/>
            <w:tcBorders>
              <w:left w:val="nil"/>
              <w:right w:val="nil"/>
            </w:tcBorders>
            <w:shd w:val="clear" w:color="auto" w:fill="auto"/>
          </w:tcPr>
          <w:p w:rsidR="000A0087" w:rsidRPr="00D578E2" w:rsidRDefault="000A0087" w:rsidP="00495FC3">
            <w:pPr>
              <w:pStyle w:val="Financials"/>
              <w:jc w:val="right"/>
              <w:rPr>
                <w:rFonts w:ascii="Arial" w:eastAsia="Times New Roman" w:hAnsi="Arial" w:cs="Arial"/>
                <w:b/>
                <w:bCs/>
                <w:sz w:val="8"/>
                <w:szCs w:val="8"/>
                <w:lang w:eastAsia="en-AU"/>
              </w:rPr>
            </w:pPr>
            <w:r>
              <w:rPr>
                <w:rFonts w:ascii="Arial" w:eastAsia="Times New Roman" w:hAnsi="Arial" w:cs="Arial"/>
                <w:sz w:val="20"/>
                <w:szCs w:val="20"/>
                <w:lang w:eastAsia="en-AU"/>
              </w:rPr>
              <w:t>16</w:t>
            </w:r>
          </w:p>
        </w:tc>
        <w:tc>
          <w:tcPr>
            <w:tcW w:w="1349" w:type="dxa"/>
            <w:tcBorders>
              <w:left w:val="nil"/>
              <w:right w:val="nil"/>
            </w:tcBorders>
            <w:shd w:val="clear" w:color="auto" w:fill="auto"/>
            <w:hideMark/>
          </w:tcPr>
          <w:p w:rsidR="000A0087" w:rsidRPr="00D915C0" w:rsidRDefault="000A0087" w:rsidP="00495FC3">
            <w:pPr>
              <w:pStyle w:val="Financials"/>
              <w:jc w:val="right"/>
              <w:rPr>
                <w:rFonts w:ascii="Arial" w:eastAsia="Times New Roman" w:hAnsi="Arial" w:cs="Arial"/>
                <w:sz w:val="20"/>
                <w:szCs w:val="20"/>
                <w:lang w:eastAsia="en-AU"/>
              </w:rPr>
            </w:pPr>
            <w:r w:rsidRPr="00D915C0">
              <w:rPr>
                <w:rFonts w:ascii="Arial" w:eastAsia="Times New Roman" w:hAnsi="Arial" w:cs="Arial"/>
                <w:sz w:val="20"/>
                <w:szCs w:val="20"/>
                <w:lang w:eastAsia="en-AU"/>
              </w:rPr>
              <w:t>22</w:t>
            </w:r>
          </w:p>
        </w:tc>
      </w:tr>
      <w:tr w:rsidR="000A0087" w:rsidRPr="007043E4" w:rsidTr="00913BB7">
        <w:trPr>
          <w:trHeight w:val="270"/>
        </w:trPr>
        <w:tc>
          <w:tcPr>
            <w:tcW w:w="2919" w:type="dxa"/>
            <w:tcBorders>
              <w:left w:val="nil"/>
              <w:right w:val="nil"/>
            </w:tcBorders>
            <w:shd w:val="clear" w:color="auto" w:fill="auto"/>
            <w:vAlign w:val="center"/>
            <w:hideMark/>
          </w:tcPr>
          <w:p w:rsidR="000A0087" w:rsidRPr="007043E4" w:rsidRDefault="000A0087" w:rsidP="00F6395E">
            <w:pPr>
              <w:pStyle w:val="Financials"/>
              <w:rPr>
                <w:rFonts w:ascii="Arial" w:eastAsia="Times New Roman" w:hAnsi="Arial" w:cs="Arial"/>
                <w:b/>
                <w:bCs/>
                <w:sz w:val="20"/>
                <w:szCs w:val="20"/>
                <w:lang w:eastAsia="en-AU"/>
              </w:rPr>
            </w:pPr>
            <w:r w:rsidRPr="005D6BC7">
              <w:rPr>
                <w:rFonts w:ascii="Arial" w:eastAsia="Times New Roman" w:hAnsi="Arial" w:cs="Arial"/>
                <w:b/>
                <w:bCs/>
                <w:sz w:val="20"/>
                <w:szCs w:val="20"/>
                <w:lang w:eastAsia="en-AU"/>
              </w:rPr>
              <w:t>Receipts</w:t>
            </w:r>
          </w:p>
        </w:tc>
        <w:tc>
          <w:tcPr>
            <w:tcW w:w="1050" w:type="dxa"/>
            <w:tcBorders>
              <w:left w:val="nil"/>
              <w:right w:val="nil"/>
            </w:tcBorders>
            <w:vAlign w:val="center"/>
          </w:tcPr>
          <w:p w:rsidR="000A0087" w:rsidRPr="007043E4" w:rsidRDefault="000A0087" w:rsidP="00F6395E">
            <w:pPr>
              <w:pStyle w:val="Financials"/>
              <w:rPr>
                <w:rFonts w:ascii="Arial" w:eastAsia="Times New Roman" w:hAnsi="Arial" w:cs="Arial"/>
                <w:sz w:val="20"/>
                <w:szCs w:val="20"/>
                <w:lang w:eastAsia="en-AU"/>
              </w:rPr>
            </w:pPr>
          </w:p>
        </w:tc>
        <w:tc>
          <w:tcPr>
            <w:tcW w:w="1134" w:type="dxa"/>
            <w:tcBorders>
              <w:left w:val="nil"/>
              <w:right w:val="nil"/>
            </w:tcBorders>
            <w:vAlign w:val="center"/>
          </w:tcPr>
          <w:p w:rsidR="000A0087" w:rsidRPr="007043E4" w:rsidRDefault="000A0087" w:rsidP="00E13C59">
            <w:pPr>
              <w:pStyle w:val="Financials"/>
              <w:jc w:val="right"/>
              <w:rPr>
                <w:rFonts w:ascii="Arial" w:eastAsia="Times New Roman" w:hAnsi="Arial" w:cs="Arial"/>
                <w:sz w:val="20"/>
                <w:szCs w:val="20"/>
                <w:lang w:eastAsia="en-AU"/>
              </w:rPr>
            </w:pPr>
          </w:p>
        </w:tc>
        <w:tc>
          <w:tcPr>
            <w:tcW w:w="993" w:type="dxa"/>
            <w:tcBorders>
              <w:left w:val="nil"/>
              <w:right w:val="nil"/>
            </w:tcBorders>
            <w:shd w:val="clear" w:color="auto" w:fill="E0DCCB" w:themeFill="accent4" w:themeFillTint="66"/>
            <w:vAlign w:val="center"/>
          </w:tcPr>
          <w:p w:rsidR="000A0087" w:rsidRPr="007043E4" w:rsidRDefault="000A0087" w:rsidP="00E13C59">
            <w:pPr>
              <w:pStyle w:val="Financials"/>
              <w:jc w:val="right"/>
              <w:rPr>
                <w:rFonts w:ascii="Arial" w:eastAsia="Times New Roman" w:hAnsi="Arial" w:cs="Arial"/>
                <w:sz w:val="20"/>
                <w:szCs w:val="20"/>
                <w:lang w:eastAsia="en-AU"/>
              </w:rPr>
            </w:pPr>
          </w:p>
        </w:tc>
        <w:tc>
          <w:tcPr>
            <w:tcW w:w="1134" w:type="dxa"/>
            <w:tcBorders>
              <w:left w:val="nil"/>
              <w:right w:val="nil"/>
            </w:tcBorders>
            <w:shd w:val="clear" w:color="auto" w:fill="auto"/>
            <w:vAlign w:val="center"/>
            <w:hideMark/>
          </w:tcPr>
          <w:p w:rsidR="000A0087" w:rsidRPr="007043E4" w:rsidRDefault="000A0087" w:rsidP="00E13C59">
            <w:pPr>
              <w:pStyle w:val="Financials"/>
              <w:jc w:val="right"/>
              <w:rPr>
                <w:rFonts w:ascii="Arial" w:eastAsia="Times New Roman" w:hAnsi="Arial" w:cs="Arial"/>
                <w:sz w:val="20"/>
                <w:szCs w:val="20"/>
                <w:lang w:eastAsia="en-AU"/>
              </w:rPr>
            </w:pPr>
          </w:p>
        </w:tc>
        <w:tc>
          <w:tcPr>
            <w:tcW w:w="1275" w:type="dxa"/>
            <w:tcBorders>
              <w:left w:val="nil"/>
              <w:right w:val="nil"/>
            </w:tcBorders>
            <w:shd w:val="clear" w:color="auto" w:fill="auto"/>
            <w:vAlign w:val="center"/>
          </w:tcPr>
          <w:p w:rsidR="000A0087" w:rsidRPr="007043E4" w:rsidRDefault="000A0087" w:rsidP="00E13C59">
            <w:pPr>
              <w:pStyle w:val="Financials"/>
              <w:jc w:val="right"/>
              <w:rPr>
                <w:rFonts w:ascii="Arial" w:eastAsia="Times New Roman" w:hAnsi="Arial" w:cs="Arial"/>
                <w:b/>
                <w:bCs/>
                <w:sz w:val="20"/>
                <w:szCs w:val="20"/>
                <w:highlight w:val="yellow"/>
                <w:lang w:eastAsia="en-AU"/>
              </w:rPr>
            </w:pPr>
          </w:p>
        </w:tc>
        <w:tc>
          <w:tcPr>
            <w:tcW w:w="1349" w:type="dxa"/>
            <w:tcBorders>
              <w:left w:val="nil"/>
              <w:right w:val="nil"/>
            </w:tcBorders>
            <w:shd w:val="clear" w:color="auto" w:fill="auto"/>
            <w:vAlign w:val="center"/>
            <w:hideMark/>
          </w:tcPr>
          <w:p w:rsidR="000A0087" w:rsidRPr="007043E4" w:rsidRDefault="000A0087" w:rsidP="00E13C59">
            <w:pPr>
              <w:pStyle w:val="Financials"/>
              <w:jc w:val="right"/>
              <w:rPr>
                <w:rFonts w:ascii="Arial" w:eastAsia="Times New Roman" w:hAnsi="Arial" w:cs="Arial"/>
                <w:b/>
                <w:bCs/>
                <w:sz w:val="20"/>
                <w:szCs w:val="20"/>
                <w:lang w:eastAsia="en-AU"/>
              </w:rPr>
            </w:pPr>
          </w:p>
        </w:tc>
      </w:tr>
      <w:tr w:rsidR="000A0087" w:rsidRPr="007043E4" w:rsidTr="00913BB7">
        <w:trPr>
          <w:trHeight w:val="285"/>
        </w:trPr>
        <w:tc>
          <w:tcPr>
            <w:tcW w:w="2919" w:type="dxa"/>
            <w:tcBorders>
              <w:left w:val="nil"/>
              <w:bottom w:val="single" w:sz="4" w:space="0" w:color="E0DCCB" w:themeColor="accent4" w:themeTint="66"/>
              <w:right w:val="nil"/>
            </w:tcBorders>
            <w:shd w:val="clear" w:color="auto" w:fill="auto"/>
            <w:hideMark/>
          </w:tcPr>
          <w:p w:rsidR="000A0087" w:rsidRPr="007043E4" w:rsidRDefault="000A0087" w:rsidP="00495FC3">
            <w:pPr>
              <w:pStyle w:val="Financials"/>
              <w:rPr>
                <w:rFonts w:ascii="Arial" w:eastAsia="Times New Roman" w:hAnsi="Arial" w:cs="Arial"/>
                <w:b/>
                <w:bCs/>
                <w:sz w:val="20"/>
                <w:szCs w:val="20"/>
                <w:lang w:eastAsia="en-AU"/>
              </w:rPr>
            </w:pPr>
            <w:r w:rsidRPr="005D6BC7">
              <w:rPr>
                <w:rFonts w:ascii="Arial" w:eastAsia="Times New Roman" w:hAnsi="Arial" w:cs="Arial"/>
                <w:sz w:val="20"/>
                <w:szCs w:val="20"/>
                <w:lang w:eastAsia="en-AU"/>
              </w:rPr>
              <w:t>Proceeds from sale of non-current physical assets</w:t>
            </w:r>
          </w:p>
        </w:tc>
        <w:tc>
          <w:tcPr>
            <w:tcW w:w="1050" w:type="dxa"/>
            <w:tcBorders>
              <w:left w:val="nil"/>
              <w:bottom w:val="single" w:sz="4" w:space="0" w:color="E0DCCB" w:themeColor="accent4" w:themeTint="66"/>
              <w:right w:val="nil"/>
            </w:tcBorders>
          </w:tcPr>
          <w:p w:rsidR="000A0087" w:rsidRPr="007043E4" w:rsidRDefault="00495FC3"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12</w:t>
            </w:r>
          </w:p>
        </w:tc>
        <w:tc>
          <w:tcPr>
            <w:tcW w:w="1134" w:type="dxa"/>
            <w:tcBorders>
              <w:left w:val="nil"/>
              <w:bottom w:val="single" w:sz="4" w:space="0" w:color="E0DCCB" w:themeColor="accent4" w:themeTint="66"/>
              <w:right w:val="nil"/>
            </w:tcBorders>
          </w:tcPr>
          <w:p w:rsidR="000A0087" w:rsidRPr="007043E4" w:rsidRDefault="000A0087"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993" w:type="dxa"/>
            <w:tcBorders>
              <w:left w:val="nil"/>
              <w:bottom w:val="single" w:sz="4" w:space="0" w:color="FFFFFF" w:themeColor="background1"/>
              <w:right w:val="nil"/>
            </w:tcBorders>
            <w:shd w:val="clear" w:color="auto" w:fill="E0DCCB" w:themeFill="accent4" w:themeFillTint="66"/>
          </w:tcPr>
          <w:p w:rsidR="000A0087" w:rsidRPr="007043E4" w:rsidRDefault="000A0087"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100</w:t>
            </w:r>
          </w:p>
        </w:tc>
        <w:tc>
          <w:tcPr>
            <w:tcW w:w="1134" w:type="dxa"/>
            <w:tcBorders>
              <w:left w:val="nil"/>
              <w:bottom w:val="single" w:sz="4" w:space="0" w:color="E0DCCB" w:themeColor="accent4" w:themeTint="66"/>
              <w:right w:val="nil"/>
            </w:tcBorders>
            <w:shd w:val="clear" w:color="auto" w:fill="auto"/>
            <w:hideMark/>
          </w:tcPr>
          <w:p w:rsidR="000A0087" w:rsidRPr="007043E4" w:rsidRDefault="000A0087"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p>
        </w:tc>
        <w:tc>
          <w:tcPr>
            <w:tcW w:w="1275" w:type="dxa"/>
            <w:tcBorders>
              <w:left w:val="nil"/>
              <w:bottom w:val="single" w:sz="4" w:space="0" w:color="E0DCCB" w:themeColor="accent4" w:themeTint="66"/>
              <w:right w:val="nil"/>
            </w:tcBorders>
            <w:shd w:val="clear" w:color="auto" w:fill="auto"/>
          </w:tcPr>
          <w:p w:rsidR="000A0087" w:rsidRPr="007043E4" w:rsidRDefault="00495FC3" w:rsidP="00495FC3">
            <w:pPr>
              <w:pStyle w:val="Financials"/>
              <w:jc w:val="right"/>
              <w:rPr>
                <w:rFonts w:ascii="Arial" w:eastAsia="Times New Roman" w:hAnsi="Arial" w:cs="Arial"/>
                <w:b/>
                <w:bCs/>
                <w:sz w:val="20"/>
                <w:szCs w:val="20"/>
                <w:highlight w:val="yellow"/>
                <w:lang w:eastAsia="en-AU"/>
              </w:rPr>
            </w:pPr>
            <w:r>
              <w:rPr>
                <w:rFonts w:ascii="Arial" w:eastAsia="Times New Roman" w:hAnsi="Arial" w:cs="Arial"/>
                <w:sz w:val="20"/>
                <w:szCs w:val="20"/>
                <w:lang w:eastAsia="en-AU"/>
              </w:rPr>
              <w:t>100</w:t>
            </w:r>
          </w:p>
        </w:tc>
        <w:tc>
          <w:tcPr>
            <w:tcW w:w="1349" w:type="dxa"/>
            <w:tcBorders>
              <w:left w:val="nil"/>
              <w:bottom w:val="single" w:sz="4" w:space="0" w:color="E0DCCB" w:themeColor="accent4" w:themeTint="66"/>
              <w:right w:val="nil"/>
            </w:tcBorders>
            <w:shd w:val="clear" w:color="auto" w:fill="auto"/>
            <w:hideMark/>
          </w:tcPr>
          <w:p w:rsidR="000A0087" w:rsidRPr="007043E4" w:rsidRDefault="000A0087" w:rsidP="00495FC3">
            <w:pPr>
              <w:pStyle w:val="Financials"/>
              <w:jc w:val="right"/>
              <w:rPr>
                <w:rFonts w:ascii="Arial" w:eastAsia="Times New Roman" w:hAnsi="Arial" w:cs="Arial"/>
                <w:b/>
                <w:bCs/>
                <w:sz w:val="20"/>
                <w:szCs w:val="20"/>
                <w:lang w:eastAsia="en-AU"/>
              </w:rPr>
            </w:pPr>
            <w:r>
              <w:rPr>
                <w:rFonts w:ascii="Arial" w:eastAsia="Times New Roman" w:hAnsi="Arial" w:cs="Arial"/>
                <w:sz w:val="20"/>
                <w:szCs w:val="20"/>
                <w:lang w:eastAsia="en-AU"/>
              </w:rPr>
              <w:t>100</w:t>
            </w:r>
          </w:p>
        </w:tc>
      </w:tr>
      <w:tr w:rsidR="000A0087" w:rsidRPr="007043E4" w:rsidTr="00913BB7">
        <w:trPr>
          <w:trHeight w:val="285"/>
        </w:trPr>
        <w:tc>
          <w:tcPr>
            <w:tcW w:w="2919"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AA3D3B" w:rsidRDefault="000A0087" w:rsidP="00F6395E">
            <w:pPr>
              <w:pStyle w:val="Financials"/>
              <w:rPr>
                <w:rFonts w:ascii="Arial" w:eastAsia="Times New Roman" w:hAnsi="Arial" w:cs="Arial"/>
                <w:b/>
                <w:sz w:val="20"/>
                <w:szCs w:val="20"/>
                <w:lang w:eastAsia="en-AU"/>
              </w:rPr>
            </w:pPr>
            <w:r w:rsidRPr="00AA3D3B">
              <w:rPr>
                <w:rFonts w:ascii="Arial" w:eastAsia="Times New Roman" w:hAnsi="Arial" w:cs="Arial"/>
                <w:b/>
                <w:bCs/>
                <w:sz w:val="20"/>
                <w:szCs w:val="20"/>
                <w:lang w:eastAsia="en-AU"/>
              </w:rPr>
              <w:t>Net cash provided by/(used in) investing activities</w:t>
            </w:r>
          </w:p>
        </w:tc>
        <w:tc>
          <w:tcPr>
            <w:tcW w:w="1050" w:type="dxa"/>
            <w:tcBorders>
              <w:top w:val="single" w:sz="4" w:space="0" w:color="E0DCCB" w:themeColor="accent4" w:themeTint="66"/>
              <w:left w:val="nil"/>
              <w:bottom w:val="single" w:sz="4" w:space="0" w:color="E0DCCB" w:themeColor="accent4" w:themeTint="66"/>
              <w:right w:val="nil"/>
            </w:tcBorders>
            <w:vAlign w:val="center"/>
          </w:tcPr>
          <w:p w:rsidR="000A0087" w:rsidRPr="00AA3D3B" w:rsidRDefault="000A0087" w:rsidP="00F6395E">
            <w:pPr>
              <w:pStyle w:val="Financials"/>
              <w:rPr>
                <w:rFonts w:ascii="Arial" w:eastAsia="Times New Roman" w:hAnsi="Arial" w:cs="Arial"/>
                <w:b/>
                <w:sz w:val="20"/>
                <w:szCs w:val="20"/>
                <w:lang w:eastAsia="en-AU"/>
              </w:rPr>
            </w:pPr>
          </w:p>
        </w:tc>
        <w:tc>
          <w:tcPr>
            <w:tcW w:w="1134" w:type="dxa"/>
            <w:tcBorders>
              <w:top w:val="single" w:sz="4" w:space="0" w:color="E0DCCB" w:themeColor="accent4" w:themeTint="66"/>
              <w:left w:val="nil"/>
              <w:bottom w:val="single" w:sz="4" w:space="0" w:color="E0DCCB" w:themeColor="accent4" w:themeTint="66"/>
              <w:right w:val="nil"/>
            </w:tcBorders>
            <w:vAlign w:val="center"/>
          </w:tcPr>
          <w:p w:rsidR="000A0087" w:rsidRPr="00AA3D3B" w:rsidRDefault="000A0087" w:rsidP="00E13C59">
            <w:pPr>
              <w:pStyle w:val="Financials"/>
              <w:jc w:val="right"/>
              <w:rPr>
                <w:rFonts w:ascii="Arial" w:eastAsia="Times New Roman" w:hAnsi="Arial" w:cs="Arial"/>
                <w:b/>
                <w:sz w:val="20"/>
                <w:szCs w:val="20"/>
                <w:lang w:eastAsia="en-AU"/>
              </w:rPr>
            </w:pPr>
            <w:r w:rsidRPr="00AA3D3B">
              <w:rPr>
                <w:rFonts w:ascii="Arial" w:eastAsia="Times New Roman" w:hAnsi="Arial" w:cs="Arial"/>
                <w:b/>
                <w:sz w:val="20"/>
                <w:szCs w:val="20"/>
                <w:lang w:eastAsia="en-AU"/>
              </w:rPr>
              <w:t>(146)</w:t>
            </w:r>
          </w:p>
        </w:tc>
        <w:tc>
          <w:tcPr>
            <w:tcW w:w="993" w:type="dxa"/>
            <w:tcBorders>
              <w:top w:val="single" w:sz="4" w:space="0" w:color="FFFFFF" w:themeColor="background1"/>
              <w:left w:val="nil"/>
              <w:bottom w:val="single" w:sz="4" w:space="0" w:color="FFFFFF" w:themeColor="background1"/>
              <w:right w:val="nil"/>
            </w:tcBorders>
            <w:shd w:val="clear" w:color="auto" w:fill="E0DCCB" w:themeFill="accent4" w:themeFillTint="66"/>
            <w:vAlign w:val="center"/>
          </w:tcPr>
          <w:p w:rsidR="000A0087" w:rsidRPr="00AA3D3B" w:rsidRDefault="000A0087" w:rsidP="00E13C59">
            <w:pPr>
              <w:pStyle w:val="Financials"/>
              <w:jc w:val="right"/>
              <w:rPr>
                <w:rFonts w:ascii="Arial" w:eastAsia="Times New Roman" w:hAnsi="Arial" w:cs="Arial"/>
                <w:b/>
                <w:sz w:val="20"/>
                <w:szCs w:val="20"/>
                <w:lang w:eastAsia="en-AU"/>
              </w:rPr>
            </w:pPr>
            <w:r w:rsidRPr="00AA3D3B">
              <w:rPr>
                <w:rFonts w:ascii="Arial" w:eastAsia="Times New Roman" w:hAnsi="Arial" w:cs="Arial"/>
                <w:b/>
                <w:sz w:val="20"/>
                <w:szCs w:val="20"/>
                <w:lang w:eastAsia="en-AU"/>
              </w:rPr>
              <w:t>(30)</w:t>
            </w:r>
          </w:p>
        </w:tc>
        <w:tc>
          <w:tcPr>
            <w:tcW w:w="1134"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AA3D3B" w:rsidRDefault="000A0087" w:rsidP="00E13C59">
            <w:pPr>
              <w:pStyle w:val="Financials"/>
              <w:jc w:val="right"/>
              <w:rPr>
                <w:rFonts w:ascii="Arial" w:eastAsia="Times New Roman" w:hAnsi="Arial" w:cs="Arial"/>
                <w:b/>
                <w:sz w:val="20"/>
                <w:szCs w:val="20"/>
                <w:lang w:eastAsia="en-AU"/>
              </w:rPr>
            </w:pPr>
            <w:r w:rsidRPr="00AA3D3B">
              <w:rPr>
                <w:rFonts w:ascii="Arial" w:eastAsia="Times New Roman" w:hAnsi="Arial" w:cs="Arial"/>
                <w:b/>
                <w:bCs/>
                <w:sz w:val="20"/>
                <w:szCs w:val="20"/>
                <w:lang w:eastAsia="en-AU"/>
              </w:rPr>
              <w:t>(152)</w:t>
            </w:r>
          </w:p>
        </w:tc>
        <w:tc>
          <w:tcPr>
            <w:tcW w:w="1275"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AA3D3B" w:rsidRDefault="000A0087" w:rsidP="00495FC3">
            <w:pPr>
              <w:pStyle w:val="Financials"/>
              <w:jc w:val="right"/>
              <w:rPr>
                <w:rFonts w:ascii="Arial" w:eastAsia="Times New Roman" w:hAnsi="Arial" w:cs="Arial"/>
                <w:b/>
                <w:sz w:val="20"/>
                <w:szCs w:val="20"/>
                <w:lang w:eastAsia="en-AU"/>
              </w:rPr>
            </w:pPr>
            <w:r w:rsidRPr="00AA3D3B">
              <w:rPr>
                <w:rFonts w:ascii="Arial" w:eastAsia="Times New Roman" w:hAnsi="Arial" w:cs="Arial"/>
                <w:b/>
                <w:bCs/>
                <w:sz w:val="20"/>
                <w:szCs w:val="20"/>
                <w:lang w:eastAsia="en-AU"/>
              </w:rPr>
              <w:t>116</w:t>
            </w:r>
          </w:p>
        </w:tc>
        <w:tc>
          <w:tcPr>
            <w:tcW w:w="1349" w:type="dxa"/>
            <w:tcBorders>
              <w:top w:val="single" w:sz="4" w:space="0" w:color="E0DCCB" w:themeColor="accent4" w:themeTint="66"/>
              <w:left w:val="nil"/>
              <w:bottom w:val="single" w:sz="4" w:space="0" w:color="E0DCCB" w:themeColor="accent4" w:themeTint="66"/>
              <w:right w:val="nil"/>
            </w:tcBorders>
            <w:shd w:val="clear" w:color="auto" w:fill="auto"/>
            <w:vAlign w:val="center"/>
          </w:tcPr>
          <w:p w:rsidR="000A0087" w:rsidRPr="00AA3D3B" w:rsidRDefault="000A0087" w:rsidP="00E13C59">
            <w:pPr>
              <w:pStyle w:val="Financials"/>
              <w:jc w:val="right"/>
              <w:rPr>
                <w:rFonts w:ascii="Arial" w:eastAsia="Times New Roman" w:hAnsi="Arial" w:cs="Arial"/>
                <w:b/>
                <w:sz w:val="20"/>
                <w:szCs w:val="20"/>
                <w:lang w:eastAsia="en-AU"/>
              </w:rPr>
            </w:pPr>
            <w:r w:rsidRPr="00AA3D3B">
              <w:rPr>
                <w:rFonts w:ascii="Arial" w:eastAsia="Times New Roman" w:hAnsi="Arial" w:cs="Arial"/>
                <w:b/>
                <w:sz w:val="20"/>
                <w:szCs w:val="20"/>
                <w:lang w:eastAsia="en-AU"/>
              </w:rPr>
              <w:t>122</w:t>
            </w:r>
          </w:p>
        </w:tc>
      </w:tr>
      <w:tr w:rsidR="000A0087" w:rsidRPr="007043E4" w:rsidTr="00913BB7">
        <w:trPr>
          <w:trHeight w:val="285"/>
        </w:trPr>
        <w:tc>
          <w:tcPr>
            <w:tcW w:w="2919" w:type="dxa"/>
            <w:tcBorders>
              <w:left w:val="nil"/>
              <w:right w:val="nil"/>
            </w:tcBorders>
            <w:shd w:val="clear" w:color="auto" w:fill="auto"/>
          </w:tcPr>
          <w:p w:rsidR="000A0087" w:rsidRPr="005D6BC7" w:rsidRDefault="000A0087" w:rsidP="00495FC3">
            <w:pPr>
              <w:pStyle w:val="Financials"/>
              <w:rPr>
                <w:rFonts w:ascii="Arial" w:eastAsia="Times New Roman" w:hAnsi="Arial" w:cs="Arial"/>
                <w:sz w:val="20"/>
                <w:szCs w:val="20"/>
                <w:lang w:eastAsia="en-AU"/>
              </w:rPr>
            </w:pPr>
            <w:r w:rsidRPr="005D6BC7">
              <w:rPr>
                <w:rFonts w:ascii="Arial" w:eastAsia="Times New Roman" w:hAnsi="Arial" w:cs="Arial"/>
                <w:sz w:val="20"/>
                <w:szCs w:val="20"/>
                <w:lang w:eastAsia="en-AU"/>
              </w:rPr>
              <w:t>Net increase/(decrease) in cash and cash equivalents</w:t>
            </w:r>
          </w:p>
        </w:tc>
        <w:tc>
          <w:tcPr>
            <w:tcW w:w="1050" w:type="dxa"/>
            <w:tcBorders>
              <w:left w:val="nil"/>
              <w:right w:val="nil"/>
            </w:tcBorders>
          </w:tcPr>
          <w:p w:rsidR="000A0087" w:rsidRPr="005D6BC7" w:rsidRDefault="000A0087" w:rsidP="00495FC3">
            <w:pPr>
              <w:pStyle w:val="Financials"/>
              <w:jc w:val="right"/>
              <w:rPr>
                <w:rFonts w:ascii="Arial" w:eastAsia="Times New Roman" w:hAnsi="Arial" w:cs="Arial"/>
                <w:sz w:val="20"/>
                <w:szCs w:val="20"/>
                <w:lang w:eastAsia="en-AU"/>
              </w:rPr>
            </w:pPr>
          </w:p>
        </w:tc>
        <w:tc>
          <w:tcPr>
            <w:tcW w:w="1134" w:type="dxa"/>
            <w:tcBorders>
              <w:left w:val="nil"/>
              <w:right w:val="nil"/>
            </w:tcBorders>
          </w:tcPr>
          <w:p w:rsidR="000A0087" w:rsidRPr="005D6BC7" w:rsidRDefault="000A0087"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(72)</w:t>
            </w:r>
          </w:p>
        </w:tc>
        <w:tc>
          <w:tcPr>
            <w:tcW w:w="993" w:type="dxa"/>
            <w:tcBorders>
              <w:top w:val="single" w:sz="4" w:space="0" w:color="FFFFFF" w:themeColor="background1"/>
              <w:left w:val="nil"/>
              <w:right w:val="nil"/>
            </w:tcBorders>
            <w:shd w:val="clear" w:color="auto" w:fill="E0DCCB" w:themeFill="accent4" w:themeFillTint="66"/>
          </w:tcPr>
          <w:p w:rsidR="000A0087" w:rsidRPr="005D6BC7" w:rsidRDefault="000A0087"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(172)</w:t>
            </w:r>
          </w:p>
        </w:tc>
        <w:tc>
          <w:tcPr>
            <w:tcW w:w="1134" w:type="dxa"/>
            <w:tcBorders>
              <w:left w:val="nil"/>
              <w:right w:val="nil"/>
            </w:tcBorders>
            <w:shd w:val="clear" w:color="auto" w:fill="auto"/>
          </w:tcPr>
          <w:p w:rsidR="000A0087" w:rsidRPr="005D6BC7" w:rsidRDefault="000A0087" w:rsidP="00495FC3">
            <w:pPr>
              <w:pStyle w:val="Financials"/>
              <w:jc w:val="right"/>
              <w:rPr>
                <w:rFonts w:ascii="Arial" w:eastAsia="Times New Roman" w:hAnsi="Arial" w:cs="Arial"/>
                <w:sz w:val="20"/>
                <w:szCs w:val="20"/>
                <w:lang w:eastAsia="en-AU"/>
              </w:rPr>
            </w:pPr>
            <w:r w:rsidRPr="005D6BC7">
              <w:rPr>
                <w:rFonts w:ascii="Arial" w:eastAsia="Times New Roman" w:hAnsi="Arial" w:cs="Arial"/>
                <w:sz w:val="20"/>
                <w:szCs w:val="20"/>
                <w:lang w:eastAsia="en-AU"/>
              </w:rPr>
              <w:t>(</w:t>
            </w:r>
            <w:r>
              <w:rPr>
                <w:rFonts w:ascii="Arial" w:eastAsia="Times New Roman" w:hAnsi="Arial" w:cs="Arial"/>
                <w:sz w:val="20"/>
                <w:szCs w:val="20"/>
                <w:lang w:eastAsia="en-AU"/>
              </w:rPr>
              <w:t>544</w:t>
            </w:r>
            <w:r w:rsidRPr="005D6BC7">
              <w:rPr>
                <w:rFonts w:ascii="Arial" w:eastAsia="Times New Roman" w:hAnsi="Arial" w:cs="Arial"/>
                <w:sz w:val="20"/>
                <w:szCs w:val="20"/>
                <w:lang w:eastAsia="en-AU"/>
              </w:rPr>
              <w:t>)</w:t>
            </w:r>
          </w:p>
        </w:tc>
        <w:tc>
          <w:tcPr>
            <w:tcW w:w="1275" w:type="dxa"/>
            <w:tcBorders>
              <w:top w:val="single" w:sz="4" w:space="0" w:color="E0DCCB" w:themeColor="accent4" w:themeTint="66"/>
              <w:left w:val="nil"/>
              <w:right w:val="nil"/>
            </w:tcBorders>
            <w:shd w:val="clear" w:color="auto" w:fill="auto"/>
          </w:tcPr>
          <w:p w:rsidR="000A0087" w:rsidRDefault="00495FC3"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0A0087">
              <w:rPr>
                <w:rFonts w:ascii="Arial" w:eastAsia="Times New Roman" w:hAnsi="Arial" w:cs="Arial"/>
                <w:sz w:val="20"/>
                <w:szCs w:val="20"/>
                <w:lang w:eastAsia="en-AU"/>
              </w:rPr>
              <w:t>100</w:t>
            </w:r>
            <w:r>
              <w:rPr>
                <w:rFonts w:ascii="Arial" w:eastAsia="Times New Roman" w:hAnsi="Arial" w:cs="Arial"/>
                <w:sz w:val="20"/>
                <w:szCs w:val="20"/>
                <w:lang w:eastAsia="en-AU"/>
              </w:rPr>
              <w:t>)</w:t>
            </w:r>
          </w:p>
        </w:tc>
        <w:tc>
          <w:tcPr>
            <w:tcW w:w="1349" w:type="dxa"/>
            <w:tcBorders>
              <w:left w:val="nil"/>
              <w:right w:val="nil"/>
            </w:tcBorders>
            <w:shd w:val="clear" w:color="auto" w:fill="auto"/>
          </w:tcPr>
          <w:p w:rsidR="000A0087" w:rsidRPr="005D6BC7" w:rsidRDefault="000A0087"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37</w:t>
            </w:r>
            <w:r w:rsidR="00495FC3">
              <w:rPr>
                <w:rFonts w:ascii="Arial" w:eastAsia="Times New Roman" w:hAnsi="Arial" w:cs="Arial"/>
                <w:sz w:val="20"/>
                <w:szCs w:val="20"/>
                <w:lang w:eastAsia="en-AU"/>
              </w:rPr>
              <w:t>1</w:t>
            </w:r>
          </w:p>
        </w:tc>
      </w:tr>
      <w:tr w:rsidR="000A0087" w:rsidRPr="00CE4DA4" w:rsidTr="00913BB7">
        <w:trPr>
          <w:trHeight w:val="285"/>
        </w:trPr>
        <w:tc>
          <w:tcPr>
            <w:tcW w:w="2919" w:type="dxa"/>
            <w:tcBorders>
              <w:left w:val="nil"/>
              <w:bottom w:val="single" w:sz="4" w:space="0" w:color="E0DCCB" w:themeColor="accent4" w:themeTint="66"/>
              <w:right w:val="nil"/>
            </w:tcBorders>
            <w:shd w:val="clear" w:color="auto" w:fill="auto"/>
          </w:tcPr>
          <w:p w:rsidR="000A0087" w:rsidRPr="00CE4DA4" w:rsidRDefault="000A0087" w:rsidP="00495FC3">
            <w:pPr>
              <w:pStyle w:val="Financials"/>
              <w:rPr>
                <w:rFonts w:ascii="Arial" w:eastAsia="Times New Roman" w:hAnsi="Arial" w:cs="Arial"/>
                <w:sz w:val="8"/>
                <w:szCs w:val="8"/>
                <w:lang w:eastAsia="en-AU"/>
              </w:rPr>
            </w:pPr>
            <w:r w:rsidRPr="005D6BC7">
              <w:rPr>
                <w:rFonts w:ascii="Arial" w:eastAsia="Times New Roman" w:hAnsi="Arial" w:cs="Arial"/>
                <w:sz w:val="20"/>
                <w:szCs w:val="20"/>
                <w:lang w:eastAsia="en-AU"/>
              </w:rPr>
              <w:t>Cash and cash equivalents at the beginning of the period</w:t>
            </w:r>
          </w:p>
        </w:tc>
        <w:tc>
          <w:tcPr>
            <w:tcW w:w="1050" w:type="dxa"/>
            <w:tcBorders>
              <w:left w:val="nil"/>
              <w:bottom w:val="single" w:sz="4" w:space="0" w:color="E0DCCB" w:themeColor="accent4" w:themeTint="66"/>
              <w:right w:val="nil"/>
            </w:tcBorders>
          </w:tcPr>
          <w:p w:rsidR="000A0087" w:rsidRPr="00550F57" w:rsidRDefault="000A0087" w:rsidP="00495FC3">
            <w:pPr>
              <w:pStyle w:val="Financials"/>
              <w:jc w:val="right"/>
              <w:rPr>
                <w:rFonts w:ascii="Arial" w:eastAsia="Times New Roman" w:hAnsi="Arial" w:cs="Arial"/>
                <w:sz w:val="20"/>
                <w:szCs w:val="20"/>
                <w:lang w:eastAsia="en-AU"/>
              </w:rPr>
            </w:pPr>
          </w:p>
        </w:tc>
        <w:tc>
          <w:tcPr>
            <w:tcW w:w="1134" w:type="dxa"/>
            <w:tcBorders>
              <w:left w:val="nil"/>
              <w:bottom w:val="single" w:sz="4" w:space="0" w:color="E0DCCB" w:themeColor="accent4" w:themeTint="66"/>
              <w:right w:val="nil"/>
            </w:tcBorders>
          </w:tcPr>
          <w:p w:rsidR="000A0087" w:rsidRPr="00550F57" w:rsidRDefault="000A0087" w:rsidP="00495FC3">
            <w:pPr>
              <w:pStyle w:val="Financials"/>
              <w:jc w:val="right"/>
              <w:rPr>
                <w:rFonts w:ascii="Arial" w:eastAsia="Times New Roman" w:hAnsi="Arial" w:cs="Arial"/>
                <w:sz w:val="20"/>
                <w:szCs w:val="20"/>
                <w:lang w:eastAsia="en-AU"/>
              </w:rPr>
            </w:pPr>
            <w:r w:rsidRPr="00550F57">
              <w:rPr>
                <w:rFonts w:ascii="Arial" w:eastAsia="Times New Roman" w:hAnsi="Arial" w:cs="Arial"/>
                <w:sz w:val="20"/>
                <w:szCs w:val="20"/>
                <w:lang w:eastAsia="en-AU"/>
              </w:rPr>
              <w:t>917</w:t>
            </w:r>
          </w:p>
        </w:tc>
        <w:tc>
          <w:tcPr>
            <w:tcW w:w="993" w:type="dxa"/>
            <w:tcBorders>
              <w:left w:val="nil"/>
              <w:bottom w:val="single" w:sz="4" w:space="0" w:color="FFFFFF" w:themeColor="background1"/>
              <w:right w:val="nil"/>
            </w:tcBorders>
            <w:shd w:val="clear" w:color="auto" w:fill="E0DCCB" w:themeFill="accent4" w:themeFillTint="66"/>
          </w:tcPr>
          <w:p w:rsidR="000A0087" w:rsidRPr="00550F57" w:rsidRDefault="000A0087"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710</w:t>
            </w:r>
          </w:p>
        </w:tc>
        <w:tc>
          <w:tcPr>
            <w:tcW w:w="1134" w:type="dxa"/>
            <w:tcBorders>
              <w:left w:val="nil"/>
              <w:bottom w:val="single" w:sz="4" w:space="0" w:color="E0DCCB" w:themeColor="accent4" w:themeTint="66"/>
              <w:right w:val="nil"/>
            </w:tcBorders>
            <w:shd w:val="clear" w:color="auto" w:fill="auto"/>
          </w:tcPr>
          <w:p w:rsidR="000A0087" w:rsidRPr="00550F57" w:rsidRDefault="000A0087"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1,253</w:t>
            </w:r>
          </w:p>
        </w:tc>
        <w:tc>
          <w:tcPr>
            <w:tcW w:w="1275" w:type="dxa"/>
            <w:tcBorders>
              <w:left w:val="nil"/>
              <w:bottom w:val="single" w:sz="4" w:space="0" w:color="E0DCCB" w:themeColor="accent4" w:themeTint="66"/>
              <w:right w:val="nil"/>
            </w:tcBorders>
            <w:shd w:val="clear" w:color="auto" w:fill="auto"/>
          </w:tcPr>
          <w:p w:rsidR="000A0087" w:rsidRPr="00550F57" w:rsidRDefault="00495FC3"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0A0087">
              <w:rPr>
                <w:rFonts w:ascii="Arial" w:eastAsia="Times New Roman" w:hAnsi="Arial" w:cs="Arial"/>
                <w:sz w:val="20"/>
                <w:szCs w:val="20"/>
                <w:lang w:eastAsia="en-AU"/>
              </w:rPr>
              <w:t>207</w:t>
            </w:r>
            <w:r>
              <w:rPr>
                <w:rFonts w:ascii="Arial" w:eastAsia="Times New Roman" w:hAnsi="Arial" w:cs="Arial"/>
                <w:sz w:val="20"/>
                <w:szCs w:val="20"/>
                <w:lang w:eastAsia="en-AU"/>
              </w:rPr>
              <w:t>)</w:t>
            </w:r>
          </w:p>
        </w:tc>
        <w:tc>
          <w:tcPr>
            <w:tcW w:w="1349" w:type="dxa"/>
            <w:tcBorders>
              <w:left w:val="nil"/>
              <w:bottom w:val="single" w:sz="4" w:space="0" w:color="E0DCCB" w:themeColor="accent4" w:themeTint="66"/>
              <w:right w:val="nil"/>
            </w:tcBorders>
            <w:shd w:val="clear" w:color="auto" w:fill="auto"/>
          </w:tcPr>
          <w:p w:rsidR="000A0087" w:rsidRPr="00550F57" w:rsidRDefault="000A0087" w:rsidP="00495FC3">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543</w:t>
            </w:r>
          </w:p>
        </w:tc>
      </w:tr>
      <w:tr w:rsidR="000A0087" w:rsidRPr="007043E4" w:rsidTr="00913BB7">
        <w:trPr>
          <w:trHeight w:val="285"/>
        </w:trPr>
        <w:tc>
          <w:tcPr>
            <w:tcW w:w="2919"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F6395E">
            <w:pPr>
              <w:pStyle w:val="Financials"/>
              <w:rPr>
                <w:rFonts w:ascii="Arial" w:eastAsia="Times New Roman" w:hAnsi="Arial" w:cs="Arial"/>
                <w:sz w:val="20"/>
                <w:szCs w:val="20"/>
                <w:lang w:eastAsia="en-AU"/>
              </w:rPr>
            </w:pPr>
            <w:r w:rsidRPr="005D6BC7">
              <w:rPr>
                <w:rFonts w:ascii="Arial" w:eastAsia="Times New Roman" w:hAnsi="Arial" w:cs="Arial"/>
                <w:b/>
                <w:bCs/>
                <w:sz w:val="20"/>
                <w:szCs w:val="20"/>
                <w:lang w:eastAsia="en-AU"/>
              </w:rPr>
              <w:t>CASH AND CASH EQUIVALENTS AT THE END OF THE PERIOD</w:t>
            </w:r>
          </w:p>
        </w:tc>
        <w:tc>
          <w:tcPr>
            <w:tcW w:w="1050" w:type="dxa"/>
            <w:tcBorders>
              <w:top w:val="single" w:sz="4" w:space="0" w:color="E0DCCB" w:themeColor="accent4" w:themeTint="66"/>
              <w:left w:val="nil"/>
              <w:bottom w:val="single" w:sz="4" w:space="0" w:color="B2A97E" w:themeColor="accent4"/>
              <w:right w:val="nil"/>
            </w:tcBorders>
            <w:vAlign w:val="center"/>
          </w:tcPr>
          <w:p w:rsidR="000A0087" w:rsidRPr="005D6BC7" w:rsidRDefault="000A0087" w:rsidP="00F6395E">
            <w:pPr>
              <w:pStyle w:val="Financials"/>
              <w:rPr>
                <w:rFonts w:ascii="Arial" w:eastAsia="Times New Roman" w:hAnsi="Arial" w:cs="Arial"/>
                <w:sz w:val="20"/>
                <w:szCs w:val="20"/>
                <w:lang w:eastAsia="en-AU"/>
              </w:rPr>
            </w:pPr>
          </w:p>
        </w:tc>
        <w:tc>
          <w:tcPr>
            <w:tcW w:w="1134" w:type="dxa"/>
            <w:tcBorders>
              <w:top w:val="single" w:sz="4" w:space="0" w:color="E0DCCB" w:themeColor="accent4" w:themeTint="66"/>
              <w:left w:val="nil"/>
              <w:bottom w:val="single" w:sz="4" w:space="0" w:color="B2A97E" w:themeColor="accent4"/>
              <w:right w:val="nil"/>
            </w:tcBorders>
            <w:vAlign w:val="center"/>
          </w:tcPr>
          <w:p w:rsidR="000A0087" w:rsidRPr="005D6BC7"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845</w:t>
            </w:r>
          </w:p>
        </w:tc>
        <w:tc>
          <w:tcPr>
            <w:tcW w:w="993" w:type="dxa"/>
            <w:tcBorders>
              <w:top w:val="single" w:sz="4" w:space="0" w:color="FFFFFF" w:themeColor="background1"/>
              <w:left w:val="nil"/>
              <w:bottom w:val="single" w:sz="4" w:space="0" w:color="B2A97E" w:themeColor="accent4"/>
              <w:right w:val="nil"/>
            </w:tcBorders>
            <w:shd w:val="clear" w:color="auto" w:fill="E0DCCB" w:themeFill="accent4" w:themeFillTint="66"/>
            <w:vAlign w:val="center"/>
          </w:tcPr>
          <w:p w:rsidR="000A0087" w:rsidRPr="005D6BC7"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538</w:t>
            </w:r>
          </w:p>
        </w:tc>
        <w:tc>
          <w:tcPr>
            <w:tcW w:w="1134"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710</w:t>
            </w:r>
          </w:p>
        </w:tc>
        <w:tc>
          <w:tcPr>
            <w:tcW w:w="1275"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Default="00913BB7" w:rsidP="00E13C59">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w:t>
            </w:r>
            <w:r w:rsidR="000A0087">
              <w:rPr>
                <w:rFonts w:ascii="Arial" w:eastAsia="Times New Roman" w:hAnsi="Arial" w:cs="Arial"/>
                <w:sz w:val="20"/>
                <w:szCs w:val="20"/>
                <w:lang w:eastAsia="en-AU"/>
              </w:rPr>
              <w:t>307</w:t>
            </w:r>
            <w:r>
              <w:rPr>
                <w:rFonts w:ascii="Arial" w:eastAsia="Times New Roman" w:hAnsi="Arial" w:cs="Arial"/>
                <w:sz w:val="20"/>
                <w:szCs w:val="20"/>
                <w:lang w:eastAsia="en-AU"/>
              </w:rPr>
              <w:t>)</w:t>
            </w:r>
          </w:p>
        </w:tc>
        <w:tc>
          <w:tcPr>
            <w:tcW w:w="1349" w:type="dxa"/>
            <w:tcBorders>
              <w:top w:val="single" w:sz="4" w:space="0" w:color="E0DCCB" w:themeColor="accent4" w:themeTint="66"/>
              <w:left w:val="nil"/>
              <w:bottom w:val="single" w:sz="4" w:space="0" w:color="B2A97E" w:themeColor="accent4"/>
              <w:right w:val="nil"/>
            </w:tcBorders>
            <w:shd w:val="clear" w:color="auto" w:fill="auto"/>
            <w:vAlign w:val="center"/>
          </w:tcPr>
          <w:p w:rsidR="000A0087" w:rsidRPr="005D6BC7" w:rsidRDefault="000A0087" w:rsidP="00913BB7">
            <w:pPr>
              <w:pStyle w:val="Financials"/>
              <w:jc w:val="right"/>
              <w:rPr>
                <w:rFonts w:ascii="Arial" w:eastAsia="Times New Roman" w:hAnsi="Arial" w:cs="Arial"/>
                <w:sz w:val="20"/>
                <w:szCs w:val="20"/>
                <w:lang w:eastAsia="en-AU"/>
              </w:rPr>
            </w:pPr>
            <w:r>
              <w:rPr>
                <w:rFonts w:ascii="Arial" w:eastAsia="Times New Roman" w:hAnsi="Arial" w:cs="Arial"/>
                <w:sz w:val="20"/>
                <w:szCs w:val="20"/>
                <w:lang w:eastAsia="en-AU"/>
              </w:rPr>
              <w:t>173</w:t>
            </w:r>
          </w:p>
        </w:tc>
      </w:tr>
    </w:tbl>
    <w:p w:rsidR="000A0087" w:rsidRDefault="000A0087" w:rsidP="000A0087">
      <w:pPr>
        <w:pStyle w:val="Heading5"/>
      </w:pPr>
      <w:r>
        <w:br w:type="page"/>
      </w:r>
    </w:p>
    <w:p w:rsidR="000A0087" w:rsidRDefault="000A0087" w:rsidP="000A0087">
      <w:pPr>
        <w:pStyle w:val="Heading5"/>
        <w:sectPr w:rsidR="000A0087" w:rsidSect="000A0087">
          <w:pgSz w:w="11906" w:h="16838"/>
          <w:pgMar w:top="1440" w:right="1080" w:bottom="1276" w:left="1080" w:header="568" w:footer="0" w:gutter="0"/>
          <w:cols w:space="709"/>
          <w:docGrid w:linePitch="360"/>
        </w:sectPr>
      </w:pPr>
    </w:p>
    <w:p w:rsidR="000A0087" w:rsidRDefault="000A0087" w:rsidP="006575B0">
      <w:pPr>
        <w:pStyle w:val="Financialsheading4"/>
      </w:pPr>
      <w:r>
        <w:lastRenderedPageBreak/>
        <w:t>Major Variance Narratives (Controlled Operations)</w:t>
      </w:r>
    </w:p>
    <w:p w:rsidR="000A0087" w:rsidRPr="006575B0" w:rsidRDefault="000A0087" w:rsidP="00AF6EDB">
      <w:pPr>
        <w:pStyle w:val="Financialsheading5"/>
        <w:spacing w:before="120"/>
      </w:pPr>
      <w:r w:rsidRPr="006575B0">
        <w:t>Variances between estimate and actual</w:t>
      </w:r>
    </w:p>
    <w:p w:rsidR="000A0087" w:rsidRPr="006575B0" w:rsidRDefault="000A0087" w:rsidP="008D4CEC">
      <w:pPr>
        <w:pStyle w:val="Financialnotes"/>
        <w:numPr>
          <w:ilvl w:val="1"/>
          <w:numId w:val="26"/>
        </w:numPr>
        <w:tabs>
          <w:tab w:val="left" w:pos="1418"/>
        </w:tabs>
        <w:ind w:left="1843" w:hanging="425"/>
      </w:pPr>
      <w:r w:rsidRPr="006575B0">
        <w:t>Accommodation costs of $826,000 were recorded in the Statement of Comprehensive Income separately, as it is now a recoup of costs by the Department of Environmental Regulation from OEPA.</w:t>
      </w:r>
    </w:p>
    <w:p w:rsidR="000A0087" w:rsidRPr="006575B0" w:rsidRDefault="000A0087" w:rsidP="008D4CEC">
      <w:pPr>
        <w:pStyle w:val="Financialnotes"/>
        <w:numPr>
          <w:ilvl w:val="1"/>
          <w:numId w:val="26"/>
        </w:numPr>
        <w:tabs>
          <w:tab w:val="left" w:pos="1418"/>
        </w:tabs>
        <w:ind w:left="1843" w:hanging="425"/>
      </w:pPr>
      <w:r w:rsidRPr="006575B0">
        <w:t>Supplies and services are reduced by t</w:t>
      </w:r>
      <w:r w:rsidR="00913BB7">
        <w:t>he accommodation expense a</w:t>
      </w:r>
      <w:r w:rsidRPr="006575B0">
        <w:t xml:space="preserve">s it is now recorded separately. (See note 1). Future estimates have been adjusted to reflect this change. </w:t>
      </w:r>
    </w:p>
    <w:p w:rsidR="000A0087" w:rsidRDefault="000A0087" w:rsidP="008D4CEC">
      <w:pPr>
        <w:pStyle w:val="Financialnotes"/>
        <w:numPr>
          <w:ilvl w:val="1"/>
          <w:numId w:val="26"/>
        </w:numPr>
        <w:tabs>
          <w:tab w:val="left" w:pos="1418"/>
        </w:tabs>
        <w:ind w:left="1843" w:hanging="425"/>
      </w:pPr>
      <w:r w:rsidRPr="006575B0">
        <w:t>The depreciation figure in the budget is not taking into account the amortisation of intangibles. This is to be adjusted</w:t>
      </w:r>
      <w:r w:rsidR="00913BB7">
        <w:t xml:space="preserve"> during the 2015–16 mid-year review</w:t>
      </w:r>
      <w:r w:rsidRPr="006575B0">
        <w:t>.</w:t>
      </w:r>
    </w:p>
    <w:p w:rsidR="00913BB7" w:rsidRPr="006575B0" w:rsidRDefault="00913BB7" w:rsidP="008D4CEC">
      <w:pPr>
        <w:pStyle w:val="Financialnotes"/>
        <w:numPr>
          <w:ilvl w:val="1"/>
          <w:numId w:val="26"/>
        </w:numPr>
        <w:tabs>
          <w:tab w:val="left" w:pos="1418"/>
        </w:tabs>
        <w:ind w:left="1843" w:hanging="425"/>
      </w:pPr>
      <w:r>
        <w:t>Other expenses in the estimates does not include Other employment costs associated with Fringe Benefits Tax, Training and Workers Compensation Insurance that are recorded in the Statement of Comprehensive Income as Other expenses</w:t>
      </w:r>
    </w:p>
    <w:p w:rsidR="000A0087" w:rsidRPr="006575B0" w:rsidRDefault="000A0087" w:rsidP="008D4CEC">
      <w:pPr>
        <w:pStyle w:val="Financialnotes"/>
        <w:numPr>
          <w:ilvl w:val="1"/>
          <w:numId w:val="26"/>
        </w:numPr>
        <w:tabs>
          <w:tab w:val="left" w:pos="1418"/>
        </w:tabs>
        <w:ind w:left="1843" w:hanging="425"/>
      </w:pPr>
      <w:r w:rsidRPr="006575B0">
        <w:t>The budget amount for revenue is an estimate only and dependent on the receipt of amounts to recoup the costs of site visits.</w:t>
      </w:r>
    </w:p>
    <w:p w:rsidR="00AF6EDB" w:rsidRDefault="00AF6EDB" w:rsidP="008D4CEC">
      <w:pPr>
        <w:pStyle w:val="Financialnotes"/>
        <w:numPr>
          <w:ilvl w:val="1"/>
          <w:numId w:val="26"/>
        </w:numPr>
        <w:tabs>
          <w:tab w:val="left" w:pos="1418"/>
        </w:tabs>
        <w:ind w:left="1843" w:hanging="425"/>
      </w:pPr>
      <w:r>
        <w:t>The restricted cash held for the 27</w:t>
      </w:r>
      <w:r w:rsidRPr="00AF6EDB">
        <w:t>th</w:t>
      </w:r>
      <w:r>
        <w:t xml:space="preserve"> pay in 2015-16 is now current restricted cash and moved from non-current restricted cash.</w:t>
      </w:r>
    </w:p>
    <w:p w:rsidR="00AF6EDB" w:rsidRDefault="00AF6EDB" w:rsidP="008D4CEC">
      <w:pPr>
        <w:pStyle w:val="Financialnotes"/>
        <w:numPr>
          <w:ilvl w:val="1"/>
          <w:numId w:val="26"/>
        </w:numPr>
        <w:tabs>
          <w:tab w:val="left" w:pos="1418"/>
        </w:tabs>
        <w:ind w:left="1843" w:hanging="425"/>
      </w:pPr>
      <w:r>
        <w:t>The reduction in plant and equipment included the sale of a marine vessel. (See note 18)</w:t>
      </w:r>
    </w:p>
    <w:p w:rsidR="00AF6EDB" w:rsidRDefault="00AF6EDB" w:rsidP="008D4CEC">
      <w:pPr>
        <w:pStyle w:val="Financialnotes"/>
        <w:numPr>
          <w:ilvl w:val="1"/>
          <w:numId w:val="26"/>
        </w:numPr>
        <w:tabs>
          <w:tab w:val="left" w:pos="1418"/>
        </w:tabs>
        <w:ind w:left="1843" w:hanging="425"/>
      </w:pPr>
      <w:r>
        <w:t>The non-current assets ‘Other’ and “Property, Plant and Equipment” in the estimates do not align to the Statement of Financial Position.  This will be adjusted during the mid-year review.</w:t>
      </w:r>
    </w:p>
    <w:p w:rsidR="00AF6EDB" w:rsidRDefault="00AF6EDB" w:rsidP="008D4CEC">
      <w:pPr>
        <w:pStyle w:val="Financialnotes"/>
        <w:numPr>
          <w:ilvl w:val="1"/>
          <w:numId w:val="26"/>
        </w:numPr>
        <w:tabs>
          <w:tab w:val="left" w:pos="1418"/>
        </w:tabs>
        <w:ind w:left="1843" w:hanging="425"/>
      </w:pPr>
      <w:r>
        <w:t>The ‘Payables’ estimate was underestimated and partially impacted by an outstanding amount of $440,000 due to Department of Environmental Regulation at the end of 2014-15.</w:t>
      </w:r>
    </w:p>
    <w:p w:rsidR="00AF6EDB" w:rsidRDefault="00AF6EDB" w:rsidP="008D4CEC">
      <w:pPr>
        <w:pStyle w:val="Financialnotes"/>
        <w:numPr>
          <w:ilvl w:val="1"/>
          <w:numId w:val="26"/>
        </w:numPr>
        <w:tabs>
          <w:tab w:val="left" w:pos="1418"/>
        </w:tabs>
        <w:ind w:left="1843" w:hanging="425"/>
      </w:pPr>
      <w:r>
        <w:t>A reduction in leave liability was achieved through the continuation of the OEPA’s Leave Management Policy.</w:t>
      </w:r>
    </w:p>
    <w:p w:rsidR="00AF6EDB" w:rsidRDefault="00AF6EDB" w:rsidP="008D4CEC">
      <w:pPr>
        <w:pStyle w:val="Financialnotes"/>
        <w:numPr>
          <w:ilvl w:val="1"/>
          <w:numId w:val="26"/>
        </w:numPr>
        <w:tabs>
          <w:tab w:val="left" w:pos="1418"/>
        </w:tabs>
        <w:ind w:left="1843" w:hanging="425"/>
      </w:pPr>
      <w:r>
        <w:t>The ‘Other” in estimates is associated with accrued wages which is included in ‘Payables’ in the Statement of Financial Position. (See note 21)</w:t>
      </w:r>
    </w:p>
    <w:p w:rsidR="00AF6EDB" w:rsidRDefault="00AF6EDB" w:rsidP="008D4CEC">
      <w:pPr>
        <w:pStyle w:val="Financialnotes"/>
        <w:numPr>
          <w:ilvl w:val="1"/>
          <w:numId w:val="26"/>
        </w:numPr>
        <w:tabs>
          <w:tab w:val="left" w:pos="1418"/>
        </w:tabs>
        <w:ind w:left="1843" w:hanging="425"/>
      </w:pPr>
      <w:r>
        <w:t>Contributed equity is reduced by the return to the consolidated account the funds received for the sale of the marine vessel. (See note 23)</w:t>
      </w:r>
    </w:p>
    <w:p w:rsidR="00AF6EDB" w:rsidRDefault="00AF6EDB" w:rsidP="008D4CEC">
      <w:pPr>
        <w:pStyle w:val="Financialnotes"/>
        <w:numPr>
          <w:ilvl w:val="1"/>
          <w:numId w:val="26"/>
        </w:numPr>
        <w:tabs>
          <w:tab w:val="left" w:pos="1418"/>
        </w:tabs>
        <w:ind w:left="1843" w:hanging="425"/>
      </w:pPr>
      <w:r>
        <w:t>Supplies and services cash payments differed to the budget amount by 26% due to the payment of $440,000 due to the Department of Environmental Regulation for 2013-14 paid in 2014-15.</w:t>
      </w:r>
    </w:p>
    <w:p w:rsidR="000A0087" w:rsidRPr="006575B0" w:rsidRDefault="00AF6EDB" w:rsidP="008D4CEC">
      <w:pPr>
        <w:pStyle w:val="Financialnotes"/>
        <w:numPr>
          <w:ilvl w:val="1"/>
          <w:numId w:val="26"/>
        </w:numPr>
        <w:tabs>
          <w:tab w:val="left" w:pos="1418"/>
        </w:tabs>
        <w:ind w:left="1843" w:hanging="425"/>
      </w:pPr>
      <w:r>
        <w:t>‘GST payments on purchases’ are included in ‘Other payments’ in the estimates</w:t>
      </w:r>
      <w:r w:rsidR="000A0087" w:rsidRPr="006575B0">
        <w:t>.</w:t>
      </w:r>
    </w:p>
    <w:p w:rsidR="00AF6EDB" w:rsidRDefault="00AF6EDB" w:rsidP="006575B0">
      <w:pPr>
        <w:pStyle w:val="Financialsheading5"/>
      </w:pPr>
      <w:r>
        <w:br w:type="page"/>
      </w:r>
    </w:p>
    <w:p w:rsidR="000A0087" w:rsidRDefault="000A0087" w:rsidP="006575B0">
      <w:pPr>
        <w:pStyle w:val="Financialsheading5"/>
      </w:pPr>
      <w:r>
        <w:lastRenderedPageBreak/>
        <w:t>Variances between actual results for 2015 and 2014</w:t>
      </w:r>
    </w:p>
    <w:p w:rsidR="00AF6EDB" w:rsidRDefault="00AF6EDB" w:rsidP="008D4CEC">
      <w:pPr>
        <w:pStyle w:val="Financialnotes"/>
        <w:numPr>
          <w:ilvl w:val="0"/>
          <w:numId w:val="33"/>
        </w:numPr>
        <w:spacing w:before="200" w:after="0"/>
      </w:pPr>
      <w:r>
        <w:t>The reduction in supplies and services of 34% includes the savings achieved by bringing the Financial Information Management System and associated processes in-house, ($450,000 half year) previously paid under a service level agreement (2013</w:t>
      </w:r>
      <w:r w:rsidR="00E634E3">
        <w:t>–</w:t>
      </w:r>
      <w:r>
        <w:t>14 included implementation costs $50,000), 60% reduction in legal fees ($100,000), and 55% savings achieved in consumables and communications ($131,700).</w:t>
      </w:r>
    </w:p>
    <w:p w:rsidR="00AF6EDB" w:rsidRDefault="00AF6EDB" w:rsidP="008D4CEC">
      <w:pPr>
        <w:pStyle w:val="Financialnotes"/>
        <w:numPr>
          <w:ilvl w:val="0"/>
          <w:numId w:val="33"/>
        </w:numPr>
        <w:spacing w:before="200" w:after="0"/>
      </w:pPr>
      <w:r>
        <w:t>No grant and subsidies payments were made in 2014</w:t>
      </w:r>
      <w:r w:rsidR="00E634E3">
        <w:t>–</w:t>
      </w:r>
      <w:r>
        <w:t>15.</w:t>
      </w:r>
    </w:p>
    <w:p w:rsidR="00AF6EDB" w:rsidRDefault="00AF6EDB" w:rsidP="008D4CEC">
      <w:pPr>
        <w:pStyle w:val="Financialnotes"/>
        <w:numPr>
          <w:ilvl w:val="0"/>
          <w:numId w:val="33"/>
        </w:numPr>
        <w:spacing w:before="200" w:after="0"/>
      </w:pPr>
      <w:r>
        <w:t>‘Other expenses’ reduced in 2014</w:t>
      </w:r>
      <w:r w:rsidR="00E634E3">
        <w:t>–</w:t>
      </w:r>
      <w:r>
        <w:t>15 due to a decrease in FBT and other staff expenses.</w:t>
      </w:r>
    </w:p>
    <w:p w:rsidR="00AF6EDB" w:rsidRDefault="00AF6EDB" w:rsidP="008D4CEC">
      <w:pPr>
        <w:pStyle w:val="Financialnotes"/>
        <w:numPr>
          <w:ilvl w:val="0"/>
          <w:numId w:val="33"/>
        </w:numPr>
        <w:spacing w:before="200" w:after="0"/>
      </w:pPr>
      <w:r>
        <w:t>Salary recouped ($70,000) in 2014</w:t>
      </w:r>
      <w:r w:rsidR="00E634E3">
        <w:t>–</w:t>
      </w:r>
      <w:r>
        <w:t>15 for the Western Australian Marine Science Institute was allocated against salary and wages paid.</w:t>
      </w:r>
    </w:p>
    <w:p w:rsidR="00AF6EDB" w:rsidRDefault="00AF6EDB" w:rsidP="008D4CEC">
      <w:pPr>
        <w:pStyle w:val="Financialnotes"/>
        <w:numPr>
          <w:ilvl w:val="0"/>
          <w:numId w:val="33"/>
        </w:numPr>
        <w:spacing w:before="200" w:after="0"/>
      </w:pPr>
      <w:r>
        <w:t>The Royalties for Regions Program was completed in December 2014 with no further funds being received in 2014</w:t>
      </w:r>
      <w:r w:rsidR="00E634E3">
        <w:t>–</w:t>
      </w:r>
      <w:r>
        <w:t>15.</w:t>
      </w:r>
    </w:p>
    <w:p w:rsidR="00AF6EDB" w:rsidRDefault="00AF6EDB" w:rsidP="008D4CEC">
      <w:pPr>
        <w:pStyle w:val="Financialnotes"/>
        <w:numPr>
          <w:ilvl w:val="0"/>
          <w:numId w:val="33"/>
        </w:numPr>
        <w:spacing w:before="200" w:after="0"/>
      </w:pPr>
      <w:r>
        <w:t>Non-current restricted cash for the 27</w:t>
      </w:r>
      <w:r w:rsidRPr="00CC3AD0">
        <w:rPr>
          <w:vertAlign w:val="superscript"/>
        </w:rPr>
        <w:t>th</w:t>
      </w:r>
      <w:r>
        <w:t xml:space="preserve"> pay ($354,000) is now considered current as the 27</w:t>
      </w:r>
      <w:r w:rsidRPr="00CC3AD0">
        <w:rPr>
          <w:vertAlign w:val="superscript"/>
        </w:rPr>
        <w:t>th</w:t>
      </w:r>
      <w:r>
        <w:t xml:space="preserve"> pay occurs in 2015</w:t>
      </w:r>
      <w:r w:rsidR="00E634E3">
        <w:t>–</w:t>
      </w:r>
      <w:r>
        <w:t>16. Previous year restricted cash (187,000) was for the Royalty for Regions Program 174 now completed.</w:t>
      </w:r>
    </w:p>
    <w:p w:rsidR="00AF6EDB" w:rsidRDefault="00AF6EDB" w:rsidP="008D4CEC">
      <w:pPr>
        <w:pStyle w:val="Financialnotes"/>
        <w:numPr>
          <w:ilvl w:val="0"/>
          <w:numId w:val="33"/>
        </w:numPr>
        <w:spacing w:before="200" w:after="0"/>
      </w:pPr>
      <w:r>
        <w:t>Receivable have decreased by 21% and is reduced GST receivable.</w:t>
      </w:r>
    </w:p>
    <w:p w:rsidR="00AF6EDB" w:rsidRDefault="00AF6EDB" w:rsidP="008D4CEC">
      <w:pPr>
        <w:pStyle w:val="Financialnotes"/>
        <w:numPr>
          <w:ilvl w:val="0"/>
          <w:numId w:val="33"/>
        </w:numPr>
        <w:spacing w:before="200" w:after="0"/>
      </w:pPr>
      <w:r>
        <w:t>Current amounts receivable for services is reduced by 43% with less drawdowns being received in 2015-16 for asset replacement.</w:t>
      </w:r>
    </w:p>
    <w:p w:rsidR="00AF6EDB" w:rsidRDefault="00AF6EDB" w:rsidP="008D4CEC">
      <w:pPr>
        <w:pStyle w:val="Financialnotes"/>
        <w:numPr>
          <w:ilvl w:val="0"/>
          <w:numId w:val="33"/>
        </w:numPr>
        <w:spacing w:before="200" w:after="0"/>
      </w:pPr>
      <w:r>
        <w:t>Other current assets (prepayments) have increased by 43% due to the payment of 2015</w:t>
      </w:r>
      <w:r w:rsidR="00E634E3">
        <w:t>–</w:t>
      </w:r>
      <w:r>
        <w:t>16 licensing costs in 2014</w:t>
      </w:r>
      <w:r w:rsidR="00E634E3">
        <w:t>–</w:t>
      </w:r>
      <w:r>
        <w:t>15.</w:t>
      </w:r>
    </w:p>
    <w:p w:rsidR="00AF6EDB" w:rsidRDefault="00AF6EDB" w:rsidP="008D4CEC">
      <w:pPr>
        <w:pStyle w:val="Financialnotes"/>
        <w:numPr>
          <w:ilvl w:val="0"/>
          <w:numId w:val="33"/>
        </w:numPr>
        <w:spacing w:before="200" w:after="0"/>
      </w:pPr>
      <w:r>
        <w:t>Non-current restricted cash and cash equivalents are now considered current due to the 27</w:t>
      </w:r>
      <w:r w:rsidRPr="00573D61">
        <w:rPr>
          <w:vertAlign w:val="superscript"/>
        </w:rPr>
        <w:t>th</w:t>
      </w:r>
      <w:r>
        <w:t xml:space="preserve"> pay to be paid in 2015</w:t>
      </w:r>
      <w:r w:rsidR="00E634E3">
        <w:t>–</w:t>
      </w:r>
      <w:r>
        <w:t>16.</w:t>
      </w:r>
    </w:p>
    <w:p w:rsidR="00AF6EDB" w:rsidRDefault="00AF6EDB" w:rsidP="008D4CEC">
      <w:pPr>
        <w:pStyle w:val="Financialnotes"/>
        <w:numPr>
          <w:ilvl w:val="0"/>
          <w:numId w:val="33"/>
        </w:numPr>
        <w:spacing w:before="200" w:after="0"/>
      </w:pPr>
      <w:r>
        <w:t>Plant and Equipment has a 48% decrease due to the sale of a marine vessel no longer required for core functions.</w:t>
      </w:r>
    </w:p>
    <w:p w:rsidR="00AF6EDB" w:rsidRDefault="00AF6EDB" w:rsidP="008D4CEC">
      <w:pPr>
        <w:pStyle w:val="Financialnotes"/>
        <w:numPr>
          <w:ilvl w:val="0"/>
          <w:numId w:val="33"/>
        </w:numPr>
        <w:spacing w:before="200" w:after="0"/>
      </w:pPr>
      <w:r>
        <w:t>Current payables has reduced by 89%, the amount of $440,000 paid in 2014</w:t>
      </w:r>
      <w:r w:rsidR="00E634E3">
        <w:t>–</w:t>
      </w:r>
      <w:r>
        <w:t>15 cleared the amount payable to the Department of Environmental Regulation for the 2013</w:t>
      </w:r>
      <w:r w:rsidR="00E634E3">
        <w:t>–</w:t>
      </w:r>
      <w:r>
        <w:t>14 service agreement.</w:t>
      </w:r>
    </w:p>
    <w:p w:rsidR="00AF6EDB" w:rsidRPr="00D319DF" w:rsidRDefault="00AF6EDB" w:rsidP="008D4CEC">
      <w:pPr>
        <w:pStyle w:val="Financialnotes"/>
        <w:numPr>
          <w:ilvl w:val="0"/>
          <w:numId w:val="33"/>
        </w:numPr>
        <w:spacing w:before="200" w:after="0"/>
        <w:rPr>
          <w:b/>
        </w:rPr>
      </w:pPr>
      <w:r>
        <w:t>Non-current provision for Long Service Leave decreased by 19%, a reduction of $154,000 due to reduction of the FTE staffing level and associated leave liabilities. OEPA has a Leave Management Policy in place to reduce leave liability overall.</w:t>
      </w:r>
    </w:p>
    <w:p w:rsidR="00AF6EDB" w:rsidRPr="00D319DF" w:rsidRDefault="00AF6EDB" w:rsidP="008D4CEC">
      <w:pPr>
        <w:pStyle w:val="Financialnotes"/>
        <w:numPr>
          <w:ilvl w:val="0"/>
          <w:numId w:val="33"/>
        </w:numPr>
        <w:spacing w:before="200" w:after="0"/>
        <w:rPr>
          <w:b/>
        </w:rPr>
      </w:pPr>
      <w:r>
        <w:t>No capital appropriations received in 2013</w:t>
      </w:r>
      <w:r w:rsidR="005D530B">
        <w:t>–</w:t>
      </w:r>
      <w:r>
        <w:t>14.</w:t>
      </w:r>
    </w:p>
    <w:p w:rsidR="00AF6EDB" w:rsidRPr="00AB5B0D" w:rsidRDefault="00AF6EDB" w:rsidP="008D4CEC">
      <w:pPr>
        <w:pStyle w:val="Financialnotes"/>
        <w:numPr>
          <w:ilvl w:val="0"/>
          <w:numId w:val="33"/>
        </w:numPr>
        <w:spacing w:before="200" w:after="0"/>
        <w:rPr>
          <w:b/>
        </w:rPr>
      </w:pPr>
      <w:r>
        <w:t xml:space="preserve">The amount of $100,000 received from the sale of the marine vessel returned to Treasury as per </w:t>
      </w:r>
      <w:r w:rsidRPr="00AB5B0D">
        <w:rPr>
          <w:i/>
          <w:iCs/>
        </w:rPr>
        <w:t>Financial</w:t>
      </w:r>
      <w:r>
        <w:rPr>
          <w:i/>
          <w:iCs/>
        </w:rPr>
        <w:t xml:space="preserve"> </w:t>
      </w:r>
      <w:r w:rsidRPr="00AB5B0D">
        <w:rPr>
          <w:i/>
          <w:iCs/>
        </w:rPr>
        <w:t>Management (Net Appropriations) Determination 2012</w:t>
      </w:r>
      <w:r>
        <w:rPr>
          <w:i/>
          <w:iCs/>
        </w:rPr>
        <w:t>, section 23(2).</w:t>
      </w:r>
    </w:p>
    <w:p w:rsidR="00AF6EDB" w:rsidRPr="00510FB1" w:rsidRDefault="00AF6EDB" w:rsidP="008D4CEC">
      <w:pPr>
        <w:pStyle w:val="Financialnotes"/>
        <w:numPr>
          <w:ilvl w:val="0"/>
          <w:numId w:val="33"/>
        </w:numPr>
        <w:spacing w:before="200" w:after="0"/>
        <w:rPr>
          <w:b/>
        </w:rPr>
      </w:pPr>
      <w:r>
        <w:rPr>
          <w:iCs/>
        </w:rPr>
        <w:lastRenderedPageBreak/>
        <w:t>No Royalties for Regions funds received in 2014</w:t>
      </w:r>
      <w:r w:rsidR="005D530B">
        <w:rPr>
          <w:iCs/>
        </w:rPr>
        <w:t>–</w:t>
      </w:r>
      <w:r>
        <w:rPr>
          <w:iCs/>
        </w:rPr>
        <w:t>15, as the North West Assessment Planning Program 174 was complete at 31 December 2014 and did not require any further funding.</w:t>
      </w:r>
    </w:p>
    <w:p w:rsidR="00AF6EDB" w:rsidRPr="00510FB1" w:rsidRDefault="00AF6EDB" w:rsidP="008D4CEC">
      <w:pPr>
        <w:pStyle w:val="Financialnotes"/>
        <w:numPr>
          <w:ilvl w:val="0"/>
          <w:numId w:val="33"/>
        </w:numPr>
        <w:spacing w:before="200" w:after="0"/>
        <w:rPr>
          <w:b/>
        </w:rPr>
      </w:pPr>
      <w:r>
        <w:t>Supplies and services increased due to the payment of $440,000 due to the Department of Environmental Regulation for 2013</w:t>
      </w:r>
      <w:r w:rsidR="005D530B">
        <w:t>–</w:t>
      </w:r>
      <w:r>
        <w:t>14 paid in 2014</w:t>
      </w:r>
      <w:r w:rsidR="005D530B">
        <w:t>–</w:t>
      </w:r>
      <w:r>
        <w:t>15</w:t>
      </w:r>
      <w:r>
        <w:rPr>
          <w:iCs/>
        </w:rPr>
        <w:t>.</w:t>
      </w:r>
    </w:p>
    <w:p w:rsidR="000A0087" w:rsidRDefault="00AF6EDB" w:rsidP="008D4CEC">
      <w:pPr>
        <w:pStyle w:val="Financialnotes"/>
        <w:numPr>
          <w:ilvl w:val="0"/>
          <w:numId w:val="33"/>
        </w:numPr>
        <w:spacing w:before="200" w:after="0"/>
      </w:pPr>
      <w:r w:rsidRPr="00AF6EDB">
        <w:t>Other payments decreased by 31% through the cessation of the use of labour hire agencies.</w:t>
      </w:r>
    </w:p>
    <w:p w:rsidR="000A0087" w:rsidRDefault="000A0087" w:rsidP="006575B0">
      <w:pPr>
        <w:pStyle w:val="Financialsheading3"/>
      </w:pPr>
      <w:bookmarkStart w:id="257" w:name="_Toc264275302"/>
      <w:bookmarkStart w:id="258" w:name="_Toc264895194"/>
      <w:bookmarkStart w:id="259" w:name="_Toc265493314"/>
      <w:bookmarkStart w:id="260" w:name="_Toc268084825"/>
      <w:bookmarkStart w:id="261" w:name="_Toc278880981"/>
      <w:bookmarkStart w:id="262" w:name="_Toc317079439"/>
      <w:bookmarkStart w:id="263" w:name="_Toc317590701"/>
      <w:bookmarkStart w:id="264" w:name="_Toc427745945"/>
      <w:proofErr w:type="gramStart"/>
      <w:r w:rsidRPr="005D6BC7">
        <w:t>Note 2</w:t>
      </w:r>
      <w:r>
        <w:t>9</w:t>
      </w:r>
      <w:r w:rsidRPr="005D6BC7">
        <w:t>.</w:t>
      </w:r>
      <w:proofErr w:type="gramEnd"/>
      <w:r w:rsidRPr="005D6BC7">
        <w:t xml:space="preserve">  Financial instruments</w:t>
      </w:r>
      <w:bookmarkEnd w:id="257"/>
      <w:bookmarkEnd w:id="258"/>
      <w:bookmarkEnd w:id="259"/>
      <w:bookmarkEnd w:id="260"/>
      <w:bookmarkEnd w:id="261"/>
      <w:bookmarkEnd w:id="262"/>
      <w:bookmarkEnd w:id="263"/>
      <w:bookmarkEnd w:id="264"/>
    </w:p>
    <w:p w:rsidR="000A0087" w:rsidRPr="005D6BC7" w:rsidRDefault="000A0087" w:rsidP="006575B0">
      <w:pPr>
        <w:pStyle w:val="Financialsheading4"/>
      </w:pPr>
      <w:bookmarkStart w:id="265" w:name="_Toc264275303"/>
      <w:bookmarkStart w:id="266" w:name="_Toc264895195"/>
      <w:bookmarkStart w:id="267" w:name="_Toc265493315"/>
      <w:bookmarkStart w:id="268" w:name="_Toc268084826"/>
      <w:bookmarkStart w:id="269" w:name="_Toc278880982"/>
      <w:bookmarkStart w:id="270" w:name="_Toc317079440"/>
      <w:bookmarkStart w:id="271" w:name="_Toc317590702"/>
      <w:r w:rsidRPr="005D6BC7">
        <w:t>(a) Financial risk management objectives and policies</w:t>
      </w:r>
      <w:bookmarkEnd w:id="265"/>
      <w:bookmarkEnd w:id="266"/>
      <w:bookmarkEnd w:id="267"/>
      <w:bookmarkEnd w:id="268"/>
      <w:bookmarkEnd w:id="269"/>
      <w:bookmarkEnd w:id="270"/>
      <w:bookmarkEnd w:id="271"/>
    </w:p>
    <w:p w:rsidR="000A0087" w:rsidRPr="00050D49" w:rsidRDefault="000A0087" w:rsidP="00050D49">
      <w:pPr>
        <w:pStyle w:val="Financialnotes"/>
      </w:pPr>
      <w:r w:rsidRPr="00050D49">
        <w:t>Financial instruments held by the Department are cash and cash equivalents, restricted cash and cash equivalents, receivables and payables. The Department has limited exposure to financial risks. The Department’s overall risk management program focuses on managing the risks identified below.</w:t>
      </w:r>
    </w:p>
    <w:p w:rsidR="000A0087" w:rsidRPr="00F35451" w:rsidRDefault="000A0087" w:rsidP="000A4F0E">
      <w:pPr>
        <w:pStyle w:val="Financialsheading5"/>
      </w:pPr>
      <w:r w:rsidRPr="00F35451">
        <w:t>Credit risk</w:t>
      </w:r>
    </w:p>
    <w:p w:rsidR="000A0087" w:rsidRPr="000A4F0E" w:rsidRDefault="000A0087" w:rsidP="000A4F0E">
      <w:pPr>
        <w:pStyle w:val="Financialnotes"/>
      </w:pPr>
      <w:r w:rsidRPr="000A4F0E">
        <w:t>Credit risk arises when there is the possibility of the Department’s receivables defaulting on their contractual obligations resulting in financial loss to the Department.</w:t>
      </w:r>
    </w:p>
    <w:p w:rsidR="000A0087" w:rsidRPr="000A4F0E" w:rsidRDefault="000A0087" w:rsidP="000A4F0E">
      <w:pPr>
        <w:pStyle w:val="Financialnotes"/>
      </w:pPr>
      <w:r w:rsidRPr="000A4F0E">
        <w:t>The maximum exposure to credit risk at the end of the reporting period in relation to each class of recognised financial assets is the gross carrying amount of those assets inclusive of any allowance for impairment as shown in the table at note 2</w:t>
      </w:r>
      <w:r w:rsidR="005D530B">
        <w:t>9</w:t>
      </w:r>
      <w:r w:rsidRPr="000A4F0E">
        <w:t>(c) ‘Financial instruments disclosures’ and note 1</w:t>
      </w:r>
      <w:r w:rsidR="005D530B">
        <w:t>5</w:t>
      </w:r>
      <w:r w:rsidRPr="000A4F0E">
        <w:t xml:space="preserve"> ‘Receivables’.</w:t>
      </w:r>
    </w:p>
    <w:p w:rsidR="000A0087" w:rsidRDefault="000A0087" w:rsidP="000A4F0E">
      <w:pPr>
        <w:pStyle w:val="Financialnotes"/>
      </w:pPr>
      <w:r w:rsidRPr="000A4F0E">
        <w:t>Credit risk associated with the Department’s financial assets is minimal because the main receivable is the amounts receivable for services (holding account). For receivables other than government, the Department trades only with recognised, creditworthy third parties. The Department has policies in place to ensure that sales of products and services are made to customers with an appropriate credit history. In addition, receivable balances are monitored on an ongoing basis with the result that the Department’s exposure to bad debts is minimal. At the end of the reporting period there were no significant concentrations of credit risk.</w:t>
      </w:r>
    </w:p>
    <w:p w:rsidR="000A0087" w:rsidRPr="00F35451" w:rsidRDefault="000A0087" w:rsidP="000A4F0E">
      <w:pPr>
        <w:pStyle w:val="Financialsheading5"/>
      </w:pPr>
      <w:r w:rsidRPr="00F35451">
        <w:t>Liquidity risk</w:t>
      </w:r>
    </w:p>
    <w:p w:rsidR="000A0087" w:rsidRPr="005D6BC7" w:rsidRDefault="000A0087" w:rsidP="000A0087">
      <w:pPr>
        <w:pStyle w:val="Financialnotes"/>
      </w:pPr>
      <w:r w:rsidRPr="005D6BC7">
        <w:t>Liquidity risk arises when the Department is unable to meet its financial obligations as they fall due.</w:t>
      </w:r>
    </w:p>
    <w:p w:rsidR="000A0087" w:rsidRPr="005D6BC7" w:rsidRDefault="000A0087" w:rsidP="000A0087">
      <w:pPr>
        <w:pStyle w:val="Financialnotes"/>
      </w:pPr>
      <w:r w:rsidRPr="005D6BC7">
        <w:t>The Department is exposed to liquidity risk through its trading in the normal course of business.</w:t>
      </w:r>
    </w:p>
    <w:p w:rsidR="000A0087" w:rsidRDefault="000A0087" w:rsidP="000A0087">
      <w:pPr>
        <w:pStyle w:val="Financialnotes"/>
      </w:pPr>
      <w:r w:rsidRPr="005D6BC7">
        <w:t>The Department has appropriate procedures to manage cash flows including drawdown of appropriations by monitoring forecast cash flows to ensure that sufficient funds are available to meet its commitments.</w:t>
      </w:r>
    </w:p>
    <w:p w:rsidR="000A0087" w:rsidRPr="00F35451" w:rsidRDefault="000A0087" w:rsidP="000A4F0E">
      <w:pPr>
        <w:pStyle w:val="Financialsheading5"/>
      </w:pPr>
      <w:r w:rsidRPr="00F35451">
        <w:t>Market risk</w:t>
      </w:r>
    </w:p>
    <w:p w:rsidR="000A0087" w:rsidRPr="00F35451" w:rsidRDefault="000A0087" w:rsidP="000A0087">
      <w:pPr>
        <w:pStyle w:val="Financialnotes"/>
      </w:pPr>
      <w:r w:rsidRPr="005D6BC7">
        <w:t>Market risk is the risk that changes in market prices such as foreign exchange rates and interest rates will affect the Department’s income or the value of its holdings of financial instruments. The Department does not trade in foreign currency and is not materially exposed to other price risks.</w:t>
      </w:r>
    </w:p>
    <w:p w:rsidR="000A0087" w:rsidRPr="005D6BC7" w:rsidRDefault="000A0087" w:rsidP="000A4F0E">
      <w:pPr>
        <w:pStyle w:val="Financialsheading4"/>
      </w:pPr>
      <w:r w:rsidRPr="005D6BC7">
        <w:lastRenderedPageBreak/>
        <w:t>(b) Categories of financial instruments</w:t>
      </w:r>
    </w:p>
    <w:p w:rsidR="000A0087" w:rsidRDefault="000A0087" w:rsidP="000A0087">
      <w:pPr>
        <w:pStyle w:val="Financialnotes"/>
      </w:pPr>
      <w:r w:rsidRPr="0030531D">
        <w:t>The carrying amounts of each of the following categories of financial assets and financial liabilities at the end of the reporting period are</w:t>
      </w:r>
      <w:r>
        <w:t>:</w:t>
      </w:r>
    </w:p>
    <w:tbl>
      <w:tblPr>
        <w:tblStyle w:val="TableGrid"/>
        <w:tblW w:w="8648"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760"/>
        <w:gridCol w:w="1444"/>
        <w:gridCol w:w="1444"/>
      </w:tblGrid>
      <w:tr w:rsidR="000A0087" w:rsidRPr="00DD3B67" w:rsidTr="000A0087">
        <w:tc>
          <w:tcPr>
            <w:tcW w:w="5760" w:type="dxa"/>
          </w:tcPr>
          <w:p w:rsidR="000A0087" w:rsidRPr="00DD3B67" w:rsidRDefault="000A0087" w:rsidP="000A0087">
            <w:pPr>
              <w:pStyle w:val="Body"/>
              <w:spacing w:before="80"/>
              <w:ind w:left="34"/>
              <w:rPr>
                <w:sz w:val="22"/>
              </w:rPr>
            </w:pPr>
          </w:p>
        </w:tc>
        <w:tc>
          <w:tcPr>
            <w:tcW w:w="1444"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5</w:t>
            </w:r>
            <w:r w:rsidRPr="00DD3B67">
              <w:rPr>
                <w:b/>
                <w:sz w:val="22"/>
              </w:rPr>
              <w:br/>
              <w:t>$</w:t>
            </w:r>
            <w:r>
              <w:rPr>
                <w:b/>
                <w:sz w:val="22"/>
              </w:rPr>
              <w:t>000</w:t>
            </w:r>
          </w:p>
        </w:tc>
        <w:tc>
          <w:tcPr>
            <w:tcW w:w="1444" w:type="dxa"/>
            <w:shd w:val="clear" w:color="auto" w:fill="E0DCCB" w:themeFill="accent4" w:themeFillTint="66"/>
          </w:tcPr>
          <w:p w:rsidR="000A0087" w:rsidRPr="00DD3B67" w:rsidRDefault="000A0087" w:rsidP="000A0087">
            <w:pPr>
              <w:pStyle w:val="Body"/>
              <w:spacing w:before="80"/>
              <w:ind w:left="34"/>
              <w:jc w:val="center"/>
              <w:rPr>
                <w:b/>
                <w:sz w:val="22"/>
              </w:rPr>
            </w:pPr>
            <w:r w:rsidRPr="00DD3B67">
              <w:rPr>
                <w:b/>
                <w:sz w:val="22"/>
              </w:rPr>
              <w:t>201</w:t>
            </w:r>
            <w:r>
              <w:rPr>
                <w:b/>
                <w:sz w:val="22"/>
              </w:rPr>
              <w:t>4</w:t>
            </w:r>
            <w:r w:rsidRPr="00DD3B67">
              <w:rPr>
                <w:b/>
                <w:sz w:val="22"/>
              </w:rPr>
              <w:br/>
              <w:t>$</w:t>
            </w:r>
            <w:r>
              <w:rPr>
                <w:b/>
                <w:sz w:val="22"/>
              </w:rPr>
              <w:t>000</w:t>
            </w:r>
          </w:p>
        </w:tc>
      </w:tr>
      <w:tr w:rsidR="000A0087" w:rsidRPr="009D0E26" w:rsidTr="000A0087">
        <w:tc>
          <w:tcPr>
            <w:tcW w:w="5760" w:type="dxa"/>
          </w:tcPr>
          <w:p w:rsidR="000A0087" w:rsidRPr="0030531D" w:rsidRDefault="000A0087" w:rsidP="000A4F0E">
            <w:pPr>
              <w:pStyle w:val="Body"/>
              <w:spacing w:before="80"/>
              <w:ind w:left="176"/>
              <w:rPr>
                <w:b/>
                <w:sz w:val="22"/>
              </w:rPr>
            </w:pPr>
            <w:r w:rsidRPr="0030531D">
              <w:rPr>
                <w:rFonts w:ascii="Arial" w:eastAsia="Times New Roman" w:hAnsi="Arial" w:cs="Arial"/>
                <w:b/>
                <w:kern w:val="28"/>
                <w:sz w:val="22"/>
                <w:lang w:eastAsia="en-AU"/>
              </w:rPr>
              <w:t>Financial Assets</w:t>
            </w:r>
          </w:p>
        </w:tc>
        <w:tc>
          <w:tcPr>
            <w:tcW w:w="1444" w:type="dxa"/>
            <w:shd w:val="clear" w:color="auto" w:fill="E0DCCB" w:themeFill="accent4" w:themeFillTint="66"/>
          </w:tcPr>
          <w:p w:rsidR="000A0087" w:rsidRPr="0030531D" w:rsidRDefault="000A0087" w:rsidP="000A0087">
            <w:pPr>
              <w:pStyle w:val="Body"/>
              <w:spacing w:before="80"/>
              <w:ind w:left="0"/>
              <w:jc w:val="right"/>
              <w:rPr>
                <w:sz w:val="22"/>
              </w:rPr>
            </w:pPr>
          </w:p>
        </w:tc>
        <w:tc>
          <w:tcPr>
            <w:tcW w:w="1444" w:type="dxa"/>
          </w:tcPr>
          <w:p w:rsidR="000A0087" w:rsidRPr="0030531D" w:rsidRDefault="000A0087" w:rsidP="000A0087">
            <w:pPr>
              <w:pStyle w:val="Body"/>
              <w:spacing w:before="80"/>
              <w:ind w:left="0"/>
              <w:jc w:val="right"/>
              <w:rPr>
                <w:sz w:val="22"/>
              </w:rPr>
            </w:pPr>
          </w:p>
        </w:tc>
      </w:tr>
      <w:tr w:rsidR="000A0087" w:rsidRPr="009D0E26" w:rsidTr="000A0087">
        <w:tc>
          <w:tcPr>
            <w:tcW w:w="5760" w:type="dxa"/>
          </w:tcPr>
          <w:p w:rsidR="000A0087" w:rsidRPr="0030531D" w:rsidRDefault="000A0087" w:rsidP="000A4F0E">
            <w:pPr>
              <w:pStyle w:val="Body"/>
              <w:spacing w:before="80"/>
              <w:ind w:left="176"/>
              <w:rPr>
                <w:sz w:val="22"/>
              </w:rPr>
            </w:pPr>
            <w:r w:rsidRPr="0030531D">
              <w:rPr>
                <w:rFonts w:ascii="Arial" w:eastAsia="Times New Roman" w:hAnsi="Arial" w:cs="Arial"/>
                <w:kern w:val="28"/>
                <w:sz w:val="22"/>
                <w:lang w:eastAsia="en-AU"/>
              </w:rPr>
              <w:t>Cash and cash equivalents</w:t>
            </w:r>
          </w:p>
        </w:tc>
        <w:tc>
          <w:tcPr>
            <w:tcW w:w="1444" w:type="dxa"/>
            <w:shd w:val="clear" w:color="auto" w:fill="E0DCCB" w:themeFill="accent4" w:themeFillTint="66"/>
          </w:tcPr>
          <w:p w:rsidR="000A0087" w:rsidRPr="0030531D" w:rsidRDefault="000A0087" w:rsidP="000A0087">
            <w:pPr>
              <w:pStyle w:val="Body"/>
              <w:spacing w:before="80"/>
              <w:ind w:left="0"/>
              <w:jc w:val="right"/>
              <w:rPr>
                <w:sz w:val="22"/>
              </w:rPr>
            </w:pPr>
            <w:r>
              <w:rPr>
                <w:rFonts w:ascii="Arial" w:eastAsia="Times New Roman" w:hAnsi="Arial" w:cs="Arial"/>
                <w:kern w:val="28"/>
                <w:sz w:val="22"/>
                <w:lang w:eastAsia="en-AU"/>
              </w:rPr>
              <w:t>184</w:t>
            </w:r>
          </w:p>
        </w:tc>
        <w:tc>
          <w:tcPr>
            <w:tcW w:w="1444" w:type="dxa"/>
          </w:tcPr>
          <w:p w:rsidR="000A0087" w:rsidRPr="0030531D" w:rsidRDefault="000A0087" w:rsidP="000A0087">
            <w:pPr>
              <w:pStyle w:val="Body"/>
              <w:spacing w:before="80"/>
              <w:ind w:left="0"/>
              <w:jc w:val="right"/>
              <w:rPr>
                <w:sz w:val="22"/>
              </w:rPr>
            </w:pPr>
            <w:r w:rsidRPr="0030531D">
              <w:rPr>
                <w:rFonts w:ascii="Arial" w:eastAsia="Times New Roman" w:hAnsi="Arial" w:cs="Arial"/>
                <w:kern w:val="28"/>
                <w:sz w:val="22"/>
                <w:lang w:eastAsia="en-AU"/>
              </w:rPr>
              <w:t>199</w:t>
            </w:r>
          </w:p>
        </w:tc>
      </w:tr>
      <w:tr w:rsidR="000A0087" w:rsidRPr="009D0E26" w:rsidTr="000A0087">
        <w:tc>
          <w:tcPr>
            <w:tcW w:w="5760" w:type="dxa"/>
          </w:tcPr>
          <w:p w:rsidR="000A0087" w:rsidRPr="0030531D" w:rsidRDefault="000A0087" w:rsidP="000A4F0E">
            <w:pPr>
              <w:pStyle w:val="Body"/>
              <w:spacing w:before="80"/>
              <w:ind w:left="176"/>
              <w:rPr>
                <w:sz w:val="22"/>
              </w:rPr>
            </w:pPr>
            <w:r w:rsidRPr="0030531D">
              <w:rPr>
                <w:rFonts w:ascii="Arial" w:eastAsia="Times New Roman" w:hAnsi="Arial" w:cs="Arial"/>
                <w:kern w:val="28"/>
                <w:sz w:val="22"/>
                <w:lang w:eastAsia="en-AU"/>
              </w:rPr>
              <w:t>Restricted cash and cash equivalents</w:t>
            </w:r>
          </w:p>
        </w:tc>
        <w:tc>
          <w:tcPr>
            <w:tcW w:w="1444" w:type="dxa"/>
            <w:shd w:val="clear" w:color="auto" w:fill="E0DCCB" w:themeFill="accent4" w:themeFillTint="66"/>
          </w:tcPr>
          <w:p w:rsidR="000A0087" w:rsidRPr="0030531D" w:rsidRDefault="000A0087" w:rsidP="000A0087">
            <w:pPr>
              <w:pStyle w:val="Body"/>
              <w:spacing w:before="80"/>
              <w:ind w:left="0"/>
              <w:jc w:val="right"/>
              <w:rPr>
                <w:sz w:val="22"/>
              </w:rPr>
            </w:pPr>
            <w:r>
              <w:rPr>
                <w:rFonts w:ascii="Arial" w:eastAsia="Times New Roman" w:hAnsi="Arial" w:cs="Arial"/>
                <w:kern w:val="28"/>
                <w:sz w:val="22"/>
                <w:lang w:eastAsia="en-AU"/>
              </w:rPr>
              <w:t>354</w:t>
            </w:r>
          </w:p>
        </w:tc>
        <w:tc>
          <w:tcPr>
            <w:tcW w:w="1444" w:type="dxa"/>
          </w:tcPr>
          <w:p w:rsidR="000A0087" w:rsidRPr="0030531D" w:rsidRDefault="000A0087" w:rsidP="000A0087">
            <w:pPr>
              <w:pStyle w:val="Body"/>
              <w:spacing w:before="80"/>
              <w:ind w:left="0"/>
              <w:jc w:val="right"/>
              <w:rPr>
                <w:sz w:val="22"/>
              </w:rPr>
            </w:pPr>
            <w:r w:rsidRPr="0030531D">
              <w:rPr>
                <w:rFonts w:ascii="Arial" w:eastAsia="Times New Roman" w:hAnsi="Arial" w:cs="Arial"/>
                <w:kern w:val="28"/>
                <w:sz w:val="22"/>
                <w:lang w:eastAsia="en-AU"/>
              </w:rPr>
              <w:t>510</w:t>
            </w:r>
          </w:p>
        </w:tc>
      </w:tr>
      <w:tr w:rsidR="000A0087" w:rsidRPr="009D0E26" w:rsidTr="000A0087">
        <w:tc>
          <w:tcPr>
            <w:tcW w:w="5760" w:type="dxa"/>
          </w:tcPr>
          <w:p w:rsidR="000A0087" w:rsidRPr="0030531D" w:rsidRDefault="000A0087" w:rsidP="000A4F0E">
            <w:pPr>
              <w:pStyle w:val="Body"/>
              <w:spacing w:before="80"/>
              <w:ind w:left="176"/>
              <w:rPr>
                <w:sz w:val="22"/>
              </w:rPr>
            </w:pPr>
            <w:r w:rsidRPr="0030531D">
              <w:rPr>
                <w:rFonts w:ascii="Arial" w:eastAsia="Times New Roman" w:hAnsi="Arial" w:cs="Arial"/>
                <w:kern w:val="28"/>
                <w:sz w:val="22"/>
                <w:lang w:eastAsia="en-AU"/>
              </w:rPr>
              <w:t>Receivables</w:t>
            </w:r>
            <w:r w:rsidRPr="0030531D">
              <w:rPr>
                <w:rFonts w:ascii="Arial" w:eastAsia="Times New Roman" w:hAnsi="Arial" w:cs="Arial"/>
                <w:kern w:val="28"/>
                <w:sz w:val="22"/>
                <w:vertAlign w:val="superscript"/>
                <w:lang w:eastAsia="en-AU"/>
              </w:rPr>
              <w:t>(a)</w:t>
            </w:r>
          </w:p>
        </w:tc>
        <w:tc>
          <w:tcPr>
            <w:tcW w:w="1444" w:type="dxa"/>
            <w:shd w:val="clear" w:color="auto" w:fill="E0DCCB" w:themeFill="accent4" w:themeFillTint="66"/>
          </w:tcPr>
          <w:p w:rsidR="000A0087" w:rsidRPr="0030531D" w:rsidRDefault="000A0087" w:rsidP="000A0087">
            <w:pPr>
              <w:pStyle w:val="Body"/>
              <w:spacing w:before="80"/>
              <w:ind w:left="0"/>
              <w:jc w:val="right"/>
              <w:rPr>
                <w:sz w:val="22"/>
              </w:rPr>
            </w:pPr>
            <w:r>
              <w:rPr>
                <w:rFonts w:ascii="Arial" w:eastAsia="Times New Roman" w:hAnsi="Arial" w:cs="Arial"/>
                <w:kern w:val="28"/>
                <w:sz w:val="22"/>
                <w:lang w:eastAsia="en-AU"/>
              </w:rPr>
              <w:t>697</w:t>
            </w:r>
          </w:p>
        </w:tc>
        <w:tc>
          <w:tcPr>
            <w:tcW w:w="1444" w:type="dxa"/>
          </w:tcPr>
          <w:p w:rsidR="000A0087" w:rsidRPr="0030531D" w:rsidRDefault="000A0087" w:rsidP="000A0087">
            <w:pPr>
              <w:pStyle w:val="Body"/>
              <w:spacing w:before="80"/>
              <w:ind w:left="0"/>
              <w:jc w:val="right"/>
              <w:rPr>
                <w:sz w:val="22"/>
              </w:rPr>
            </w:pPr>
            <w:r w:rsidRPr="0030531D">
              <w:rPr>
                <w:rFonts w:ascii="Arial" w:eastAsia="Times New Roman" w:hAnsi="Arial" w:cs="Arial"/>
                <w:kern w:val="28"/>
                <w:sz w:val="22"/>
                <w:lang w:eastAsia="en-AU"/>
              </w:rPr>
              <w:t>718</w:t>
            </w:r>
          </w:p>
        </w:tc>
      </w:tr>
      <w:tr w:rsidR="000A0087" w:rsidRPr="009D0E26" w:rsidTr="000A0087">
        <w:tc>
          <w:tcPr>
            <w:tcW w:w="5760" w:type="dxa"/>
          </w:tcPr>
          <w:p w:rsidR="000A0087" w:rsidRPr="0030531D" w:rsidRDefault="000A0087" w:rsidP="000A4F0E">
            <w:pPr>
              <w:pStyle w:val="Body"/>
              <w:spacing w:before="80"/>
              <w:ind w:left="176"/>
              <w:rPr>
                <w:sz w:val="22"/>
              </w:rPr>
            </w:pPr>
          </w:p>
        </w:tc>
        <w:tc>
          <w:tcPr>
            <w:tcW w:w="1444" w:type="dxa"/>
            <w:shd w:val="clear" w:color="auto" w:fill="E0DCCB" w:themeFill="accent4" w:themeFillTint="66"/>
          </w:tcPr>
          <w:p w:rsidR="000A0087" w:rsidRPr="0030531D" w:rsidRDefault="000A0087" w:rsidP="000A0087">
            <w:pPr>
              <w:pStyle w:val="Body"/>
              <w:spacing w:before="80"/>
              <w:ind w:left="0"/>
              <w:jc w:val="right"/>
              <w:rPr>
                <w:sz w:val="22"/>
              </w:rPr>
            </w:pPr>
          </w:p>
        </w:tc>
        <w:tc>
          <w:tcPr>
            <w:tcW w:w="1444" w:type="dxa"/>
          </w:tcPr>
          <w:p w:rsidR="000A0087" w:rsidRPr="0030531D" w:rsidRDefault="000A0087" w:rsidP="000A0087">
            <w:pPr>
              <w:pStyle w:val="Body"/>
              <w:spacing w:before="80"/>
              <w:ind w:left="0"/>
              <w:jc w:val="right"/>
              <w:rPr>
                <w:sz w:val="22"/>
              </w:rPr>
            </w:pPr>
          </w:p>
        </w:tc>
      </w:tr>
      <w:tr w:rsidR="000A0087" w:rsidRPr="009D0E26" w:rsidTr="000A0087">
        <w:tc>
          <w:tcPr>
            <w:tcW w:w="5760" w:type="dxa"/>
          </w:tcPr>
          <w:p w:rsidR="000A0087" w:rsidRPr="0030531D" w:rsidRDefault="000A0087" w:rsidP="000A4F0E">
            <w:pPr>
              <w:pStyle w:val="Body"/>
              <w:spacing w:before="80"/>
              <w:ind w:left="176"/>
              <w:rPr>
                <w:b/>
                <w:sz w:val="22"/>
              </w:rPr>
            </w:pPr>
            <w:r w:rsidRPr="0030531D">
              <w:rPr>
                <w:rFonts w:ascii="Arial" w:eastAsia="Times New Roman" w:hAnsi="Arial" w:cs="Arial"/>
                <w:b/>
                <w:kern w:val="28"/>
                <w:sz w:val="22"/>
                <w:lang w:eastAsia="en-AU"/>
              </w:rPr>
              <w:t>Financial Liabilities</w:t>
            </w:r>
          </w:p>
        </w:tc>
        <w:tc>
          <w:tcPr>
            <w:tcW w:w="1444" w:type="dxa"/>
            <w:shd w:val="clear" w:color="auto" w:fill="E0DCCB" w:themeFill="accent4" w:themeFillTint="66"/>
          </w:tcPr>
          <w:p w:rsidR="000A0087" w:rsidRPr="0030531D" w:rsidRDefault="000A0087" w:rsidP="000A0087">
            <w:pPr>
              <w:pStyle w:val="Body"/>
              <w:spacing w:before="80"/>
              <w:ind w:left="0"/>
              <w:jc w:val="right"/>
              <w:rPr>
                <w:sz w:val="22"/>
              </w:rPr>
            </w:pPr>
          </w:p>
        </w:tc>
        <w:tc>
          <w:tcPr>
            <w:tcW w:w="1444" w:type="dxa"/>
          </w:tcPr>
          <w:p w:rsidR="000A0087" w:rsidRPr="0030531D" w:rsidRDefault="000A0087" w:rsidP="000A0087">
            <w:pPr>
              <w:pStyle w:val="Body"/>
              <w:spacing w:before="80"/>
              <w:ind w:left="0"/>
              <w:jc w:val="right"/>
              <w:rPr>
                <w:sz w:val="22"/>
              </w:rPr>
            </w:pPr>
          </w:p>
        </w:tc>
      </w:tr>
      <w:tr w:rsidR="000A0087" w:rsidRPr="009D0E26" w:rsidTr="000A0087">
        <w:trPr>
          <w:trHeight w:val="266"/>
        </w:trPr>
        <w:tc>
          <w:tcPr>
            <w:tcW w:w="5760" w:type="dxa"/>
          </w:tcPr>
          <w:p w:rsidR="000A0087" w:rsidRPr="0030531D" w:rsidRDefault="000A0087" w:rsidP="000A4F0E">
            <w:pPr>
              <w:pStyle w:val="Body"/>
              <w:spacing w:before="80"/>
              <w:ind w:left="176"/>
              <w:rPr>
                <w:sz w:val="22"/>
              </w:rPr>
            </w:pPr>
            <w:r w:rsidRPr="0030531D">
              <w:rPr>
                <w:rFonts w:ascii="Arial" w:eastAsia="Times New Roman" w:hAnsi="Arial" w:cs="Arial"/>
                <w:kern w:val="28"/>
                <w:sz w:val="22"/>
                <w:lang w:eastAsia="en-AU"/>
              </w:rPr>
              <w:t>Financial liabilities measured at amortised cost</w:t>
            </w:r>
          </w:p>
        </w:tc>
        <w:tc>
          <w:tcPr>
            <w:tcW w:w="1444" w:type="dxa"/>
            <w:shd w:val="clear" w:color="auto" w:fill="E0DCCB" w:themeFill="accent4" w:themeFillTint="66"/>
          </w:tcPr>
          <w:p w:rsidR="000A0087" w:rsidRPr="0030531D" w:rsidRDefault="000A0087" w:rsidP="000A0087">
            <w:pPr>
              <w:pStyle w:val="Body"/>
              <w:spacing w:before="80"/>
              <w:ind w:left="0"/>
              <w:jc w:val="right"/>
              <w:rPr>
                <w:sz w:val="22"/>
              </w:rPr>
            </w:pPr>
            <w:r>
              <w:rPr>
                <w:rFonts w:ascii="Arial" w:eastAsia="Times New Roman" w:hAnsi="Arial" w:cs="Arial"/>
                <w:kern w:val="28"/>
                <w:sz w:val="22"/>
                <w:lang w:eastAsia="en-AU"/>
              </w:rPr>
              <w:t>424</w:t>
            </w:r>
          </w:p>
        </w:tc>
        <w:tc>
          <w:tcPr>
            <w:tcW w:w="1444" w:type="dxa"/>
          </w:tcPr>
          <w:p w:rsidR="000A0087" w:rsidRPr="0030531D" w:rsidRDefault="000A0087" w:rsidP="000A0087">
            <w:pPr>
              <w:pStyle w:val="Body"/>
              <w:spacing w:before="80"/>
              <w:ind w:left="0"/>
              <w:jc w:val="right"/>
              <w:rPr>
                <w:sz w:val="22"/>
              </w:rPr>
            </w:pPr>
            <w:r w:rsidRPr="0030531D">
              <w:rPr>
                <w:rFonts w:ascii="Arial" w:eastAsia="Times New Roman" w:hAnsi="Arial" w:cs="Arial"/>
                <w:kern w:val="28"/>
                <w:sz w:val="22"/>
                <w:lang w:eastAsia="en-AU"/>
              </w:rPr>
              <w:t>974</w:t>
            </w:r>
          </w:p>
        </w:tc>
      </w:tr>
    </w:tbl>
    <w:p w:rsidR="000A0087" w:rsidRPr="0030531D" w:rsidRDefault="000A0087" w:rsidP="008D4CEC">
      <w:pPr>
        <w:pStyle w:val="Financialnotes"/>
        <w:numPr>
          <w:ilvl w:val="0"/>
          <w:numId w:val="15"/>
        </w:numPr>
        <w:spacing w:before="200" w:after="0"/>
        <w:ind w:left="1843" w:hanging="425"/>
      </w:pPr>
      <w:r w:rsidRPr="0030531D">
        <w:rPr>
          <w:rFonts w:ascii="Arial" w:eastAsia="Times New Roman" w:hAnsi="Arial" w:cs="Arial"/>
        </w:rPr>
        <w:t>The amount of receivables excludes GST recoverable from the ATO (statutory receivable).</w:t>
      </w:r>
    </w:p>
    <w:p w:rsidR="000A0087" w:rsidRPr="0030531D" w:rsidRDefault="000A0087" w:rsidP="000A4F0E">
      <w:pPr>
        <w:pStyle w:val="Financialsheading4"/>
      </w:pPr>
      <w:bookmarkStart w:id="272" w:name="_Toc264275305"/>
      <w:bookmarkStart w:id="273" w:name="_Toc264895197"/>
      <w:bookmarkStart w:id="274" w:name="_Toc265493317"/>
      <w:bookmarkStart w:id="275" w:name="_Toc268084828"/>
      <w:bookmarkStart w:id="276" w:name="_Toc278880984"/>
      <w:bookmarkStart w:id="277" w:name="_Toc317079442"/>
      <w:bookmarkStart w:id="278" w:name="_Toc317590704"/>
      <w:r w:rsidRPr="0030531D">
        <w:t>(c) Financial instrument disclosures</w:t>
      </w:r>
      <w:bookmarkEnd w:id="272"/>
      <w:bookmarkEnd w:id="273"/>
      <w:bookmarkEnd w:id="274"/>
      <w:bookmarkEnd w:id="275"/>
      <w:bookmarkEnd w:id="276"/>
      <w:bookmarkEnd w:id="277"/>
      <w:bookmarkEnd w:id="278"/>
    </w:p>
    <w:p w:rsidR="000A0087" w:rsidRPr="0030531D" w:rsidRDefault="000A0087" w:rsidP="000A4F0E">
      <w:pPr>
        <w:pStyle w:val="Financialsheading5"/>
      </w:pPr>
      <w:r w:rsidRPr="0030531D">
        <w:t>Credit risk</w:t>
      </w:r>
    </w:p>
    <w:p w:rsidR="000A0087" w:rsidRPr="000A4F0E" w:rsidRDefault="000A0087" w:rsidP="000A4F0E">
      <w:pPr>
        <w:pStyle w:val="Financialnotes"/>
      </w:pPr>
      <w:r w:rsidRPr="000A4F0E">
        <w:t>The following table details the Department’s maximum exposure to credit risk and the ageing analysis of financial assets. The Department’s maximum exposure to credit risk at the end of the reporting period is the carrying amount of financial assets as shown below. The table discloses the ageing of financial assets that are past due but not impaired and impaired financial assets. The table is based on information provided to senior management of the Department.</w:t>
      </w:r>
    </w:p>
    <w:p w:rsidR="000A0087" w:rsidRDefault="000A0087" w:rsidP="000A4F0E">
      <w:pPr>
        <w:pStyle w:val="Financialnotes"/>
      </w:pPr>
      <w:r w:rsidRPr="000A4F0E">
        <w:t>The Department does not hold any collateral as security or other credit enhancement relating to the financial assets it holds.</w:t>
      </w:r>
    </w:p>
    <w:p w:rsidR="000A0087" w:rsidRDefault="000A0087" w:rsidP="000A0087">
      <w:pPr>
        <w:pStyle w:val="Financialnotes"/>
        <w:sectPr w:rsidR="000A0087" w:rsidSect="000A0087">
          <w:pgSz w:w="11906" w:h="16838"/>
          <w:pgMar w:top="1440" w:right="1080" w:bottom="1276" w:left="1080" w:header="568" w:footer="0" w:gutter="0"/>
          <w:cols w:space="709"/>
          <w:docGrid w:linePitch="360"/>
        </w:sectPr>
      </w:pPr>
    </w:p>
    <w:p w:rsidR="000A0087" w:rsidRPr="007136D1" w:rsidRDefault="000A0087" w:rsidP="007136D1">
      <w:pPr>
        <w:pStyle w:val="Financialsheading5"/>
      </w:pPr>
      <w:r w:rsidRPr="007136D1">
        <w:lastRenderedPageBreak/>
        <w:t>Ageing analysis of financial assets</w:t>
      </w:r>
    </w:p>
    <w:p w:rsidR="000A0087" w:rsidRDefault="000A0087" w:rsidP="000A0087">
      <w:pPr>
        <w:pStyle w:val="Financialnotes"/>
      </w:pPr>
    </w:p>
    <w:tbl>
      <w:tblPr>
        <w:tblW w:w="0" w:type="auto"/>
        <w:tblInd w:w="72" w:type="dxa"/>
        <w:tblCellMar>
          <w:top w:w="28" w:type="dxa"/>
          <w:left w:w="72" w:type="dxa"/>
          <w:bottom w:w="28" w:type="dxa"/>
          <w:right w:w="72" w:type="dxa"/>
        </w:tblCellMar>
        <w:tblLook w:val="0000" w:firstRow="0" w:lastRow="0" w:firstColumn="0" w:lastColumn="0" w:noHBand="0" w:noVBand="0"/>
      </w:tblPr>
      <w:tblGrid>
        <w:gridCol w:w="1698"/>
        <w:gridCol w:w="1121"/>
        <w:gridCol w:w="1242"/>
        <w:gridCol w:w="832"/>
        <w:gridCol w:w="970"/>
        <w:gridCol w:w="975"/>
        <w:gridCol w:w="751"/>
        <w:gridCol w:w="758"/>
        <w:gridCol w:w="1198"/>
      </w:tblGrid>
      <w:tr w:rsidR="000A0087" w:rsidRPr="0030531D" w:rsidTr="007136D1">
        <w:tc>
          <w:tcPr>
            <w:tcW w:w="0" w:type="auto"/>
          </w:tcPr>
          <w:p w:rsidR="000A0087" w:rsidRPr="0030531D" w:rsidRDefault="000A0087" w:rsidP="007136D1">
            <w:pPr>
              <w:pStyle w:val="Financials"/>
              <w:rPr>
                <w:lang w:eastAsia="en-AU"/>
              </w:rPr>
            </w:pPr>
          </w:p>
        </w:tc>
        <w:tc>
          <w:tcPr>
            <w:tcW w:w="0" w:type="auto"/>
            <w:shd w:val="clear" w:color="auto" w:fill="E0DCCB" w:themeFill="accent4" w:themeFillTint="66"/>
          </w:tcPr>
          <w:p w:rsidR="000A0087" w:rsidRPr="0030531D" w:rsidRDefault="000A0087" w:rsidP="007136D1">
            <w:pPr>
              <w:pStyle w:val="Financials"/>
              <w:jc w:val="center"/>
              <w:rPr>
                <w:b/>
                <w:lang w:eastAsia="en-AU"/>
              </w:rPr>
            </w:pPr>
          </w:p>
        </w:tc>
        <w:tc>
          <w:tcPr>
            <w:tcW w:w="0" w:type="auto"/>
            <w:tcBorders>
              <w:right w:val="single" w:sz="4" w:space="0" w:color="B2A97E" w:themeColor="accent4"/>
            </w:tcBorders>
            <w:shd w:val="clear" w:color="auto" w:fill="auto"/>
          </w:tcPr>
          <w:p w:rsidR="000A0087" w:rsidRPr="0030531D" w:rsidRDefault="000A0087" w:rsidP="007136D1">
            <w:pPr>
              <w:pStyle w:val="Financials"/>
              <w:jc w:val="center"/>
              <w:rPr>
                <w:b/>
                <w:lang w:eastAsia="en-AU"/>
              </w:rPr>
            </w:pPr>
          </w:p>
        </w:tc>
        <w:tc>
          <w:tcPr>
            <w:tcW w:w="0" w:type="auto"/>
            <w:gridSpan w:val="5"/>
            <w:tcBorders>
              <w:left w:val="single" w:sz="4" w:space="0" w:color="B2A97E" w:themeColor="accent4"/>
              <w:right w:val="single" w:sz="4" w:space="0" w:color="B2A97E" w:themeColor="accent4"/>
            </w:tcBorders>
            <w:shd w:val="clear" w:color="auto" w:fill="auto"/>
          </w:tcPr>
          <w:p w:rsidR="000A0087" w:rsidRPr="0030531D" w:rsidRDefault="000A0087" w:rsidP="007136D1">
            <w:pPr>
              <w:pStyle w:val="Financials"/>
              <w:jc w:val="center"/>
              <w:rPr>
                <w:b/>
                <w:lang w:eastAsia="en-AU"/>
              </w:rPr>
            </w:pPr>
            <w:r w:rsidRPr="0030531D">
              <w:rPr>
                <w:b/>
                <w:lang w:eastAsia="en-AU"/>
              </w:rPr>
              <w:t>Past due but not impaired</w:t>
            </w:r>
          </w:p>
        </w:tc>
        <w:tc>
          <w:tcPr>
            <w:tcW w:w="0" w:type="auto"/>
            <w:tcBorders>
              <w:left w:val="single" w:sz="4" w:space="0" w:color="B2A97E" w:themeColor="accent4"/>
            </w:tcBorders>
            <w:shd w:val="clear" w:color="auto" w:fill="auto"/>
          </w:tcPr>
          <w:p w:rsidR="000A0087" w:rsidRPr="0030531D" w:rsidRDefault="000A0087" w:rsidP="007136D1">
            <w:pPr>
              <w:pStyle w:val="Financials"/>
              <w:jc w:val="center"/>
              <w:rPr>
                <w:b/>
                <w:lang w:eastAsia="en-AU"/>
              </w:rPr>
            </w:pPr>
          </w:p>
        </w:tc>
      </w:tr>
      <w:tr w:rsidR="000A0087" w:rsidRPr="002B17DA" w:rsidTr="007136D1">
        <w:tc>
          <w:tcPr>
            <w:tcW w:w="0" w:type="auto"/>
          </w:tcPr>
          <w:p w:rsidR="000A0087" w:rsidRPr="002B17DA" w:rsidRDefault="000A0087" w:rsidP="007136D1">
            <w:pPr>
              <w:pStyle w:val="Financials"/>
              <w:rPr>
                <w:lang w:eastAsia="en-AU"/>
              </w:rPr>
            </w:pPr>
          </w:p>
        </w:tc>
        <w:tc>
          <w:tcPr>
            <w:tcW w:w="0" w:type="auto"/>
            <w:shd w:val="clear" w:color="auto" w:fill="E0DCCB" w:themeFill="accent4" w:themeFillTint="66"/>
            <w:vAlign w:val="bottom"/>
          </w:tcPr>
          <w:p w:rsidR="000A0087" w:rsidRPr="002B17DA" w:rsidRDefault="000A0087" w:rsidP="007136D1">
            <w:pPr>
              <w:pStyle w:val="Financials"/>
              <w:jc w:val="center"/>
              <w:rPr>
                <w:b/>
                <w:lang w:eastAsia="en-AU"/>
              </w:rPr>
            </w:pPr>
            <w:r w:rsidRPr="002B17DA">
              <w:rPr>
                <w:b/>
                <w:lang w:eastAsia="en-AU"/>
              </w:rPr>
              <w:t>Carrying Amount</w:t>
            </w:r>
          </w:p>
        </w:tc>
        <w:tc>
          <w:tcPr>
            <w:tcW w:w="0" w:type="auto"/>
            <w:tcBorders>
              <w:right w:val="single" w:sz="4" w:space="0" w:color="B2A97E" w:themeColor="accent4"/>
            </w:tcBorders>
            <w:shd w:val="clear" w:color="auto" w:fill="auto"/>
            <w:vAlign w:val="bottom"/>
          </w:tcPr>
          <w:p w:rsidR="000A0087" w:rsidRPr="002B17DA" w:rsidRDefault="000A0087" w:rsidP="007136D1">
            <w:pPr>
              <w:pStyle w:val="Financials"/>
              <w:jc w:val="center"/>
              <w:rPr>
                <w:b/>
                <w:lang w:eastAsia="en-AU"/>
              </w:rPr>
            </w:pPr>
            <w:r w:rsidRPr="002B17DA">
              <w:rPr>
                <w:b/>
                <w:lang w:eastAsia="en-AU"/>
              </w:rPr>
              <w:t>Not past due and not impaired</w:t>
            </w:r>
          </w:p>
        </w:tc>
        <w:tc>
          <w:tcPr>
            <w:tcW w:w="0" w:type="auto"/>
            <w:tcBorders>
              <w:left w:val="single" w:sz="4" w:space="0" w:color="B2A97E" w:themeColor="accent4"/>
            </w:tcBorders>
            <w:shd w:val="clear" w:color="auto" w:fill="auto"/>
            <w:vAlign w:val="bottom"/>
          </w:tcPr>
          <w:p w:rsidR="000A0087" w:rsidRPr="002B17DA" w:rsidRDefault="000A0087" w:rsidP="007136D1">
            <w:pPr>
              <w:pStyle w:val="Financials"/>
              <w:jc w:val="center"/>
              <w:rPr>
                <w:b/>
                <w:lang w:eastAsia="en-AU"/>
              </w:rPr>
            </w:pPr>
            <w:r w:rsidRPr="002B17DA">
              <w:rPr>
                <w:b/>
                <w:lang w:eastAsia="en-AU"/>
              </w:rPr>
              <w:t>Up to</w:t>
            </w:r>
            <w:r w:rsidRPr="002B17DA">
              <w:rPr>
                <w:b/>
                <w:lang w:eastAsia="en-AU"/>
              </w:rPr>
              <w:br/>
              <w:t>1 month</w:t>
            </w:r>
          </w:p>
        </w:tc>
        <w:tc>
          <w:tcPr>
            <w:tcW w:w="0" w:type="auto"/>
            <w:shd w:val="clear" w:color="auto" w:fill="auto"/>
            <w:vAlign w:val="bottom"/>
          </w:tcPr>
          <w:p w:rsidR="000A0087" w:rsidRPr="002B17DA" w:rsidRDefault="000A0087" w:rsidP="007136D1">
            <w:pPr>
              <w:pStyle w:val="Financials"/>
              <w:jc w:val="center"/>
              <w:rPr>
                <w:b/>
                <w:lang w:eastAsia="en-AU"/>
              </w:rPr>
            </w:pPr>
            <w:r w:rsidRPr="002B17DA">
              <w:rPr>
                <w:b/>
                <w:lang w:eastAsia="en-AU"/>
              </w:rPr>
              <w:t>1-3 months</w:t>
            </w:r>
          </w:p>
        </w:tc>
        <w:tc>
          <w:tcPr>
            <w:tcW w:w="0" w:type="auto"/>
            <w:shd w:val="clear" w:color="auto" w:fill="auto"/>
            <w:vAlign w:val="bottom"/>
          </w:tcPr>
          <w:p w:rsidR="000A0087" w:rsidRPr="002B17DA" w:rsidRDefault="000A0087" w:rsidP="007136D1">
            <w:pPr>
              <w:pStyle w:val="Financials"/>
              <w:jc w:val="center"/>
              <w:rPr>
                <w:b/>
                <w:lang w:eastAsia="en-AU"/>
              </w:rPr>
            </w:pPr>
            <w:r w:rsidRPr="002B17DA">
              <w:rPr>
                <w:b/>
                <w:lang w:eastAsia="en-AU"/>
              </w:rPr>
              <w:t xml:space="preserve">3 months to </w:t>
            </w:r>
            <w:r w:rsidRPr="002B17DA">
              <w:rPr>
                <w:b/>
                <w:lang w:eastAsia="en-AU"/>
              </w:rPr>
              <w:br/>
              <w:t>1 year</w:t>
            </w:r>
          </w:p>
        </w:tc>
        <w:tc>
          <w:tcPr>
            <w:tcW w:w="0" w:type="auto"/>
            <w:shd w:val="clear" w:color="auto" w:fill="auto"/>
            <w:vAlign w:val="bottom"/>
          </w:tcPr>
          <w:p w:rsidR="000A0087" w:rsidRPr="002B17DA" w:rsidRDefault="000A0087" w:rsidP="007136D1">
            <w:pPr>
              <w:pStyle w:val="Financials"/>
              <w:jc w:val="center"/>
              <w:rPr>
                <w:b/>
                <w:lang w:eastAsia="en-AU"/>
              </w:rPr>
            </w:pPr>
            <w:r w:rsidRPr="002B17DA">
              <w:rPr>
                <w:b/>
                <w:lang w:eastAsia="en-AU"/>
              </w:rPr>
              <w:t>1-5 years</w:t>
            </w:r>
          </w:p>
        </w:tc>
        <w:tc>
          <w:tcPr>
            <w:tcW w:w="0" w:type="auto"/>
            <w:tcBorders>
              <w:right w:val="single" w:sz="4" w:space="0" w:color="B2A97E" w:themeColor="accent4"/>
            </w:tcBorders>
            <w:shd w:val="clear" w:color="auto" w:fill="auto"/>
            <w:vAlign w:val="bottom"/>
          </w:tcPr>
          <w:p w:rsidR="000A0087" w:rsidRPr="002B17DA" w:rsidRDefault="000A0087" w:rsidP="007136D1">
            <w:pPr>
              <w:pStyle w:val="Financials"/>
              <w:jc w:val="center"/>
              <w:rPr>
                <w:b/>
                <w:lang w:eastAsia="en-AU"/>
              </w:rPr>
            </w:pPr>
            <w:r w:rsidRPr="002B17DA">
              <w:rPr>
                <w:b/>
                <w:lang w:eastAsia="en-AU"/>
              </w:rPr>
              <w:t>More than</w:t>
            </w:r>
            <w:r w:rsidRPr="002B17DA">
              <w:rPr>
                <w:b/>
                <w:lang w:eastAsia="en-AU"/>
              </w:rPr>
              <w:br/>
              <w:t>5 years</w:t>
            </w:r>
          </w:p>
        </w:tc>
        <w:tc>
          <w:tcPr>
            <w:tcW w:w="0" w:type="auto"/>
            <w:tcBorders>
              <w:left w:val="single" w:sz="4" w:space="0" w:color="B2A97E" w:themeColor="accent4"/>
            </w:tcBorders>
            <w:shd w:val="clear" w:color="auto" w:fill="auto"/>
            <w:vAlign w:val="bottom"/>
          </w:tcPr>
          <w:p w:rsidR="000A0087" w:rsidRPr="002B17DA" w:rsidRDefault="000A0087" w:rsidP="007136D1">
            <w:pPr>
              <w:pStyle w:val="Financials"/>
              <w:jc w:val="center"/>
              <w:rPr>
                <w:b/>
                <w:lang w:eastAsia="en-AU"/>
              </w:rPr>
            </w:pPr>
            <w:r w:rsidRPr="002B17DA">
              <w:rPr>
                <w:b/>
                <w:lang w:eastAsia="en-AU"/>
              </w:rPr>
              <w:t>Impaired financial assets</w:t>
            </w:r>
          </w:p>
        </w:tc>
      </w:tr>
      <w:tr w:rsidR="000A0087" w:rsidRPr="002B17DA" w:rsidTr="007136D1">
        <w:tc>
          <w:tcPr>
            <w:tcW w:w="0" w:type="auto"/>
          </w:tcPr>
          <w:p w:rsidR="000A0087" w:rsidRPr="002B17DA" w:rsidRDefault="000A0087" w:rsidP="007136D1">
            <w:pPr>
              <w:pStyle w:val="Financials"/>
              <w:rPr>
                <w:lang w:eastAsia="en-AU"/>
              </w:rPr>
            </w:pPr>
          </w:p>
        </w:tc>
        <w:tc>
          <w:tcPr>
            <w:tcW w:w="0" w:type="auto"/>
            <w:tcBorders>
              <w:bottom w:val="single" w:sz="4" w:space="0" w:color="B2A97E" w:themeColor="accent4"/>
            </w:tcBorders>
            <w:shd w:val="clear" w:color="auto" w:fill="E0DCCB" w:themeFill="accent4" w:themeFillTint="66"/>
            <w:vAlign w:val="bottom"/>
          </w:tcPr>
          <w:p w:rsidR="000A0087" w:rsidRPr="002B17DA" w:rsidRDefault="000A0087" w:rsidP="007136D1">
            <w:pPr>
              <w:pStyle w:val="Financials"/>
              <w:jc w:val="center"/>
              <w:rPr>
                <w:b/>
                <w:lang w:eastAsia="en-AU"/>
              </w:rPr>
            </w:pPr>
            <w:r w:rsidRPr="002B17DA">
              <w:rPr>
                <w:b/>
                <w:lang w:eastAsia="en-AU"/>
              </w:rPr>
              <w:t>$000</w:t>
            </w:r>
          </w:p>
        </w:tc>
        <w:tc>
          <w:tcPr>
            <w:tcW w:w="0" w:type="auto"/>
            <w:tcBorders>
              <w:bottom w:val="single" w:sz="4" w:space="0" w:color="B2A97E" w:themeColor="accent4"/>
              <w:right w:val="single" w:sz="4" w:space="0" w:color="B2A97E" w:themeColor="accent4"/>
            </w:tcBorders>
            <w:shd w:val="clear" w:color="auto" w:fill="auto"/>
            <w:vAlign w:val="bottom"/>
          </w:tcPr>
          <w:p w:rsidR="000A0087" w:rsidRPr="002B17DA" w:rsidRDefault="000A0087" w:rsidP="007136D1">
            <w:pPr>
              <w:pStyle w:val="Financials"/>
              <w:jc w:val="center"/>
              <w:rPr>
                <w:b/>
                <w:lang w:eastAsia="en-AU"/>
              </w:rPr>
            </w:pPr>
            <w:r w:rsidRPr="002B17DA">
              <w:rPr>
                <w:b/>
                <w:lang w:eastAsia="en-AU"/>
              </w:rPr>
              <w:t>$000</w:t>
            </w:r>
          </w:p>
        </w:tc>
        <w:tc>
          <w:tcPr>
            <w:tcW w:w="0" w:type="auto"/>
            <w:tcBorders>
              <w:left w:val="single" w:sz="4" w:space="0" w:color="B2A97E" w:themeColor="accent4"/>
              <w:bottom w:val="single" w:sz="4" w:space="0" w:color="B2A97E" w:themeColor="accent4"/>
            </w:tcBorders>
            <w:shd w:val="clear" w:color="auto" w:fill="auto"/>
          </w:tcPr>
          <w:p w:rsidR="000A0087" w:rsidRPr="002B17DA" w:rsidRDefault="000A0087" w:rsidP="007136D1">
            <w:pPr>
              <w:pStyle w:val="Financials"/>
              <w:jc w:val="center"/>
              <w:rPr>
                <w:b/>
                <w:lang w:eastAsia="en-AU"/>
              </w:rPr>
            </w:pPr>
            <w:r w:rsidRPr="002B17DA">
              <w:rPr>
                <w:b/>
                <w:lang w:eastAsia="en-AU"/>
              </w:rPr>
              <w:t>$000</w:t>
            </w:r>
          </w:p>
        </w:tc>
        <w:tc>
          <w:tcPr>
            <w:tcW w:w="0" w:type="auto"/>
            <w:tcBorders>
              <w:bottom w:val="single" w:sz="4" w:space="0" w:color="B2A97E" w:themeColor="accent4"/>
            </w:tcBorders>
            <w:shd w:val="clear" w:color="auto" w:fill="auto"/>
          </w:tcPr>
          <w:p w:rsidR="000A0087" w:rsidRPr="002B17DA" w:rsidRDefault="000A0087" w:rsidP="007136D1">
            <w:pPr>
              <w:pStyle w:val="Financials"/>
              <w:jc w:val="center"/>
              <w:rPr>
                <w:b/>
                <w:lang w:eastAsia="en-AU"/>
              </w:rPr>
            </w:pPr>
            <w:r w:rsidRPr="002B17DA">
              <w:rPr>
                <w:b/>
                <w:lang w:eastAsia="en-AU"/>
              </w:rPr>
              <w:t>$000</w:t>
            </w:r>
          </w:p>
        </w:tc>
        <w:tc>
          <w:tcPr>
            <w:tcW w:w="0" w:type="auto"/>
            <w:tcBorders>
              <w:bottom w:val="single" w:sz="4" w:space="0" w:color="B2A97E" w:themeColor="accent4"/>
            </w:tcBorders>
            <w:shd w:val="clear" w:color="auto" w:fill="auto"/>
          </w:tcPr>
          <w:p w:rsidR="000A0087" w:rsidRPr="002B17DA" w:rsidRDefault="000A0087" w:rsidP="007136D1">
            <w:pPr>
              <w:pStyle w:val="Financials"/>
              <w:jc w:val="center"/>
              <w:rPr>
                <w:b/>
                <w:lang w:eastAsia="en-AU"/>
              </w:rPr>
            </w:pPr>
            <w:r w:rsidRPr="002B17DA">
              <w:rPr>
                <w:b/>
                <w:lang w:eastAsia="en-AU"/>
              </w:rPr>
              <w:t>$000</w:t>
            </w:r>
          </w:p>
        </w:tc>
        <w:tc>
          <w:tcPr>
            <w:tcW w:w="0" w:type="auto"/>
            <w:tcBorders>
              <w:bottom w:val="single" w:sz="4" w:space="0" w:color="B2A97E" w:themeColor="accent4"/>
            </w:tcBorders>
            <w:shd w:val="clear" w:color="auto" w:fill="auto"/>
          </w:tcPr>
          <w:p w:rsidR="000A0087" w:rsidRPr="002B17DA" w:rsidRDefault="000A0087" w:rsidP="007136D1">
            <w:pPr>
              <w:pStyle w:val="Financials"/>
              <w:jc w:val="center"/>
              <w:rPr>
                <w:b/>
                <w:lang w:eastAsia="en-AU"/>
              </w:rPr>
            </w:pPr>
            <w:r w:rsidRPr="002B17DA">
              <w:rPr>
                <w:b/>
                <w:lang w:eastAsia="en-AU"/>
              </w:rPr>
              <w:t>$000</w:t>
            </w:r>
          </w:p>
        </w:tc>
        <w:tc>
          <w:tcPr>
            <w:tcW w:w="0" w:type="auto"/>
            <w:tcBorders>
              <w:bottom w:val="single" w:sz="4" w:space="0" w:color="B2A97E" w:themeColor="accent4"/>
              <w:right w:val="single" w:sz="4" w:space="0" w:color="B2A97E" w:themeColor="accent4"/>
            </w:tcBorders>
            <w:shd w:val="clear" w:color="auto" w:fill="auto"/>
          </w:tcPr>
          <w:p w:rsidR="000A0087" w:rsidRPr="002B17DA" w:rsidRDefault="000A0087" w:rsidP="007136D1">
            <w:pPr>
              <w:pStyle w:val="Financials"/>
              <w:jc w:val="center"/>
              <w:rPr>
                <w:b/>
                <w:lang w:eastAsia="en-AU"/>
              </w:rPr>
            </w:pPr>
            <w:r w:rsidRPr="002B17DA">
              <w:rPr>
                <w:b/>
                <w:lang w:eastAsia="en-AU"/>
              </w:rPr>
              <w:t>$000</w:t>
            </w:r>
          </w:p>
        </w:tc>
        <w:tc>
          <w:tcPr>
            <w:tcW w:w="0" w:type="auto"/>
            <w:tcBorders>
              <w:left w:val="single" w:sz="4" w:space="0" w:color="B2A97E" w:themeColor="accent4"/>
              <w:bottom w:val="single" w:sz="4" w:space="0" w:color="B2A97E" w:themeColor="accent4"/>
            </w:tcBorders>
            <w:shd w:val="clear" w:color="auto" w:fill="auto"/>
          </w:tcPr>
          <w:p w:rsidR="000A0087" w:rsidRPr="002B17DA" w:rsidRDefault="000A0087" w:rsidP="007136D1">
            <w:pPr>
              <w:pStyle w:val="Financials"/>
              <w:jc w:val="center"/>
              <w:rPr>
                <w:b/>
                <w:lang w:eastAsia="en-AU"/>
              </w:rPr>
            </w:pPr>
            <w:r w:rsidRPr="002B17DA">
              <w:rPr>
                <w:b/>
                <w:lang w:eastAsia="en-AU"/>
              </w:rPr>
              <w:t>$000</w:t>
            </w:r>
          </w:p>
        </w:tc>
      </w:tr>
      <w:tr w:rsidR="000A0087" w:rsidRPr="002B17DA" w:rsidTr="007136D1">
        <w:tc>
          <w:tcPr>
            <w:tcW w:w="0" w:type="auto"/>
          </w:tcPr>
          <w:p w:rsidR="000A0087" w:rsidRPr="002B17DA" w:rsidRDefault="000A0087" w:rsidP="007136D1">
            <w:pPr>
              <w:pStyle w:val="Financials"/>
              <w:rPr>
                <w:b/>
                <w:lang w:eastAsia="en-AU"/>
              </w:rPr>
            </w:pPr>
            <w:r>
              <w:rPr>
                <w:b/>
                <w:lang w:eastAsia="en-AU"/>
              </w:rPr>
              <w:t>2015</w:t>
            </w:r>
          </w:p>
        </w:tc>
        <w:tc>
          <w:tcPr>
            <w:tcW w:w="0" w:type="auto"/>
            <w:tcBorders>
              <w:top w:val="single" w:sz="4" w:space="0" w:color="B2A97E" w:themeColor="accent4"/>
            </w:tcBorders>
            <w:shd w:val="clear" w:color="auto" w:fill="E0DCCB" w:themeFill="accent4" w:themeFillTint="66"/>
            <w:vAlign w:val="bottom"/>
          </w:tcPr>
          <w:p w:rsidR="000A0087" w:rsidRPr="002B17DA" w:rsidRDefault="000A0087" w:rsidP="007136D1">
            <w:pPr>
              <w:pStyle w:val="Financials"/>
              <w:jc w:val="right"/>
              <w:rPr>
                <w:lang w:eastAsia="en-AU"/>
              </w:rPr>
            </w:pPr>
          </w:p>
        </w:tc>
        <w:tc>
          <w:tcPr>
            <w:tcW w:w="0" w:type="auto"/>
            <w:tcBorders>
              <w:top w:val="single" w:sz="4" w:space="0" w:color="B2A97E" w:themeColor="accent4"/>
              <w:right w:val="single" w:sz="4" w:space="0" w:color="B2A97E" w:themeColor="accent4"/>
            </w:tcBorders>
            <w:shd w:val="clear" w:color="auto" w:fill="auto"/>
            <w:vAlign w:val="bottom"/>
          </w:tcPr>
          <w:p w:rsidR="000A0087" w:rsidRPr="002B17DA" w:rsidRDefault="000A0087" w:rsidP="007136D1">
            <w:pPr>
              <w:pStyle w:val="Financials"/>
              <w:jc w:val="right"/>
              <w:rPr>
                <w:lang w:eastAsia="en-AU"/>
              </w:rPr>
            </w:pPr>
          </w:p>
        </w:tc>
        <w:tc>
          <w:tcPr>
            <w:tcW w:w="0" w:type="auto"/>
            <w:tcBorders>
              <w:top w:val="single" w:sz="4" w:space="0" w:color="B2A97E" w:themeColor="accent4"/>
              <w:left w:val="single" w:sz="4" w:space="0" w:color="B2A97E" w:themeColor="accent4"/>
            </w:tcBorders>
            <w:shd w:val="clear" w:color="auto" w:fill="auto"/>
          </w:tcPr>
          <w:p w:rsidR="000A0087" w:rsidRPr="002B17DA" w:rsidRDefault="000A0087" w:rsidP="007136D1">
            <w:pPr>
              <w:pStyle w:val="Financials"/>
              <w:jc w:val="right"/>
              <w:rPr>
                <w:lang w:eastAsia="en-AU"/>
              </w:rPr>
            </w:pPr>
          </w:p>
        </w:tc>
        <w:tc>
          <w:tcPr>
            <w:tcW w:w="0" w:type="auto"/>
            <w:tcBorders>
              <w:top w:val="single" w:sz="4" w:space="0" w:color="B2A97E" w:themeColor="accent4"/>
            </w:tcBorders>
            <w:shd w:val="clear" w:color="auto" w:fill="auto"/>
          </w:tcPr>
          <w:p w:rsidR="000A0087" w:rsidRPr="002B17DA" w:rsidRDefault="000A0087" w:rsidP="007136D1">
            <w:pPr>
              <w:pStyle w:val="Financials"/>
              <w:jc w:val="right"/>
              <w:rPr>
                <w:lang w:eastAsia="en-AU"/>
              </w:rPr>
            </w:pPr>
          </w:p>
        </w:tc>
        <w:tc>
          <w:tcPr>
            <w:tcW w:w="0" w:type="auto"/>
            <w:tcBorders>
              <w:top w:val="single" w:sz="4" w:space="0" w:color="B2A97E" w:themeColor="accent4"/>
            </w:tcBorders>
            <w:shd w:val="clear" w:color="auto" w:fill="auto"/>
          </w:tcPr>
          <w:p w:rsidR="000A0087" w:rsidRPr="002B17DA" w:rsidRDefault="000A0087" w:rsidP="007136D1">
            <w:pPr>
              <w:pStyle w:val="Financials"/>
              <w:jc w:val="right"/>
              <w:rPr>
                <w:lang w:eastAsia="en-AU"/>
              </w:rPr>
            </w:pPr>
          </w:p>
        </w:tc>
        <w:tc>
          <w:tcPr>
            <w:tcW w:w="0" w:type="auto"/>
            <w:tcBorders>
              <w:top w:val="single" w:sz="4" w:space="0" w:color="B2A97E" w:themeColor="accent4"/>
            </w:tcBorders>
            <w:shd w:val="clear" w:color="auto" w:fill="auto"/>
          </w:tcPr>
          <w:p w:rsidR="000A0087" w:rsidRPr="002B17DA" w:rsidRDefault="000A0087" w:rsidP="007136D1">
            <w:pPr>
              <w:pStyle w:val="Financials"/>
              <w:jc w:val="right"/>
              <w:rPr>
                <w:lang w:eastAsia="en-AU"/>
              </w:rPr>
            </w:pPr>
          </w:p>
        </w:tc>
        <w:tc>
          <w:tcPr>
            <w:tcW w:w="0" w:type="auto"/>
            <w:tcBorders>
              <w:top w:val="single" w:sz="4" w:space="0" w:color="B2A97E" w:themeColor="accent4"/>
              <w:right w:val="single" w:sz="4" w:space="0" w:color="B2A97E" w:themeColor="accent4"/>
            </w:tcBorders>
            <w:shd w:val="clear" w:color="auto" w:fill="auto"/>
          </w:tcPr>
          <w:p w:rsidR="000A0087" w:rsidRPr="002B17DA" w:rsidRDefault="000A0087" w:rsidP="007136D1">
            <w:pPr>
              <w:pStyle w:val="Financials"/>
              <w:jc w:val="right"/>
              <w:rPr>
                <w:lang w:eastAsia="en-AU"/>
              </w:rPr>
            </w:pPr>
          </w:p>
        </w:tc>
        <w:tc>
          <w:tcPr>
            <w:tcW w:w="0" w:type="auto"/>
            <w:tcBorders>
              <w:top w:val="single" w:sz="4" w:space="0" w:color="B2A97E" w:themeColor="accent4"/>
              <w:left w:val="single" w:sz="4" w:space="0" w:color="B2A97E" w:themeColor="accent4"/>
            </w:tcBorders>
            <w:shd w:val="clear" w:color="auto" w:fill="auto"/>
          </w:tcPr>
          <w:p w:rsidR="000A0087" w:rsidRPr="002B17DA" w:rsidRDefault="000A0087" w:rsidP="007136D1">
            <w:pPr>
              <w:pStyle w:val="Financials"/>
              <w:jc w:val="right"/>
              <w:rPr>
                <w:lang w:eastAsia="en-AU"/>
              </w:rPr>
            </w:pPr>
          </w:p>
        </w:tc>
      </w:tr>
      <w:tr w:rsidR="000A0087" w:rsidRPr="002B17DA" w:rsidTr="007136D1">
        <w:tc>
          <w:tcPr>
            <w:tcW w:w="0" w:type="auto"/>
          </w:tcPr>
          <w:p w:rsidR="000A0087" w:rsidRPr="002B17DA" w:rsidRDefault="000A0087" w:rsidP="007136D1">
            <w:pPr>
              <w:pStyle w:val="Financials"/>
              <w:rPr>
                <w:lang w:eastAsia="en-AU"/>
              </w:rPr>
            </w:pPr>
            <w:r w:rsidRPr="002B17DA">
              <w:rPr>
                <w:lang w:eastAsia="en-AU"/>
              </w:rPr>
              <w:t>Cash and cash equivalents</w:t>
            </w:r>
          </w:p>
        </w:tc>
        <w:tc>
          <w:tcPr>
            <w:tcW w:w="0" w:type="auto"/>
            <w:shd w:val="clear" w:color="auto" w:fill="E0DCCB" w:themeFill="accent4" w:themeFillTint="66"/>
            <w:vAlign w:val="center"/>
          </w:tcPr>
          <w:p w:rsidR="000A0087" w:rsidRPr="002B17DA" w:rsidRDefault="000A0087" w:rsidP="007136D1">
            <w:pPr>
              <w:pStyle w:val="Financials"/>
              <w:jc w:val="right"/>
              <w:rPr>
                <w:lang w:eastAsia="en-AU"/>
              </w:rPr>
            </w:pPr>
            <w:r>
              <w:rPr>
                <w:lang w:eastAsia="en-AU"/>
              </w:rPr>
              <w:t>184</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184</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r>
      <w:tr w:rsidR="000A0087" w:rsidRPr="002B17DA" w:rsidTr="007136D1">
        <w:tc>
          <w:tcPr>
            <w:tcW w:w="0" w:type="auto"/>
          </w:tcPr>
          <w:p w:rsidR="000A0087" w:rsidRPr="002B17DA" w:rsidRDefault="000A0087" w:rsidP="007136D1">
            <w:pPr>
              <w:pStyle w:val="Financials"/>
              <w:rPr>
                <w:lang w:eastAsia="en-AU"/>
              </w:rPr>
            </w:pPr>
            <w:r w:rsidRPr="002B17DA">
              <w:rPr>
                <w:lang w:eastAsia="en-AU"/>
              </w:rPr>
              <w:t>Restricted cash and cash equivalents</w:t>
            </w:r>
          </w:p>
        </w:tc>
        <w:tc>
          <w:tcPr>
            <w:tcW w:w="0" w:type="auto"/>
            <w:shd w:val="clear" w:color="auto" w:fill="E0DCCB" w:themeFill="accent4" w:themeFillTint="66"/>
            <w:vAlign w:val="center"/>
          </w:tcPr>
          <w:p w:rsidR="000A0087" w:rsidRPr="002B17DA" w:rsidRDefault="000A0087" w:rsidP="007136D1">
            <w:pPr>
              <w:pStyle w:val="Financials"/>
              <w:jc w:val="right"/>
              <w:rPr>
                <w:lang w:eastAsia="en-AU"/>
              </w:rPr>
            </w:pPr>
            <w:r>
              <w:rPr>
                <w:lang w:eastAsia="en-AU"/>
              </w:rPr>
              <w:t>354</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354</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r>
      <w:tr w:rsidR="000A0087" w:rsidRPr="002B17DA" w:rsidTr="007136D1">
        <w:tc>
          <w:tcPr>
            <w:tcW w:w="0" w:type="auto"/>
          </w:tcPr>
          <w:p w:rsidR="000A0087" w:rsidRPr="002B17DA" w:rsidRDefault="000A0087" w:rsidP="007136D1">
            <w:pPr>
              <w:pStyle w:val="Financials"/>
              <w:rPr>
                <w:lang w:eastAsia="en-AU"/>
              </w:rPr>
            </w:pPr>
            <w:r w:rsidRPr="002B17DA">
              <w:rPr>
                <w:lang w:eastAsia="en-AU"/>
              </w:rPr>
              <w:t>Receivables</w:t>
            </w:r>
            <w:r w:rsidRPr="002B17DA">
              <w:rPr>
                <w:vertAlign w:val="superscript"/>
                <w:lang w:eastAsia="en-AU"/>
              </w:rPr>
              <w:t>(a)</w:t>
            </w:r>
          </w:p>
        </w:tc>
        <w:tc>
          <w:tcPr>
            <w:tcW w:w="0" w:type="auto"/>
            <w:shd w:val="clear" w:color="auto" w:fill="E0DCCB" w:themeFill="accent4" w:themeFillTint="66"/>
            <w:vAlign w:val="center"/>
          </w:tcPr>
          <w:p w:rsidR="000A0087" w:rsidRPr="002B17DA" w:rsidRDefault="000A0087" w:rsidP="007136D1">
            <w:pPr>
              <w:pStyle w:val="Financials"/>
              <w:jc w:val="right"/>
              <w:rPr>
                <w:lang w:eastAsia="en-AU"/>
              </w:rPr>
            </w:pPr>
            <w:r>
              <w:rPr>
                <w:lang w:eastAsia="en-AU"/>
              </w:rPr>
              <w:t>103</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103</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r>
      <w:tr w:rsidR="000A0087" w:rsidRPr="002B17DA" w:rsidTr="007136D1">
        <w:tc>
          <w:tcPr>
            <w:tcW w:w="0" w:type="auto"/>
          </w:tcPr>
          <w:p w:rsidR="000A0087" w:rsidRPr="002B17DA" w:rsidRDefault="000A0087" w:rsidP="007136D1">
            <w:pPr>
              <w:pStyle w:val="Financials"/>
              <w:rPr>
                <w:lang w:eastAsia="en-AU"/>
              </w:rPr>
            </w:pPr>
            <w:r w:rsidRPr="002B17DA">
              <w:rPr>
                <w:lang w:eastAsia="en-AU"/>
              </w:rPr>
              <w:t>Amounts receivable for services</w:t>
            </w:r>
          </w:p>
        </w:tc>
        <w:tc>
          <w:tcPr>
            <w:tcW w:w="0" w:type="auto"/>
            <w:tcBorders>
              <w:bottom w:val="single" w:sz="4" w:space="0" w:color="FFFFFF" w:themeColor="background1"/>
            </w:tcBorders>
            <w:shd w:val="clear" w:color="auto" w:fill="E0DCCB" w:themeFill="accent4" w:themeFillTint="66"/>
            <w:vAlign w:val="center"/>
          </w:tcPr>
          <w:p w:rsidR="000A0087" w:rsidRPr="002B17DA" w:rsidRDefault="000A0087" w:rsidP="007136D1">
            <w:pPr>
              <w:pStyle w:val="Financials"/>
              <w:jc w:val="right"/>
              <w:rPr>
                <w:lang w:eastAsia="en-AU"/>
              </w:rPr>
            </w:pPr>
            <w:r>
              <w:rPr>
                <w:lang w:eastAsia="en-AU"/>
              </w:rPr>
              <w:t>594</w:t>
            </w:r>
          </w:p>
        </w:tc>
        <w:tc>
          <w:tcPr>
            <w:tcW w:w="0" w:type="auto"/>
            <w:tcBorders>
              <w:bottom w:val="single" w:sz="4" w:space="0" w:color="E0DCCB" w:themeColor="accent4" w:themeTint="66"/>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594</w:t>
            </w:r>
          </w:p>
        </w:tc>
        <w:tc>
          <w:tcPr>
            <w:tcW w:w="0" w:type="auto"/>
            <w:tcBorders>
              <w:left w:val="single" w:sz="4" w:space="0" w:color="B2A97E" w:themeColor="accent4"/>
              <w:bottom w:val="single" w:sz="4" w:space="0" w:color="E0DCCB" w:themeColor="accent4" w:themeTint="66"/>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bottom w:val="single" w:sz="4" w:space="0" w:color="E0DCCB" w:themeColor="accent4" w:themeTint="66"/>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bottom w:val="single" w:sz="4" w:space="0" w:color="E0DCCB" w:themeColor="accent4" w:themeTint="66"/>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bottom w:val="single" w:sz="4" w:space="0" w:color="E0DCCB" w:themeColor="accent4" w:themeTint="66"/>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bottom w:val="single" w:sz="4" w:space="0" w:color="E0DCCB" w:themeColor="accent4" w:themeTint="66"/>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left w:val="single" w:sz="4" w:space="0" w:color="B2A97E" w:themeColor="accent4"/>
              <w:bottom w:val="single" w:sz="4" w:space="0" w:color="E0DCCB" w:themeColor="accent4" w:themeTint="66"/>
            </w:tcBorders>
            <w:shd w:val="clear" w:color="auto" w:fill="auto"/>
            <w:vAlign w:val="center"/>
          </w:tcPr>
          <w:p w:rsidR="000A0087" w:rsidRPr="002B17DA" w:rsidRDefault="000A0087" w:rsidP="007136D1">
            <w:pPr>
              <w:pStyle w:val="Financials"/>
              <w:jc w:val="right"/>
              <w:rPr>
                <w:lang w:eastAsia="en-AU"/>
              </w:rPr>
            </w:pPr>
            <w:r>
              <w:rPr>
                <w:lang w:eastAsia="en-AU"/>
              </w:rPr>
              <w:t>-</w:t>
            </w:r>
          </w:p>
        </w:tc>
      </w:tr>
      <w:tr w:rsidR="000A0087" w:rsidRPr="002B17DA" w:rsidTr="007136D1">
        <w:tc>
          <w:tcPr>
            <w:tcW w:w="0" w:type="auto"/>
          </w:tcPr>
          <w:p w:rsidR="000A0087" w:rsidRPr="002B17DA" w:rsidRDefault="000A0087" w:rsidP="007136D1">
            <w:pPr>
              <w:pStyle w:val="Financials"/>
              <w:rPr>
                <w:lang w:eastAsia="en-AU"/>
              </w:rPr>
            </w:pPr>
          </w:p>
        </w:tc>
        <w:tc>
          <w:tcPr>
            <w:tcW w:w="0" w:type="auto"/>
            <w:tcBorders>
              <w:top w:val="single" w:sz="4" w:space="0" w:color="FFFFFF" w:themeColor="background1"/>
              <w:bottom w:val="single" w:sz="4" w:space="0" w:color="B2A97E" w:themeColor="accent4"/>
            </w:tcBorders>
            <w:shd w:val="clear" w:color="auto" w:fill="E0DCCB" w:themeFill="accent4" w:themeFillTint="66"/>
            <w:vAlign w:val="center"/>
          </w:tcPr>
          <w:p w:rsidR="000A0087" w:rsidRPr="002B17DA" w:rsidRDefault="000A0087" w:rsidP="007136D1">
            <w:pPr>
              <w:pStyle w:val="Financials"/>
              <w:jc w:val="right"/>
              <w:rPr>
                <w:b/>
                <w:lang w:eastAsia="en-AU"/>
              </w:rPr>
            </w:pPr>
            <w:r>
              <w:rPr>
                <w:b/>
                <w:lang w:eastAsia="en-AU"/>
              </w:rPr>
              <w:fldChar w:fldCharType="begin"/>
            </w:r>
            <w:r>
              <w:rPr>
                <w:b/>
                <w:lang w:eastAsia="en-AU"/>
              </w:rPr>
              <w:instrText xml:space="preserve"> =SUM(ABOVE) </w:instrText>
            </w:r>
            <w:r>
              <w:rPr>
                <w:b/>
                <w:lang w:eastAsia="en-AU"/>
              </w:rPr>
              <w:fldChar w:fldCharType="separate"/>
            </w:r>
            <w:r>
              <w:rPr>
                <w:b/>
                <w:noProof/>
                <w:lang w:eastAsia="en-AU"/>
              </w:rPr>
              <w:t>1,235</w:t>
            </w:r>
            <w:r>
              <w:rPr>
                <w:b/>
                <w:lang w:eastAsia="en-AU"/>
              </w:rPr>
              <w:fldChar w:fldCharType="end"/>
            </w:r>
          </w:p>
        </w:tc>
        <w:tc>
          <w:tcPr>
            <w:tcW w:w="0" w:type="auto"/>
            <w:tcBorders>
              <w:top w:val="single" w:sz="4" w:space="0" w:color="E0DCCB" w:themeColor="accent4" w:themeTint="66"/>
              <w:bottom w:val="single" w:sz="4" w:space="0" w:color="B2A97E" w:themeColor="accent4"/>
              <w:right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Pr>
                <w:b/>
                <w:lang w:eastAsia="en-AU"/>
              </w:rPr>
              <w:t>1,132</w:t>
            </w:r>
          </w:p>
        </w:tc>
        <w:tc>
          <w:tcPr>
            <w:tcW w:w="0" w:type="auto"/>
            <w:tcBorders>
              <w:top w:val="single" w:sz="4" w:space="0" w:color="E0DCCB" w:themeColor="accent4" w:themeTint="66"/>
              <w:left w:val="single" w:sz="4" w:space="0" w:color="B2A97E" w:themeColor="accent4"/>
              <w:bottom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Pr>
                <w:b/>
                <w:lang w:eastAsia="en-AU"/>
              </w:rPr>
              <w:t>103</w:t>
            </w:r>
          </w:p>
        </w:tc>
        <w:tc>
          <w:tcPr>
            <w:tcW w:w="0" w:type="auto"/>
            <w:tcBorders>
              <w:top w:val="single" w:sz="4" w:space="0" w:color="E0DCCB" w:themeColor="accent4" w:themeTint="66"/>
              <w:bottom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Pr>
                <w:b/>
                <w:lang w:eastAsia="en-AU"/>
              </w:rPr>
              <w:t>-</w:t>
            </w:r>
          </w:p>
        </w:tc>
        <w:tc>
          <w:tcPr>
            <w:tcW w:w="0" w:type="auto"/>
            <w:tcBorders>
              <w:top w:val="single" w:sz="4" w:space="0" w:color="E0DCCB" w:themeColor="accent4" w:themeTint="66"/>
              <w:bottom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Pr>
                <w:b/>
                <w:lang w:eastAsia="en-AU"/>
              </w:rPr>
              <w:t>-</w:t>
            </w:r>
          </w:p>
        </w:tc>
        <w:tc>
          <w:tcPr>
            <w:tcW w:w="0" w:type="auto"/>
            <w:tcBorders>
              <w:top w:val="single" w:sz="4" w:space="0" w:color="E0DCCB" w:themeColor="accent4" w:themeTint="66"/>
              <w:bottom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Pr>
                <w:b/>
                <w:lang w:eastAsia="en-AU"/>
              </w:rPr>
              <w:t>-</w:t>
            </w:r>
          </w:p>
        </w:tc>
        <w:tc>
          <w:tcPr>
            <w:tcW w:w="0" w:type="auto"/>
            <w:tcBorders>
              <w:top w:val="single" w:sz="4" w:space="0" w:color="E0DCCB" w:themeColor="accent4" w:themeTint="66"/>
              <w:bottom w:val="single" w:sz="4" w:space="0" w:color="B2A97E" w:themeColor="accent4"/>
              <w:right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Pr>
                <w:b/>
                <w:lang w:eastAsia="en-AU"/>
              </w:rPr>
              <w:t>-</w:t>
            </w:r>
          </w:p>
        </w:tc>
        <w:tc>
          <w:tcPr>
            <w:tcW w:w="0" w:type="auto"/>
            <w:tcBorders>
              <w:top w:val="single" w:sz="4" w:space="0" w:color="E0DCCB" w:themeColor="accent4" w:themeTint="66"/>
              <w:left w:val="single" w:sz="4" w:space="0" w:color="B2A97E" w:themeColor="accent4"/>
              <w:bottom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Pr>
                <w:b/>
                <w:lang w:eastAsia="en-AU"/>
              </w:rPr>
              <w:t>-</w:t>
            </w:r>
          </w:p>
        </w:tc>
      </w:tr>
      <w:tr w:rsidR="000A0087" w:rsidRPr="002B17DA" w:rsidTr="007136D1">
        <w:tc>
          <w:tcPr>
            <w:tcW w:w="0" w:type="auto"/>
          </w:tcPr>
          <w:p w:rsidR="000A0087" w:rsidRPr="002B17DA" w:rsidRDefault="000A0087" w:rsidP="007136D1">
            <w:pPr>
              <w:pStyle w:val="Financials"/>
              <w:rPr>
                <w:b/>
                <w:lang w:eastAsia="en-AU"/>
              </w:rPr>
            </w:pPr>
            <w:r>
              <w:rPr>
                <w:b/>
                <w:lang w:eastAsia="en-AU"/>
              </w:rPr>
              <w:t>2014</w:t>
            </w:r>
          </w:p>
        </w:tc>
        <w:tc>
          <w:tcPr>
            <w:tcW w:w="0" w:type="auto"/>
            <w:tcBorders>
              <w:top w:val="single" w:sz="4" w:space="0" w:color="B2A97E" w:themeColor="accent4"/>
            </w:tcBorders>
            <w:shd w:val="clear" w:color="auto" w:fill="E0DCCB" w:themeFill="accent4" w:themeFillTint="66"/>
            <w:vAlign w:val="bottom"/>
          </w:tcPr>
          <w:p w:rsidR="000A0087" w:rsidRPr="002B17DA" w:rsidRDefault="000A0087" w:rsidP="007136D1">
            <w:pPr>
              <w:pStyle w:val="Financials"/>
              <w:jc w:val="right"/>
              <w:rPr>
                <w:lang w:eastAsia="en-AU"/>
              </w:rPr>
            </w:pPr>
          </w:p>
        </w:tc>
        <w:tc>
          <w:tcPr>
            <w:tcW w:w="0" w:type="auto"/>
            <w:tcBorders>
              <w:top w:val="single" w:sz="4" w:space="0" w:color="B2A97E" w:themeColor="accent4"/>
              <w:right w:val="single" w:sz="4" w:space="0" w:color="B2A97E" w:themeColor="accent4"/>
            </w:tcBorders>
            <w:shd w:val="clear" w:color="auto" w:fill="auto"/>
            <w:vAlign w:val="bottom"/>
          </w:tcPr>
          <w:p w:rsidR="000A0087" w:rsidRPr="002B17DA" w:rsidRDefault="000A0087" w:rsidP="007136D1">
            <w:pPr>
              <w:pStyle w:val="Financials"/>
              <w:jc w:val="right"/>
              <w:rPr>
                <w:lang w:eastAsia="en-AU"/>
              </w:rPr>
            </w:pPr>
          </w:p>
        </w:tc>
        <w:tc>
          <w:tcPr>
            <w:tcW w:w="0" w:type="auto"/>
            <w:tcBorders>
              <w:top w:val="single" w:sz="4" w:space="0" w:color="B2A97E" w:themeColor="accent4"/>
              <w:left w:val="single" w:sz="4" w:space="0" w:color="B2A97E" w:themeColor="accent4"/>
            </w:tcBorders>
            <w:shd w:val="clear" w:color="auto" w:fill="auto"/>
          </w:tcPr>
          <w:p w:rsidR="000A0087" w:rsidRPr="002B17DA" w:rsidRDefault="000A0087" w:rsidP="007136D1">
            <w:pPr>
              <w:pStyle w:val="Financials"/>
              <w:jc w:val="right"/>
              <w:rPr>
                <w:lang w:eastAsia="en-AU"/>
              </w:rPr>
            </w:pPr>
          </w:p>
        </w:tc>
        <w:tc>
          <w:tcPr>
            <w:tcW w:w="0" w:type="auto"/>
            <w:tcBorders>
              <w:top w:val="single" w:sz="4" w:space="0" w:color="B2A97E" w:themeColor="accent4"/>
            </w:tcBorders>
            <w:shd w:val="clear" w:color="auto" w:fill="auto"/>
          </w:tcPr>
          <w:p w:rsidR="000A0087" w:rsidRPr="002B17DA" w:rsidRDefault="000A0087" w:rsidP="007136D1">
            <w:pPr>
              <w:pStyle w:val="Financials"/>
              <w:jc w:val="right"/>
              <w:rPr>
                <w:lang w:eastAsia="en-AU"/>
              </w:rPr>
            </w:pPr>
          </w:p>
        </w:tc>
        <w:tc>
          <w:tcPr>
            <w:tcW w:w="0" w:type="auto"/>
            <w:tcBorders>
              <w:top w:val="single" w:sz="4" w:space="0" w:color="B2A97E" w:themeColor="accent4"/>
            </w:tcBorders>
            <w:shd w:val="clear" w:color="auto" w:fill="auto"/>
          </w:tcPr>
          <w:p w:rsidR="000A0087" w:rsidRPr="002B17DA" w:rsidRDefault="000A0087" w:rsidP="007136D1">
            <w:pPr>
              <w:pStyle w:val="Financials"/>
              <w:jc w:val="right"/>
              <w:rPr>
                <w:lang w:eastAsia="en-AU"/>
              </w:rPr>
            </w:pPr>
          </w:p>
        </w:tc>
        <w:tc>
          <w:tcPr>
            <w:tcW w:w="0" w:type="auto"/>
            <w:tcBorders>
              <w:top w:val="single" w:sz="4" w:space="0" w:color="B2A97E" w:themeColor="accent4"/>
            </w:tcBorders>
            <w:shd w:val="clear" w:color="auto" w:fill="auto"/>
          </w:tcPr>
          <w:p w:rsidR="000A0087" w:rsidRPr="002B17DA" w:rsidRDefault="000A0087" w:rsidP="007136D1">
            <w:pPr>
              <w:pStyle w:val="Financials"/>
              <w:jc w:val="right"/>
              <w:rPr>
                <w:lang w:eastAsia="en-AU"/>
              </w:rPr>
            </w:pPr>
          </w:p>
        </w:tc>
        <w:tc>
          <w:tcPr>
            <w:tcW w:w="0" w:type="auto"/>
            <w:tcBorders>
              <w:top w:val="single" w:sz="4" w:space="0" w:color="B2A97E" w:themeColor="accent4"/>
              <w:right w:val="single" w:sz="4" w:space="0" w:color="B2A97E" w:themeColor="accent4"/>
            </w:tcBorders>
            <w:shd w:val="clear" w:color="auto" w:fill="auto"/>
          </w:tcPr>
          <w:p w:rsidR="000A0087" w:rsidRPr="002B17DA" w:rsidRDefault="000A0087" w:rsidP="007136D1">
            <w:pPr>
              <w:pStyle w:val="Financials"/>
              <w:jc w:val="right"/>
              <w:rPr>
                <w:lang w:eastAsia="en-AU"/>
              </w:rPr>
            </w:pPr>
          </w:p>
        </w:tc>
        <w:tc>
          <w:tcPr>
            <w:tcW w:w="0" w:type="auto"/>
            <w:tcBorders>
              <w:top w:val="single" w:sz="4" w:space="0" w:color="B2A97E" w:themeColor="accent4"/>
              <w:left w:val="single" w:sz="4" w:space="0" w:color="B2A97E" w:themeColor="accent4"/>
            </w:tcBorders>
            <w:shd w:val="clear" w:color="auto" w:fill="auto"/>
          </w:tcPr>
          <w:p w:rsidR="000A0087" w:rsidRPr="002B17DA" w:rsidRDefault="000A0087" w:rsidP="007136D1">
            <w:pPr>
              <w:pStyle w:val="Financials"/>
              <w:jc w:val="right"/>
              <w:rPr>
                <w:lang w:eastAsia="en-AU"/>
              </w:rPr>
            </w:pPr>
          </w:p>
        </w:tc>
      </w:tr>
      <w:tr w:rsidR="000A0087" w:rsidRPr="002B17DA" w:rsidTr="007136D1">
        <w:tc>
          <w:tcPr>
            <w:tcW w:w="0" w:type="auto"/>
          </w:tcPr>
          <w:p w:rsidR="000A0087" w:rsidRPr="002B17DA" w:rsidRDefault="000A0087" w:rsidP="007136D1">
            <w:pPr>
              <w:pStyle w:val="Financials"/>
              <w:rPr>
                <w:lang w:eastAsia="en-AU"/>
              </w:rPr>
            </w:pPr>
            <w:r w:rsidRPr="002B17DA">
              <w:rPr>
                <w:lang w:eastAsia="en-AU"/>
              </w:rPr>
              <w:t>Cash and cash equivalents</w:t>
            </w:r>
          </w:p>
        </w:tc>
        <w:tc>
          <w:tcPr>
            <w:tcW w:w="0" w:type="auto"/>
            <w:shd w:val="clear" w:color="auto" w:fill="E0DCCB" w:themeFill="accent4" w:themeFillTint="66"/>
            <w:vAlign w:val="center"/>
          </w:tcPr>
          <w:p w:rsidR="000A0087" w:rsidRPr="002B17DA" w:rsidRDefault="000A0087" w:rsidP="007136D1">
            <w:pPr>
              <w:pStyle w:val="Financials"/>
              <w:jc w:val="right"/>
              <w:rPr>
                <w:lang w:eastAsia="en-AU"/>
              </w:rPr>
            </w:pPr>
            <w:r w:rsidRPr="002B17DA">
              <w:rPr>
                <w:lang w:eastAsia="en-AU"/>
              </w:rPr>
              <w:t>199</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sidRPr="002B17DA">
              <w:rPr>
                <w:lang w:eastAsia="en-AU"/>
              </w:rPr>
              <w:t>199</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r>
      <w:tr w:rsidR="000A0087" w:rsidRPr="002B17DA" w:rsidTr="007136D1">
        <w:tc>
          <w:tcPr>
            <w:tcW w:w="0" w:type="auto"/>
          </w:tcPr>
          <w:p w:rsidR="000A0087" w:rsidRPr="002B17DA" w:rsidRDefault="000A0087" w:rsidP="007136D1">
            <w:pPr>
              <w:pStyle w:val="Financials"/>
              <w:rPr>
                <w:lang w:eastAsia="en-AU"/>
              </w:rPr>
            </w:pPr>
            <w:r w:rsidRPr="002B17DA">
              <w:rPr>
                <w:lang w:eastAsia="en-AU"/>
              </w:rPr>
              <w:t>Restricted cash and cash equivalents</w:t>
            </w:r>
          </w:p>
        </w:tc>
        <w:tc>
          <w:tcPr>
            <w:tcW w:w="0" w:type="auto"/>
            <w:shd w:val="clear" w:color="auto" w:fill="E0DCCB" w:themeFill="accent4" w:themeFillTint="66"/>
            <w:vAlign w:val="center"/>
          </w:tcPr>
          <w:p w:rsidR="000A0087" w:rsidRPr="002B17DA" w:rsidRDefault="000A0087" w:rsidP="007136D1">
            <w:pPr>
              <w:pStyle w:val="Financials"/>
              <w:jc w:val="right"/>
              <w:rPr>
                <w:lang w:eastAsia="en-AU"/>
              </w:rPr>
            </w:pPr>
            <w:r w:rsidRPr="002B17DA">
              <w:rPr>
                <w:lang w:eastAsia="en-AU"/>
              </w:rPr>
              <w:t>511</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sidRPr="002B17DA">
              <w:rPr>
                <w:lang w:eastAsia="en-AU"/>
              </w:rPr>
              <w:t>511</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r>
      <w:tr w:rsidR="000A0087" w:rsidRPr="002B17DA" w:rsidTr="007136D1">
        <w:tc>
          <w:tcPr>
            <w:tcW w:w="0" w:type="auto"/>
          </w:tcPr>
          <w:p w:rsidR="000A0087" w:rsidRPr="002B17DA" w:rsidRDefault="000A0087" w:rsidP="007136D1">
            <w:pPr>
              <w:pStyle w:val="Financials"/>
              <w:rPr>
                <w:lang w:eastAsia="en-AU"/>
              </w:rPr>
            </w:pPr>
            <w:r w:rsidRPr="002B17DA">
              <w:rPr>
                <w:lang w:eastAsia="en-AU"/>
              </w:rPr>
              <w:t>Receivables</w:t>
            </w:r>
            <w:r w:rsidRPr="002B17DA">
              <w:rPr>
                <w:vertAlign w:val="superscript"/>
                <w:lang w:eastAsia="en-AU"/>
              </w:rPr>
              <w:t>(a)</w:t>
            </w:r>
          </w:p>
        </w:tc>
        <w:tc>
          <w:tcPr>
            <w:tcW w:w="0" w:type="auto"/>
            <w:shd w:val="clear" w:color="auto" w:fill="E0DCCB" w:themeFill="accent4" w:themeFillTint="66"/>
            <w:vAlign w:val="center"/>
          </w:tcPr>
          <w:p w:rsidR="000A0087" w:rsidRPr="002B17DA" w:rsidRDefault="000A0087" w:rsidP="007136D1">
            <w:pPr>
              <w:pStyle w:val="Financials"/>
              <w:jc w:val="right"/>
              <w:rPr>
                <w:lang w:eastAsia="en-AU"/>
              </w:rPr>
            </w:pPr>
            <w:r w:rsidRPr="002B17DA">
              <w:rPr>
                <w:lang w:eastAsia="en-AU"/>
              </w:rPr>
              <w:t>87</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sidRPr="002B17DA">
              <w:rPr>
                <w:lang w:eastAsia="en-AU"/>
              </w:rPr>
              <w:t>74</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shd w:val="clear" w:color="auto" w:fill="auto"/>
            <w:vAlign w:val="center"/>
          </w:tcPr>
          <w:p w:rsidR="000A0087" w:rsidRPr="002B17DA" w:rsidRDefault="000A0087" w:rsidP="007136D1">
            <w:pPr>
              <w:pStyle w:val="Financials"/>
              <w:jc w:val="right"/>
              <w:rPr>
                <w:lang w:eastAsia="en-AU"/>
              </w:rPr>
            </w:pPr>
            <w:r w:rsidRPr="002B17DA">
              <w:rPr>
                <w:lang w:eastAsia="en-AU"/>
              </w:rPr>
              <w:t>13</w:t>
            </w:r>
          </w:p>
        </w:tc>
        <w:tc>
          <w:tcPr>
            <w:tcW w:w="0" w:type="auto"/>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lef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r>
      <w:tr w:rsidR="000A0087" w:rsidRPr="002B17DA" w:rsidTr="007136D1">
        <w:tc>
          <w:tcPr>
            <w:tcW w:w="0" w:type="auto"/>
          </w:tcPr>
          <w:p w:rsidR="000A0087" w:rsidRPr="002B17DA" w:rsidRDefault="000A0087" w:rsidP="007136D1">
            <w:pPr>
              <w:pStyle w:val="Financials"/>
              <w:rPr>
                <w:lang w:eastAsia="en-AU"/>
              </w:rPr>
            </w:pPr>
            <w:r w:rsidRPr="002B17DA">
              <w:rPr>
                <w:lang w:eastAsia="en-AU"/>
              </w:rPr>
              <w:t>Amounts receivable for services</w:t>
            </w:r>
          </w:p>
        </w:tc>
        <w:tc>
          <w:tcPr>
            <w:tcW w:w="0" w:type="auto"/>
            <w:tcBorders>
              <w:bottom w:val="single" w:sz="4" w:space="0" w:color="FFFFFF" w:themeColor="background1"/>
            </w:tcBorders>
            <w:shd w:val="clear" w:color="auto" w:fill="E0DCCB" w:themeFill="accent4" w:themeFillTint="66"/>
            <w:vAlign w:val="center"/>
          </w:tcPr>
          <w:p w:rsidR="000A0087" w:rsidRPr="002B17DA" w:rsidRDefault="000A0087" w:rsidP="007136D1">
            <w:pPr>
              <w:pStyle w:val="Financials"/>
              <w:jc w:val="right"/>
              <w:rPr>
                <w:lang w:eastAsia="en-AU"/>
              </w:rPr>
            </w:pPr>
            <w:r w:rsidRPr="002B17DA">
              <w:rPr>
                <w:lang w:eastAsia="en-AU"/>
              </w:rPr>
              <w:t>631</w:t>
            </w:r>
          </w:p>
        </w:tc>
        <w:tc>
          <w:tcPr>
            <w:tcW w:w="0" w:type="auto"/>
            <w:tcBorders>
              <w:bottom w:val="single" w:sz="4" w:space="0" w:color="E0DCCB" w:themeColor="accent4" w:themeTint="66"/>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sidRPr="002B17DA">
              <w:rPr>
                <w:lang w:eastAsia="en-AU"/>
              </w:rPr>
              <w:t>631</w:t>
            </w:r>
          </w:p>
        </w:tc>
        <w:tc>
          <w:tcPr>
            <w:tcW w:w="0" w:type="auto"/>
            <w:tcBorders>
              <w:left w:val="single" w:sz="4" w:space="0" w:color="B2A97E" w:themeColor="accent4"/>
              <w:bottom w:val="single" w:sz="4" w:space="0" w:color="E0DCCB" w:themeColor="accent4" w:themeTint="66"/>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bottom w:val="single" w:sz="4" w:space="0" w:color="E0DCCB" w:themeColor="accent4" w:themeTint="66"/>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bottom w:val="single" w:sz="4" w:space="0" w:color="E0DCCB" w:themeColor="accent4" w:themeTint="66"/>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bottom w:val="single" w:sz="4" w:space="0" w:color="E0DCCB" w:themeColor="accent4" w:themeTint="66"/>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bottom w:val="single" w:sz="4" w:space="0" w:color="E0DCCB" w:themeColor="accent4" w:themeTint="66"/>
              <w:right w:val="single" w:sz="4" w:space="0" w:color="B2A97E" w:themeColor="accent4"/>
            </w:tcBorders>
            <w:shd w:val="clear" w:color="auto" w:fill="auto"/>
            <w:vAlign w:val="center"/>
          </w:tcPr>
          <w:p w:rsidR="000A0087" w:rsidRPr="002B17DA" w:rsidRDefault="000A0087" w:rsidP="007136D1">
            <w:pPr>
              <w:pStyle w:val="Financials"/>
              <w:jc w:val="right"/>
              <w:rPr>
                <w:lang w:eastAsia="en-AU"/>
              </w:rPr>
            </w:pPr>
            <w:r>
              <w:rPr>
                <w:lang w:eastAsia="en-AU"/>
              </w:rPr>
              <w:t>-</w:t>
            </w:r>
          </w:p>
        </w:tc>
        <w:tc>
          <w:tcPr>
            <w:tcW w:w="0" w:type="auto"/>
            <w:tcBorders>
              <w:left w:val="single" w:sz="4" w:space="0" w:color="B2A97E" w:themeColor="accent4"/>
              <w:bottom w:val="single" w:sz="4" w:space="0" w:color="E0DCCB" w:themeColor="accent4" w:themeTint="66"/>
            </w:tcBorders>
            <w:shd w:val="clear" w:color="auto" w:fill="auto"/>
            <w:vAlign w:val="center"/>
          </w:tcPr>
          <w:p w:rsidR="000A0087" w:rsidRPr="002B17DA" w:rsidRDefault="000A0087" w:rsidP="007136D1">
            <w:pPr>
              <w:pStyle w:val="Financials"/>
              <w:jc w:val="right"/>
              <w:rPr>
                <w:lang w:eastAsia="en-AU"/>
              </w:rPr>
            </w:pPr>
            <w:r>
              <w:rPr>
                <w:lang w:eastAsia="en-AU"/>
              </w:rPr>
              <w:t>-</w:t>
            </w:r>
          </w:p>
        </w:tc>
      </w:tr>
      <w:tr w:rsidR="000A0087" w:rsidRPr="002B17DA" w:rsidTr="007136D1">
        <w:tc>
          <w:tcPr>
            <w:tcW w:w="0" w:type="auto"/>
          </w:tcPr>
          <w:p w:rsidR="000A0087" w:rsidRPr="002B17DA" w:rsidRDefault="000A0087" w:rsidP="007136D1">
            <w:pPr>
              <w:pStyle w:val="Financials"/>
              <w:rPr>
                <w:lang w:eastAsia="en-AU"/>
              </w:rPr>
            </w:pPr>
          </w:p>
        </w:tc>
        <w:tc>
          <w:tcPr>
            <w:tcW w:w="0" w:type="auto"/>
            <w:tcBorders>
              <w:top w:val="single" w:sz="4" w:space="0" w:color="FFFFFF" w:themeColor="background1"/>
              <w:bottom w:val="single" w:sz="4" w:space="0" w:color="B2A97E" w:themeColor="accent4"/>
            </w:tcBorders>
            <w:shd w:val="clear" w:color="auto" w:fill="E0DCCB" w:themeFill="accent4" w:themeFillTint="66"/>
            <w:vAlign w:val="center"/>
          </w:tcPr>
          <w:p w:rsidR="000A0087" w:rsidRPr="002B17DA" w:rsidRDefault="000A0087" w:rsidP="007136D1">
            <w:pPr>
              <w:pStyle w:val="Financials"/>
              <w:jc w:val="right"/>
              <w:rPr>
                <w:b/>
                <w:lang w:eastAsia="en-AU"/>
              </w:rPr>
            </w:pPr>
            <w:r w:rsidRPr="002B17DA">
              <w:rPr>
                <w:b/>
                <w:lang w:eastAsia="en-AU"/>
              </w:rPr>
              <w:fldChar w:fldCharType="begin"/>
            </w:r>
            <w:r w:rsidRPr="002B17DA">
              <w:rPr>
                <w:b/>
                <w:lang w:eastAsia="en-AU"/>
              </w:rPr>
              <w:instrText xml:space="preserve"> =SUM(ABOVE) </w:instrText>
            </w:r>
            <w:r w:rsidRPr="002B17DA">
              <w:rPr>
                <w:b/>
                <w:lang w:eastAsia="en-AU"/>
              </w:rPr>
              <w:fldChar w:fldCharType="separate"/>
            </w:r>
            <w:r w:rsidRPr="002B17DA">
              <w:rPr>
                <w:b/>
                <w:noProof/>
                <w:lang w:eastAsia="en-AU"/>
              </w:rPr>
              <w:t>1,428</w:t>
            </w:r>
            <w:r w:rsidRPr="002B17DA">
              <w:rPr>
                <w:b/>
                <w:lang w:eastAsia="en-AU"/>
              </w:rPr>
              <w:fldChar w:fldCharType="end"/>
            </w:r>
          </w:p>
        </w:tc>
        <w:tc>
          <w:tcPr>
            <w:tcW w:w="0" w:type="auto"/>
            <w:tcBorders>
              <w:top w:val="single" w:sz="4" w:space="0" w:color="E0DCCB" w:themeColor="accent4" w:themeTint="66"/>
              <w:bottom w:val="single" w:sz="4" w:space="0" w:color="B2A97E" w:themeColor="accent4"/>
              <w:right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sidRPr="002B17DA">
              <w:rPr>
                <w:b/>
                <w:lang w:eastAsia="en-AU"/>
              </w:rPr>
              <w:t>1,341</w:t>
            </w:r>
          </w:p>
        </w:tc>
        <w:tc>
          <w:tcPr>
            <w:tcW w:w="0" w:type="auto"/>
            <w:tcBorders>
              <w:top w:val="single" w:sz="4" w:space="0" w:color="E0DCCB" w:themeColor="accent4" w:themeTint="66"/>
              <w:left w:val="single" w:sz="4" w:space="0" w:color="B2A97E" w:themeColor="accent4"/>
              <w:bottom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sidRPr="002B17DA">
              <w:rPr>
                <w:b/>
                <w:lang w:eastAsia="en-AU"/>
              </w:rPr>
              <w:t>74</w:t>
            </w:r>
          </w:p>
        </w:tc>
        <w:tc>
          <w:tcPr>
            <w:tcW w:w="0" w:type="auto"/>
            <w:tcBorders>
              <w:top w:val="single" w:sz="4" w:space="0" w:color="E0DCCB" w:themeColor="accent4" w:themeTint="66"/>
              <w:bottom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Pr>
                <w:b/>
                <w:lang w:eastAsia="en-AU"/>
              </w:rPr>
              <w:t>-</w:t>
            </w:r>
          </w:p>
        </w:tc>
        <w:tc>
          <w:tcPr>
            <w:tcW w:w="0" w:type="auto"/>
            <w:tcBorders>
              <w:top w:val="single" w:sz="4" w:space="0" w:color="E0DCCB" w:themeColor="accent4" w:themeTint="66"/>
              <w:bottom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sidRPr="002B17DA">
              <w:rPr>
                <w:b/>
                <w:lang w:eastAsia="en-AU"/>
              </w:rPr>
              <w:t>13</w:t>
            </w:r>
          </w:p>
        </w:tc>
        <w:tc>
          <w:tcPr>
            <w:tcW w:w="0" w:type="auto"/>
            <w:tcBorders>
              <w:top w:val="single" w:sz="4" w:space="0" w:color="E0DCCB" w:themeColor="accent4" w:themeTint="66"/>
              <w:bottom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Pr>
                <w:b/>
                <w:lang w:eastAsia="en-AU"/>
              </w:rPr>
              <w:t>-</w:t>
            </w:r>
          </w:p>
        </w:tc>
        <w:tc>
          <w:tcPr>
            <w:tcW w:w="0" w:type="auto"/>
            <w:tcBorders>
              <w:top w:val="single" w:sz="4" w:space="0" w:color="E0DCCB" w:themeColor="accent4" w:themeTint="66"/>
              <w:bottom w:val="single" w:sz="4" w:space="0" w:color="B2A97E" w:themeColor="accent4"/>
              <w:right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Pr>
                <w:b/>
                <w:lang w:eastAsia="en-AU"/>
              </w:rPr>
              <w:t>-</w:t>
            </w:r>
          </w:p>
        </w:tc>
        <w:tc>
          <w:tcPr>
            <w:tcW w:w="0" w:type="auto"/>
            <w:tcBorders>
              <w:top w:val="single" w:sz="4" w:space="0" w:color="E0DCCB" w:themeColor="accent4" w:themeTint="66"/>
              <w:left w:val="single" w:sz="4" w:space="0" w:color="B2A97E" w:themeColor="accent4"/>
              <w:bottom w:val="single" w:sz="4" w:space="0" w:color="B2A97E" w:themeColor="accent4"/>
            </w:tcBorders>
            <w:shd w:val="clear" w:color="auto" w:fill="auto"/>
            <w:vAlign w:val="center"/>
          </w:tcPr>
          <w:p w:rsidR="000A0087" w:rsidRPr="002B17DA" w:rsidRDefault="000A0087" w:rsidP="007136D1">
            <w:pPr>
              <w:pStyle w:val="Financials"/>
              <w:jc w:val="right"/>
              <w:rPr>
                <w:b/>
                <w:lang w:eastAsia="en-AU"/>
              </w:rPr>
            </w:pPr>
            <w:r>
              <w:rPr>
                <w:b/>
                <w:lang w:eastAsia="en-AU"/>
              </w:rPr>
              <w:t>-</w:t>
            </w:r>
          </w:p>
        </w:tc>
      </w:tr>
    </w:tbl>
    <w:p w:rsidR="000A0087" w:rsidRPr="002B17DA" w:rsidRDefault="000A0087" w:rsidP="000A0087">
      <w:pPr>
        <w:pStyle w:val="Financialnotes"/>
        <w:rPr>
          <w:lang w:eastAsia="en-AU"/>
        </w:rPr>
      </w:pPr>
    </w:p>
    <w:p w:rsidR="000A0087" w:rsidRPr="00C03B57" w:rsidRDefault="000A0087" w:rsidP="008D4CEC">
      <w:pPr>
        <w:pStyle w:val="Financialnotes"/>
        <w:numPr>
          <w:ilvl w:val="0"/>
          <w:numId w:val="27"/>
        </w:numPr>
        <w:rPr>
          <w:sz w:val="20"/>
          <w:szCs w:val="20"/>
        </w:rPr>
      </w:pPr>
      <w:r w:rsidRPr="00C03B57">
        <w:rPr>
          <w:sz w:val="20"/>
          <w:szCs w:val="20"/>
        </w:rPr>
        <w:t>The amount of receivables excludes the GST recoverable from the ATO (statutory receivable).</w:t>
      </w:r>
    </w:p>
    <w:p w:rsidR="00CF09FA" w:rsidRDefault="00CF09FA"/>
    <w:p w:rsidR="002067A5" w:rsidRDefault="002067A5" w:rsidP="00244D98">
      <w:pPr>
        <w:pStyle w:val="Financialsheading5"/>
      </w:pPr>
      <w:r>
        <w:br w:type="page"/>
      </w:r>
    </w:p>
    <w:p w:rsidR="00244D98" w:rsidRPr="00E659A4" w:rsidRDefault="00244D98" w:rsidP="00244D98">
      <w:pPr>
        <w:pStyle w:val="Financialsheading5"/>
      </w:pPr>
      <w:r w:rsidRPr="00E659A4">
        <w:lastRenderedPageBreak/>
        <w:t>Liquidity risk and interest rate exposure</w:t>
      </w:r>
    </w:p>
    <w:p w:rsidR="00244D98" w:rsidRPr="00244D98" w:rsidRDefault="00244D98" w:rsidP="00244D98">
      <w:pPr>
        <w:pStyle w:val="Financialnotes"/>
      </w:pPr>
      <w:r w:rsidRPr="00244D98">
        <w:t>The following table details the Department’s interest rate exposure and the contractual maturity analysis of financial assets and financial liabilities. The maturity analysis section includes interest and principal cash flows. The interest rate exposure section analyses only the carrying amounts of each item.</w:t>
      </w:r>
    </w:p>
    <w:p w:rsidR="002067A5" w:rsidRDefault="002067A5" w:rsidP="002A2E0F">
      <w:pPr>
        <w:pStyle w:val="Financialsheading6"/>
        <w:ind w:left="142"/>
      </w:pPr>
    </w:p>
    <w:p w:rsidR="00244D98" w:rsidRDefault="00244D98" w:rsidP="002A2E0F">
      <w:pPr>
        <w:pStyle w:val="Financialsheading6"/>
        <w:ind w:left="142"/>
      </w:pPr>
      <w:r w:rsidRPr="00437DEF">
        <w:t>Interest rate exposure and maturity analysis of financial assets and financial liabilities</w:t>
      </w:r>
    </w:p>
    <w:tbl>
      <w:tblPr>
        <w:tblW w:w="9527" w:type="dxa"/>
        <w:tblInd w:w="214" w:type="dxa"/>
        <w:tblCellMar>
          <w:left w:w="72" w:type="dxa"/>
          <w:right w:w="72" w:type="dxa"/>
        </w:tblCellMar>
        <w:tblLook w:val="0000" w:firstRow="0" w:lastRow="0" w:firstColumn="0" w:lastColumn="0" w:noHBand="0" w:noVBand="0"/>
      </w:tblPr>
      <w:tblGrid>
        <w:gridCol w:w="1393"/>
        <w:gridCol w:w="1044"/>
        <w:gridCol w:w="967"/>
        <w:gridCol w:w="867"/>
        <w:gridCol w:w="933"/>
        <w:gridCol w:w="922"/>
        <w:gridCol w:w="867"/>
        <w:gridCol w:w="1033"/>
        <w:gridCol w:w="667"/>
        <w:gridCol w:w="834"/>
      </w:tblGrid>
      <w:tr w:rsidR="00244D98" w:rsidRPr="00244D98" w:rsidTr="00C03B57">
        <w:trPr>
          <w:gridAfter w:val="2"/>
          <w:wAfter w:w="1501" w:type="dxa"/>
          <w:cantSplit/>
        </w:trPr>
        <w:tc>
          <w:tcPr>
            <w:tcW w:w="1393" w:type="dxa"/>
          </w:tcPr>
          <w:p w:rsidR="00244D98" w:rsidRPr="00244D98" w:rsidRDefault="00244D98" w:rsidP="00244D98">
            <w:pPr>
              <w:pStyle w:val="Financials"/>
              <w:rPr>
                <w:sz w:val="20"/>
                <w:szCs w:val="20"/>
                <w:lang w:eastAsia="en-AU"/>
              </w:rPr>
            </w:pPr>
          </w:p>
        </w:tc>
        <w:tc>
          <w:tcPr>
            <w:tcW w:w="1044" w:type="dxa"/>
          </w:tcPr>
          <w:p w:rsidR="00244D98" w:rsidRPr="00244D98" w:rsidRDefault="00244D98" w:rsidP="002A2E0F">
            <w:pPr>
              <w:pStyle w:val="Financials"/>
              <w:jc w:val="center"/>
              <w:rPr>
                <w:b/>
                <w:sz w:val="20"/>
                <w:szCs w:val="20"/>
                <w:lang w:eastAsia="en-AU"/>
              </w:rPr>
            </w:pPr>
          </w:p>
        </w:tc>
        <w:tc>
          <w:tcPr>
            <w:tcW w:w="0" w:type="auto"/>
            <w:shd w:val="clear" w:color="auto" w:fill="E0DCCB" w:themeFill="accent4" w:themeFillTint="66"/>
          </w:tcPr>
          <w:p w:rsidR="00244D98" w:rsidRPr="00244D98" w:rsidRDefault="00244D98" w:rsidP="002A2E0F">
            <w:pPr>
              <w:pStyle w:val="Financials"/>
              <w:jc w:val="center"/>
              <w:rPr>
                <w:b/>
                <w:sz w:val="20"/>
                <w:szCs w:val="20"/>
                <w:lang w:eastAsia="en-AU"/>
              </w:rPr>
            </w:pPr>
          </w:p>
        </w:tc>
        <w:tc>
          <w:tcPr>
            <w:tcW w:w="0" w:type="auto"/>
            <w:gridSpan w:val="2"/>
          </w:tcPr>
          <w:p w:rsidR="00244D98" w:rsidRPr="00244D98" w:rsidRDefault="00244D98" w:rsidP="002A2E0F">
            <w:pPr>
              <w:pStyle w:val="Financials"/>
              <w:jc w:val="center"/>
              <w:rPr>
                <w:b/>
                <w:sz w:val="20"/>
                <w:szCs w:val="20"/>
                <w:lang w:eastAsia="en-AU"/>
              </w:rPr>
            </w:pPr>
            <w:r w:rsidRPr="00244D98">
              <w:rPr>
                <w:b/>
                <w:sz w:val="20"/>
                <w:szCs w:val="20"/>
                <w:lang w:eastAsia="en-AU"/>
              </w:rPr>
              <w:t>Interest rate exposure (Nil)</w:t>
            </w:r>
          </w:p>
        </w:tc>
        <w:tc>
          <w:tcPr>
            <w:tcW w:w="0" w:type="auto"/>
          </w:tcPr>
          <w:p w:rsidR="00244D98" w:rsidRPr="00244D98" w:rsidRDefault="00244D98" w:rsidP="002A2E0F">
            <w:pPr>
              <w:pStyle w:val="Financials"/>
              <w:jc w:val="center"/>
              <w:rPr>
                <w:b/>
                <w:sz w:val="20"/>
                <w:szCs w:val="20"/>
                <w:lang w:eastAsia="en-AU"/>
              </w:rPr>
            </w:pPr>
          </w:p>
        </w:tc>
        <w:tc>
          <w:tcPr>
            <w:tcW w:w="0" w:type="auto"/>
          </w:tcPr>
          <w:p w:rsidR="00244D98" w:rsidRPr="00244D98" w:rsidRDefault="00244D98" w:rsidP="002A2E0F">
            <w:pPr>
              <w:pStyle w:val="Financials"/>
              <w:jc w:val="center"/>
              <w:rPr>
                <w:b/>
                <w:sz w:val="20"/>
                <w:szCs w:val="20"/>
                <w:lang w:eastAsia="en-AU"/>
              </w:rPr>
            </w:pPr>
          </w:p>
        </w:tc>
        <w:tc>
          <w:tcPr>
            <w:tcW w:w="0" w:type="auto"/>
          </w:tcPr>
          <w:p w:rsidR="00244D98" w:rsidRPr="00244D98" w:rsidRDefault="00244D98" w:rsidP="002A2E0F">
            <w:pPr>
              <w:pStyle w:val="Financials"/>
              <w:jc w:val="center"/>
              <w:rPr>
                <w:b/>
                <w:sz w:val="20"/>
                <w:szCs w:val="20"/>
                <w:lang w:eastAsia="en-AU"/>
              </w:rPr>
            </w:pPr>
            <w:r w:rsidRPr="00244D98">
              <w:rPr>
                <w:b/>
                <w:sz w:val="20"/>
                <w:szCs w:val="20"/>
                <w:lang w:eastAsia="en-AU"/>
              </w:rPr>
              <w:t>Maturity dates</w:t>
            </w: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p>
        </w:tc>
        <w:tc>
          <w:tcPr>
            <w:tcW w:w="1044" w:type="dxa"/>
            <w:vAlign w:val="bottom"/>
          </w:tcPr>
          <w:p w:rsidR="00244D98" w:rsidRPr="00244D98" w:rsidRDefault="00244D98" w:rsidP="002A2E0F">
            <w:pPr>
              <w:pStyle w:val="Financials"/>
              <w:jc w:val="center"/>
              <w:rPr>
                <w:b/>
                <w:sz w:val="20"/>
                <w:szCs w:val="20"/>
                <w:lang w:eastAsia="en-AU"/>
              </w:rPr>
            </w:pPr>
            <w:r w:rsidRPr="00244D98">
              <w:rPr>
                <w:b/>
                <w:sz w:val="20"/>
                <w:szCs w:val="20"/>
                <w:lang w:eastAsia="en-AU"/>
              </w:rPr>
              <w:t>Weighted Average Effective Interest Rate</w:t>
            </w:r>
          </w:p>
        </w:tc>
        <w:tc>
          <w:tcPr>
            <w:tcW w:w="0" w:type="auto"/>
            <w:shd w:val="clear" w:color="auto" w:fill="E0DCCB" w:themeFill="accent4" w:themeFillTint="66"/>
            <w:vAlign w:val="bottom"/>
          </w:tcPr>
          <w:p w:rsidR="00244D98" w:rsidRPr="00244D98" w:rsidRDefault="00244D98" w:rsidP="002A2E0F">
            <w:pPr>
              <w:pStyle w:val="Financials"/>
              <w:jc w:val="center"/>
              <w:rPr>
                <w:b/>
                <w:sz w:val="20"/>
                <w:szCs w:val="20"/>
                <w:lang w:eastAsia="en-AU"/>
              </w:rPr>
            </w:pPr>
            <w:r w:rsidRPr="00244D98">
              <w:rPr>
                <w:b/>
                <w:sz w:val="20"/>
                <w:szCs w:val="20"/>
                <w:lang w:eastAsia="en-AU"/>
              </w:rPr>
              <w:t>Carrying Amount</w:t>
            </w:r>
          </w:p>
        </w:tc>
        <w:tc>
          <w:tcPr>
            <w:tcW w:w="0" w:type="auto"/>
            <w:tcBorders>
              <w:right w:val="single" w:sz="4" w:space="0" w:color="E0DCCB" w:themeColor="accent4" w:themeTint="66"/>
            </w:tcBorders>
            <w:vAlign w:val="bottom"/>
          </w:tcPr>
          <w:p w:rsidR="00244D98" w:rsidRPr="00244D98" w:rsidRDefault="00244D98" w:rsidP="002A2E0F">
            <w:pPr>
              <w:pStyle w:val="Financials"/>
              <w:jc w:val="center"/>
              <w:rPr>
                <w:b/>
                <w:sz w:val="20"/>
                <w:szCs w:val="20"/>
                <w:lang w:eastAsia="en-AU"/>
              </w:rPr>
            </w:pPr>
            <w:r w:rsidRPr="00244D98">
              <w:rPr>
                <w:b/>
                <w:sz w:val="20"/>
                <w:szCs w:val="20"/>
                <w:lang w:eastAsia="en-AU"/>
              </w:rPr>
              <w:t>Non-interest bearing</w:t>
            </w:r>
          </w:p>
        </w:tc>
        <w:tc>
          <w:tcPr>
            <w:tcW w:w="0" w:type="auto"/>
            <w:tcBorders>
              <w:left w:val="single" w:sz="4" w:space="0" w:color="E0DCCB" w:themeColor="accent4" w:themeTint="66"/>
              <w:right w:val="single" w:sz="4" w:space="0" w:color="E0DCCB" w:themeColor="accent4" w:themeTint="66"/>
            </w:tcBorders>
            <w:vAlign w:val="bottom"/>
          </w:tcPr>
          <w:p w:rsidR="00244D98" w:rsidRPr="00244D98" w:rsidRDefault="00244D98" w:rsidP="002A2E0F">
            <w:pPr>
              <w:pStyle w:val="Financials"/>
              <w:jc w:val="center"/>
              <w:rPr>
                <w:b/>
                <w:sz w:val="20"/>
                <w:szCs w:val="20"/>
                <w:lang w:eastAsia="en-AU"/>
              </w:rPr>
            </w:pPr>
            <w:r w:rsidRPr="00244D98">
              <w:rPr>
                <w:b/>
                <w:sz w:val="20"/>
                <w:szCs w:val="20"/>
                <w:lang w:eastAsia="en-AU"/>
              </w:rPr>
              <w:t>Nominal Amount</w:t>
            </w:r>
          </w:p>
        </w:tc>
        <w:tc>
          <w:tcPr>
            <w:tcW w:w="0" w:type="auto"/>
            <w:tcBorders>
              <w:left w:val="single" w:sz="4" w:space="0" w:color="E0DCCB" w:themeColor="accent4" w:themeTint="66"/>
            </w:tcBorders>
            <w:vAlign w:val="bottom"/>
          </w:tcPr>
          <w:p w:rsidR="00244D98" w:rsidRPr="00244D98" w:rsidRDefault="00244D98" w:rsidP="002A2E0F">
            <w:pPr>
              <w:pStyle w:val="Financials"/>
              <w:jc w:val="center"/>
              <w:rPr>
                <w:b/>
                <w:sz w:val="20"/>
                <w:szCs w:val="20"/>
                <w:lang w:eastAsia="en-AU"/>
              </w:rPr>
            </w:pPr>
            <w:r w:rsidRPr="00244D98">
              <w:rPr>
                <w:b/>
                <w:sz w:val="20"/>
                <w:szCs w:val="20"/>
                <w:lang w:eastAsia="en-AU"/>
              </w:rPr>
              <w:t>Up to 1 month</w:t>
            </w:r>
          </w:p>
        </w:tc>
        <w:tc>
          <w:tcPr>
            <w:tcW w:w="0" w:type="auto"/>
            <w:vAlign w:val="bottom"/>
          </w:tcPr>
          <w:p w:rsidR="00244D98" w:rsidRPr="00244D98" w:rsidRDefault="00244D98" w:rsidP="002A2E0F">
            <w:pPr>
              <w:pStyle w:val="Financials"/>
              <w:jc w:val="center"/>
              <w:rPr>
                <w:b/>
                <w:sz w:val="20"/>
                <w:szCs w:val="20"/>
                <w:lang w:eastAsia="en-AU"/>
              </w:rPr>
            </w:pPr>
            <w:r w:rsidRPr="00244D98">
              <w:rPr>
                <w:b/>
                <w:sz w:val="20"/>
                <w:szCs w:val="20"/>
                <w:lang w:eastAsia="en-AU"/>
              </w:rPr>
              <w:t>1-3 months</w:t>
            </w:r>
          </w:p>
        </w:tc>
        <w:tc>
          <w:tcPr>
            <w:tcW w:w="0" w:type="auto"/>
            <w:vAlign w:val="bottom"/>
          </w:tcPr>
          <w:p w:rsidR="00244D98" w:rsidRPr="00244D98" w:rsidRDefault="00244D98" w:rsidP="002A2E0F">
            <w:pPr>
              <w:pStyle w:val="Financials"/>
              <w:jc w:val="center"/>
              <w:rPr>
                <w:b/>
                <w:sz w:val="20"/>
                <w:szCs w:val="20"/>
                <w:lang w:eastAsia="en-AU"/>
              </w:rPr>
            </w:pPr>
            <w:r w:rsidRPr="00244D98">
              <w:rPr>
                <w:b/>
                <w:sz w:val="20"/>
                <w:szCs w:val="20"/>
                <w:lang w:eastAsia="en-AU"/>
              </w:rPr>
              <w:t>3 months to 1 year</w:t>
            </w:r>
          </w:p>
        </w:tc>
        <w:tc>
          <w:tcPr>
            <w:tcW w:w="0" w:type="auto"/>
            <w:vAlign w:val="bottom"/>
          </w:tcPr>
          <w:p w:rsidR="00244D98" w:rsidRPr="00244D98" w:rsidRDefault="00244D98" w:rsidP="002A2E0F">
            <w:pPr>
              <w:pStyle w:val="Financials"/>
              <w:jc w:val="center"/>
              <w:rPr>
                <w:b/>
                <w:sz w:val="20"/>
                <w:szCs w:val="20"/>
                <w:lang w:eastAsia="en-AU"/>
              </w:rPr>
            </w:pPr>
            <w:r w:rsidRPr="00244D98">
              <w:rPr>
                <w:b/>
                <w:sz w:val="20"/>
                <w:szCs w:val="20"/>
                <w:lang w:eastAsia="en-AU"/>
              </w:rPr>
              <w:t>1-5 years</w:t>
            </w:r>
          </w:p>
        </w:tc>
        <w:tc>
          <w:tcPr>
            <w:tcW w:w="834" w:type="dxa"/>
            <w:vAlign w:val="bottom"/>
          </w:tcPr>
          <w:p w:rsidR="00244D98" w:rsidRPr="00244D98" w:rsidRDefault="00244D98" w:rsidP="002A2E0F">
            <w:pPr>
              <w:pStyle w:val="Financials"/>
              <w:jc w:val="center"/>
              <w:rPr>
                <w:b/>
                <w:sz w:val="20"/>
                <w:szCs w:val="20"/>
                <w:lang w:eastAsia="en-AU"/>
              </w:rPr>
            </w:pPr>
            <w:r w:rsidRPr="00244D98">
              <w:rPr>
                <w:b/>
                <w:sz w:val="20"/>
                <w:szCs w:val="20"/>
                <w:lang w:eastAsia="en-AU"/>
              </w:rPr>
              <w:t>More than 5 years</w:t>
            </w: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p>
        </w:tc>
        <w:tc>
          <w:tcPr>
            <w:tcW w:w="1044" w:type="dxa"/>
            <w:tcBorders>
              <w:bottom w:val="single" w:sz="4" w:space="0" w:color="E0DCCB" w:themeColor="accent4" w:themeTint="66"/>
            </w:tcBorders>
          </w:tcPr>
          <w:p w:rsidR="00244D98" w:rsidRPr="00244D98" w:rsidRDefault="00244D98" w:rsidP="002A2E0F">
            <w:pPr>
              <w:pStyle w:val="Financials"/>
              <w:jc w:val="center"/>
              <w:rPr>
                <w:b/>
                <w:sz w:val="20"/>
                <w:szCs w:val="20"/>
                <w:lang w:eastAsia="en-AU"/>
              </w:rPr>
            </w:pPr>
            <w:r w:rsidRPr="00244D98">
              <w:rPr>
                <w:b/>
                <w:sz w:val="20"/>
                <w:szCs w:val="20"/>
                <w:lang w:eastAsia="en-AU"/>
              </w:rPr>
              <w:t>%</w:t>
            </w:r>
          </w:p>
        </w:tc>
        <w:tc>
          <w:tcPr>
            <w:tcW w:w="0" w:type="auto"/>
            <w:tcBorders>
              <w:bottom w:val="single" w:sz="4" w:space="0" w:color="E0DCCB" w:themeColor="accent4" w:themeTint="66"/>
            </w:tcBorders>
            <w:shd w:val="clear" w:color="auto" w:fill="E0DCCB" w:themeFill="accent4" w:themeFillTint="66"/>
          </w:tcPr>
          <w:p w:rsidR="00244D98" w:rsidRPr="00244D98" w:rsidRDefault="00244D98" w:rsidP="002A2E0F">
            <w:pPr>
              <w:pStyle w:val="Financials"/>
              <w:jc w:val="center"/>
              <w:rPr>
                <w:b/>
                <w:sz w:val="20"/>
                <w:szCs w:val="20"/>
                <w:lang w:eastAsia="en-AU"/>
              </w:rPr>
            </w:pPr>
            <w:r w:rsidRPr="00244D98">
              <w:rPr>
                <w:b/>
                <w:sz w:val="20"/>
                <w:szCs w:val="20"/>
                <w:lang w:eastAsia="en-AU"/>
              </w:rPr>
              <w:t>$000</w:t>
            </w:r>
          </w:p>
        </w:tc>
        <w:tc>
          <w:tcPr>
            <w:tcW w:w="0" w:type="auto"/>
            <w:tcBorders>
              <w:bottom w:val="single" w:sz="4" w:space="0" w:color="E0DCCB" w:themeColor="accent4" w:themeTint="66"/>
              <w:right w:val="single" w:sz="4" w:space="0" w:color="E0DCCB" w:themeColor="accent4" w:themeTint="66"/>
            </w:tcBorders>
          </w:tcPr>
          <w:p w:rsidR="00244D98" w:rsidRPr="00244D98" w:rsidRDefault="00244D98" w:rsidP="002A2E0F">
            <w:pPr>
              <w:pStyle w:val="Financials"/>
              <w:jc w:val="center"/>
              <w:rPr>
                <w:b/>
                <w:sz w:val="20"/>
                <w:szCs w:val="20"/>
                <w:lang w:eastAsia="en-AU"/>
              </w:rPr>
            </w:pPr>
            <w:r w:rsidRPr="00244D98">
              <w:rPr>
                <w:b/>
                <w:sz w:val="20"/>
                <w:szCs w:val="20"/>
                <w:lang w:eastAsia="en-AU"/>
              </w:rPr>
              <w:t>$000</w:t>
            </w:r>
          </w:p>
        </w:tc>
        <w:tc>
          <w:tcPr>
            <w:tcW w:w="0" w:type="auto"/>
            <w:tcBorders>
              <w:left w:val="single" w:sz="4" w:space="0" w:color="E0DCCB" w:themeColor="accent4" w:themeTint="66"/>
              <w:bottom w:val="single" w:sz="4" w:space="0" w:color="E0DCCB" w:themeColor="accent4" w:themeTint="66"/>
              <w:right w:val="single" w:sz="4" w:space="0" w:color="E0DCCB" w:themeColor="accent4" w:themeTint="66"/>
            </w:tcBorders>
          </w:tcPr>
          <w:p w:rsidR="00244D98" w:rsidRPr="00244D98" w:rsidRDefault="00244D98" w:rsidP="002A2E0F">
            <w:pPr>
              <w:pStyle w:val="Financials"/>
              <w:jc w:val="center"/>
              <w:rPr>
                <w:b/>
                <w:sz w:val="20"/>
                <w:szCs w:val="20"/>
                <w:lang w:eastAsia="en-AU"/>
              </w:rPr>
            </w:pPr>
            <w:r w:rsidRPr="00244D98">
              <w:rPr>
                <w:b/>
                <w:sz w:val="20"/>
                <w:szCs w:val="20"/>
                <w:lang w:eastAsia="en-AU"/>
              </w:rPr>
              <w:t>$000</w:t>
            </w:r>
          </w:p>
        </w:tc>
        <w:tc>
          <w:tcPr>
            <w:tcW w:w="0" w:type="auto"/>
            <w:tcBorders>
              <w:left w:val="single" w:sz="4" w:space="0" w:color="E0DCCB" w:themeColor="accent4" w:themeTint="66"/>
              <w:bottom w:val="single" w:sz="4" w:space="0" w:color="E0DCCB" w:themeColor="accent4" w:themeTint="66"/>
            </w:tcBorders>
          </w:tcPr>
          <w:p w:rsidR="00244D98" w:rsidRPr="00244D98" w:rsidRDefault="00244D98" w:rsidP="002A2E0F">
            <w:pPr>
              <w:pStyle w:val="Financials"/>
              <w:jc w:val="center"/>
              <w:rPr>
                <w:b/>
                <w:sz w:val="20"/>
                <w:szCs w:val="20"/>
                <w:lang w:eastAsia="en-AU"/>
              </w:rPr>
            </w:pPr>
            <w:r w:rsidRPr="00244D98">
              <w:rPr>
                <w:b/>
                <w:sz w:val="20"/>
                <w:szCs w:val="20"/>
                <w:lang w:eastAsia="en-AU"/>
              </w:rPr>
              <w:t>$000</w:t>
            </w:r>
          </w:p>
        </w:tc>
        <w:tc>
          <w:tcPr>
            <w:tcW w:w="0" w:type="auto"/>
            <w:tcBorders>
              <w:bottom w:val="single" w:sz="4" w:space="0" w:color="E0DCCB" w:themeColor="accent4" w:themeTint="66"/>
            </w:tcBorders>
          </w:tcPr>
          <w:p w:rsidR="00244D98" w:rsidRPr="00244D98" w:rsidRDefault="00244D98" w:rsidP="002A2E0F">
            <w:pPr>
              <w:pStyle w:val="Financials"/>
              <w:jc w:val="center"/>
              <w:rPr>
                <w:b/>
                <w:sz w:val="20"/>
                <w:szCs w:val="20"/>
                <w:lang w:eastAsia="en-AU"/>
              </w:rPr>
            </w:pPr>
            <w:r w:rsidRPr="00244D98">
              <w:rPr>
                <w:b/>
                <w:sz w:val="20"/>
                <w:szCs w:val="20"/>
                <w:lang w:eastAsia="en-AU"/>
              </w:rPr>
              <w:t>$000</w:t>
            </w:r>
          </w:p>
        </w:tc>
        <w:tc>
          <w:tcPr>
            <w:tcW w:w="0" w:type="auto"/>
            <w:tcBorders>
              <w:bottom w:val="single" w:sz="4" w:space="0" w:color="E0DCCB" w:themeColor="accent4" w:themeTint="66"/>
            </w:tcBorders>
          </w:tcPr>
          <w:p w:rsidR="00244D98" w:rsidRPr="00244D98" w:rsidRDefault="00244D98" w:rsidP="002A2E0F">
            <w:pPr>
              <w:pStyle w:val="Financials"/>
              <w:jc w:val="center"/>
              <w:rPr>
                <w:b/>
                <w:sz w:val="20"/>
                <w:szCs w:val="20"/>
                <w:lang w:eastAsia="en-AU"/>
              </w:rPr>
            </w:pPr>
            <w:r w:rsidRPr="00244D98">
              <w:rPr>
                <w:b/>
                <w:sz w:val="20"/>
                <w:szCs w:val="20"/>
                <w:lang w:eastAsia="en-AU"/>
              </w:rPr>
              <w:t>$000</w:t>
            </w:r>
          </w:p>
        </w:tc>
        <w:tc>
          <w:tcPr>
            <w:tcW w:w="0" w:type="auto"/>
            <w:tcBorders>
              <w:bottom w:val="single" w:sz="4" w:space="0" w:color="E0DCCB" w:themeColor="accent4" w:themeTint="66"/>
            </w:tcBorders>
          </w:tcPr>
          <w:p w:rsidR="00244D98" w:rsidRPr="00244D98" w:rsidRDefault="00244D98" w:rsidP="002A2E0F">
            <w:pPr>
              <w:pStyle w:val="Financials"/>
              <w:jc w:val="center"/>
              <w:rPr>
                <w:b/>
                <w:sz w:val="20"/>
                <w:szCs w:val="20"/>
                <w:lang w:eastAsia="en-AU"/>
              </w:rPr>
            </w:pPr>
            <w:r w:rsidRPr="00244D98">
              <w:rPr>
                <w:b/>
                <w:sz w:val="20"/>
                <w:szCs w:val="20"/>
                <w:lang w:eastAsia="en-AU"/>
              </w:rPr>
              <w:t>$000</w:t>
            </w:r>
          </w:p>
        </w:tc>
        <w:tc>
          <w:tcPr>
            <w:tcW w:w="834" w:type="dxa"/>
            <w:tcBorders>
              <w:bottom w:val="single" w:sz="4" w:space="0" w:color="E0DCCB" w:themeColor="accent4" w:themeTint="66"/>
            </w:tcBorders>
          </w:tcPr>
          <w:p w:rsidR="00244D98" w:rsidRPr="00244D98" w:rsidRDefault="00244D98" w:rsidP="002A2E0F">
            <w:pPr>
              <w:pStyle w:val="Financials"/>
              <w:jc w:val="center"/>
              <w:rPr>
                <w:b/>
                <w:sz w:val="20"/>
                <w:szCs w:val="20"/>
                <w:lang w:eastAsia="en-AU"/>
              </w:rPr>
            </w:pPr>
            <w:r w:rsidRPr="00244D98">
              <w:rPr>
                <w:b/>
                <w:sz w:val="20"/>
                <w:szCs w:val="20"/>
                <w:lang w:eastAsia="en-AU"/>
              </w:rPr>
              <w:t>$000</w:t>
            </w:r>
          </w:p>
        </w:tc>
      </w:tr>
      <w:tr w:rsidR="00244D98" w:rsidRPr="00244D98" w:rsidTr="00C03B57">
        <w:trPr>
          <w:cantSplit/>
          <w:trHeight w:val="161"/>
        </w:trPr>
        <w:tc>
          <w:tcPr>
            <w:tcW w:w="1393" w:type="dxa"/>
          </w:tcPr>
          <w:p w:rsidR="00244D98" w:rsidRPr="00244D98" w:rsidRDefault="00244D98" w:rsidP="00244D98">
            <w:pPr>
              <w:pStyle w:val="Financials"/>
              <w:rPr>
                <w:b/>
                <w:sz w:val="20"/>
                <w:szCs w:val="20"/>
                <w:lang w:eastAsia="en-AU"/>
              </w:rPr>
            </w:pPr>
            <w:r w:rsidRPr="00244D98">
              <w:rPr>
                <w:b/>
                <w:sz w:val="20"/>
                <w:szCs w:val="20"/>
                <w:lang w:eastAsia="en-AU"/>
              </w:rPr>
              <w:t>2015</w:t>
            </w:r>
          </w:p>
        </w:tc>
        <w:tc>
          <w:tcPr>
            <w:tcW w:w="1044" w:type="dxa"/>
            <w:tcBorders>
              <w:top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E0DCCB" w:themeColor="accent4" w:themeTint="66"/>
            </w:tcBorders>
            <w:shd w:val="clear" w:color="auto" w:fill="E0DCCB" w:themeFill="accent4" w:themeFillTint="66"/>
          </w:tcPr>
          <w:p w:rsidR="00244D98" w:rsidRPr="00244D98" w:rsidRDefault="00244D98" w:rsidP="002A2E0F">
            <w:pPr>
              <w:pStyle w:val="Financials"/>
              <w:jc w:val="right"/>
              <w:rPr>
                <w:sz w:val="20"/>
                <w:szCs w:val="20"/>
                <w:lang w:eastAsia="en-AU"/>
              </w:rPr>
            </w:pPr>
          </w:p>
        </w:tc>
        <w:tc>
          <w:tcPr>
            <w:tcW w:w="0" w:type="auto"/>
            <w:tcBorders>
              <w:top w:val="single" w:sz="4" w:space="0" w:color="E0DCCB" w:themeColor="accent4" w:themeTint="66"/>
              <w:righ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E0DCCB" w:themeColor="accent4" w:themeTint="66"/>
              <w:left w:val="single" w:sz="4" w:space="0" w:color="E0DCCB" w:themeColor="accent4" w:themeTint="66"/>
              <w:righ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E0DCCB" w:themeColor="accent4" w:themeTint="66"/>
              <w:lef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834" w:type="dxa"/>
            <w:tcBorders>
              <w:top w:val="single" w:sz="4" w:space="0" w:color="E0DCCB" w:themeColor="accent4" w:themeTint="66"/>
            </w:tcBorders>
          </w:tcPr>
          <w:p w:rsidR="00244D98" w:rsidRPr="00244D98" w:rsidRDefault="00244D98" w:rsidP="002A2E0F">
            <w:pPr>
              <w:pStyle w:val="Financials"/>
              <w:jc w:val="right"/>
              <w:rPr>
                <w:sz w:val="20"/>
                <w:szCs w:val="20"/>
                <w:lang w:eastAsia="en-AU"/>
              </w:rPr>
            </w:pPr>
          </w:p>
        </w:tc>
      </w:tr>
      <w:tr w:rsidR="00244D98" w:rsidRPr="00244D98" w:rsidTr="00C03B57">
        <w:trPr>
          <w:cantSplit/>
        </w:trPr>
        <w:tc>
          <w:tcPr>
            <w:tcW w:w="1393" w:type="dxa"/>
          </w:tcPr>
          <w:p w:rsidR="00244D98" w:rsidRPr="00244D98" w:rsidRDefault="00244D98" w:rsidP="00244D98">
            <w:pPr>
              <w:pStyle w:val="Financials"/>
              <w:rPr>
                <w:sz w:val="20"/>
                <w:szCs w:val="20"/>
                <w:u w:val="single"/>
                <w:lang w:eastAsia="en-AU"/>
              </w:rPr>
            </w:pPr>
            <w:r w:rsidRPr="00244D98">
              <w:rPr>
                <w:sz w:val="20"/>
                <w:szCs w:val="20"/>
                <w:u w:val="single"/>
                <w:lang w:eastAsia="en-AU"/>
              </w:rPr>
              <w:t>Financial Assets</w:t>
            </w:r>
          </w:p>
        </w:tc>
        <w:tc>
          <w:tcPr>
            <w:tcW w:w="1044" w:type="dxa"/>
          </w:tcPr>
          <w:p w:rsidR="00244D98" w:rsidRPr="00244D98" w:rsidRDefault="00244D98" w:rsidP="002A2E0F">
            <w:pPr>
              <w:pStyle w:val="Financials"/>
              <w:jc w:val="right"/>
              <w:rPr>
                <w:sz w:val="20"/>
                <w:szCs w:val="20"/>
                <w:lang w:eastAsia="en-AU"/>
              </w:rPr>
            </w:pPr>
          </w:p>
        </w:tc>
        <w:tc>
          <w:tcPr>
            <w:tcW w:w="0" w:type="auto"/>
            <w:shd w:val="clear" w:color="auto" w:fill="E0DCCB" w:themeFill="accent4" w:themeFillTint="66"/>
          </w:tcPr>
          <w:p w:rsidR="00244D98" w:rsidRPr="00244D98" w:rsidRDefault="00244D98" w:rsidP="002A2E0F">
            <w:pPr>
              <w:pStyle w:val="Financials"/>
              <w:jc w:val="right"/>
              <w:rPr>
                <w:sz w:val="20"/>
                <w:szCs w:val="20"/>
                <w:lang w:eastAsia="en-AU"/>
              </w:rPr>
            </w:pPr>
          </w:p>
        </w:tc>
        <w:tc>
          <w:tcPr>
            <w:tcW w:w="0" w:type="auto"/>
            <w:tcBorders>
              <w:righ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left w:val="single" w:sz="4" w:space="0" w:color="E0DCCB" w:themeColor="accent4" w:themeTint="66"/>
              <w:righ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lef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Pr>
          <w:p w:rsidR="00244D98" w:rsidRPr="00244D98" w:rsidRDefault="00244D98" w:rsidP="002A2E0F">
            <w:pPr>
              <w:pStyle w:val="Financials"/>
              <w:jc w:val="right"/>
              <w:rPr>
                <w:sz w:val="20"/>
                <w:szCs w:val="20"/>
                <w:lang w:eastAsia="en-AU"/>
              </w:rPr>
            </w:pPr>
          </w:p>
        </w:tc>
        <w:tc>
          <w:tcPr>
            <w:tcW w:w="0" w:type="auto"/>
          </w:tcPr>
          <w:p w:rsidR="00244D98" w:rsidRPr="00244D98" w:rsidRDefault="00244D98" w:rsidP="002A2E0F">
            <w:pPr>
              <w:pStyle w:val="Financials"/>
              <w:jc w:val="right"/>
              <w:rPr>
                <w:sz w:val="20"/>
                <w:szCs w:val="20"/>
                <w:lang w:eastAsia="en-AU"/>
              </w:rPr>
            </w:pPr>
          </w:p>
        </w:tc>
        <w:tc>
          <w:tcPr>
            <w:tcW w:w="0" w:type="auto"/>
          </w:tcPr>
          <w:p w:rsidR="00244D98" w:rsidRPr="00244D98" w:rsidRDefault="00244D98" w:rsidP="002A2E0F">
            <w:pPr>
              <w:pStyle w:val="Financials"/>
              <w:jc w:val="right"/>
              <w:rPr>
                <w:sz w:val="20"/>
                <w:szCs w:val="20"/>
                <w:lang w:eastAsia="en-AU"/>
              </w:rPr>
            </w:pPr>
          </w:p>
        </w:tc>
        <w:tc>
          <w:tcPr>
            <w:tcW w:w="834" w:type="dxa"/>
          </w:tcPr>
          <w:p w:rsidR="00244D98" w:rsidRPr="00244D98" w:rsidRDefault="00244D98" w:rsidP="002A2E0F">
            <w:pPr>
              <w:pStyle w:val="Financials"/>
              <w:jc w:val="right"/>
              <w:rPr>
                <w:sz w:val="20"/>
                <w:szCs w:val="20"/>
                <w:lang w:eastAsia="en-AU"/>
              </w:rPr>
            </w:pP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r w:rsidRPr="00244D98">
              <w:rPr>
                <w:sz w:val="20"/>
                <w:szCs w:val="20"/>
                <w:lang w:eastAsia="en-AU"/>
              </w:rPr>
              <w:t>Cash and cash equivalents</w:t>
            </w:r>
          </w:p>
        </w:tc>
        <w:tc>
          <w:tcPr>
            <w:tcW w:w="1044" w:type="dxa"/>
          </w:tcPr>
          <w:p w:rsidR="00244D98" w:rsidRPr="00244D98" w:rsidRDefault="00244D98" w:rsidP="002A2E0F">
            <w:pPr>
              <w:pStyle w:val="Financials"/>
              <w:jc w:val="right"/>
              <w:rPr>
                <w:sz w:val="20"/>
                <w:szCs w:val="20"/>
                <w:lang w:eastAsia="en-AU"/>
              </w:rPr>
            </w:pPr>
          </w:p>
        </w:tc>
        <w:tc>
          <w:tcPr>
            <w:tcW w:w="0" w:type="auto"/>
            <w:shd w:val="clear" w:color="auto" w:fill="E0DCCB" w:themeFill="accent4" w:themeFillTint="66"/>
            <w:vAlign w:val="center"/>
          </w:tcPr>
          <w:p w:rsidR="00244D98" w:rsidRPr="00244D98" w:rsidRDefault="00244D98" w:rsidP="002A2E0F">
            <w:pPr>
              <w:pStyle w:val="Financials"/>
              <w:jc w:val="right"/>
              <w:rPr>
                <w:sz w:val="20"/>
                <w:szCs w:val="20"/>
                <w:lang w:eastAsia="en-AU"/>
              </w:rPr>
            </w:pPr>
            <w:r w:rsidRPr="00244D98">
              <w:rPr>
                <w:sz w:val="20"/>
                <w:szCs w:val="20"/>
                <w:lang w:eastAsia="en-AU"/>
              </w:rPr>
              <w:t>184</w:t>
            </w:r>
          </w:p>
        </w:tc>
        <w:tc>
          <w:tcPr>
            <w:tcW w:w="0" w:type="auto"/>
            <w:tcBorders>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184</w:t>
            </w:r>
          </w:p>
        </w:tc>
        <w:tc>
          <w:tcPr>
            <w:tcW w:w="0" w:type="auto"/>
            <w:tcBorders>
              <w:left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184</w:t>
            </w:r>
          </w:p>
        </w:tc>
        <w:tc>
          <w:tcPr>
            <w:tcW w:w="0" w:type="auto"/>
            <w:tcBorders>
              <w:lef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184</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834" w:type="dxa"/>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r w:rsidRPr="00244D98">
              <w:rPr>
                <w:sz w:val="20"/>
                <w:szCs w:val="20"/>
                <w:lang w:eastAsia="en-AU"/>
              </w:rPr>
              <w:t>Restricted cash and cash equivalents</w:t>
            </w:r>
          </w:p>
        </w:tc>
        <w:tc>
          <w:tcPr>
            <w:tcW w:w="1044" w:type="dxa"/>
          </w:tcPr>
          <w:p w:rsidR="00244D98" w:rsidRPr="00244D98" w:rsidRDefault="00244D98" w:rsidP="002A2E0F">
            <w:pPr>
              <w:pStyle w:val="Financials"/>
              <w:jc w:val="right"/>
              <w:rPr>
                <w:sz w:val="20"/>
                <w:szCs w:val="20"/>
                <w:lang w:eastAsia="en-AU"/>
              </w:rPr>
            </w:pPr>
          </w:p>
        </w:tc>
        <w:tc>
          <w:tcPr>
            <w:tcW w:w="0" w:type="auto"/>
            <w:shd w:val="clear" w:color="auto" w:fill="E0DCCB" w:themeFill="accent4" w:themeFillTint="66"/>
            <w:vAlign w:val="center"/>
          </w:tcPr>
          <w:p w:rsidR="00244D98" w:rsidRPr="00244D98" w:rsidRDefault="00244D98" w:rsidP="002A2E0F">
            <w:pPr>
              <w:pStyle w:val="Financials"/>
              <w:jc w:val="right"/>
              <w:rPr>
                <w:sz w:val="20"/>
                <w:szCs w:val="20"/>
                <w:lang w:eastAsia="en-AU"/>
              </w:rPr>
            </w:pPr>
            <w:r w:rsidRPr="00244D98">
              <w:rPr>
                <w:sz w:val="20"/>
                <w:szCs w:val="20"/>
                <w:lang w:eastAsia="en-AU"/>
              </w:rPr>
              <w:t>354</w:t>
            </w:r>
          </w:p>
        </w:tc>
        <w:tc>
          <w:tcPr>
            <w:tcW w:w="0" w:type="auto"/>
            <w:tcBorders>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354</w:t>
            </w:r>
          </w:p>
        </w:tc>
        <w:tc>
          <w:tcPr>
            <w:tcW w:w="0" w:type="auto"/>
            <w:tcBorders>
              <w:left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354</w:t>
            </w:r>
          </w:p>
        </w:tc>
        <w:tc>
          <w:tcPr>
            <w:tcW w:w="0" w:type="auto"/>
            <w:tcBorders>
              <w:lef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354</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834" w:type="dxa"/>
            <w:vAlign w:val="center"/>
          </w:tcPr>
          <w:p w:rsidR="00244D98" w:rsidRPr="00244D98" w:rsidRDefault="00244D98" w:rsidP="002A2E0F">
            <w:pPr>
              <w:pStyle w:val="Financials"/>
              <w:jc w:val="right"/>
              <w:rPr>
                <w:sz w:val="20"/>
                <w:szCs w:val="20"/>
                <w:lang w:eastAsia="en-AU"/>
              </w:rPr>
            </w:pP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r w:rsidRPr="00244D98">
              <w:rPr>
                <w:sz w:val="20"/>
                <w:szCs w:val="20"/>
                <w:lang w:eastAsia="en-AU"/>
              </w:rPr>
              <w:t>Receivables</w:t>
            </w:r>
            <w:r w:rsidRPr="00244D98">
              <w:rPr>
                <w:sz w:val="20"/>
                <w:szCs w:val="20"/>
                <w:vertAlign w:val="superscript"/>
                <w:lang w:eastAsia="en-AU"/>
              </w:rPr>
              <w:t>(a)</w:t>
            </w:r>
          </w:p>
        </w:tc>
        <w:tc>
          <w:tcPr>
            <w:tcW w:w="1044" w:type="dxa"/>
          </w:tcPr>
          <w:p w:rsidR="00244D98" w:rsidRPr="00244D98" w:rsidRDefault="00244D98" w:rsidP="002A2E0F">
            <w:pPr>
              <w:pStyle w:val="Financials"/>
              <w:jc w:val="right"/>
              <w:rPr>
                <w:sz w:val="20"/>
                <w:szCs w:val="20"/>
                <w:lang w:eastAsia="en-AU"/>
              </w:rPr>
            </w:pPr>
          </w:p>
        </w:tc>
        <w:tc>
          <w:tcPr>
            <w:tcW w:w="0" w:type="auto"/>
            <w:shd w:val="clear" w:color="auto" w:fill="E0DCCB" w:themeFill="accent4" w:themeFillTint="66"/>
            <w:vAlign w:val="center"/>
          </w:tcPr>
          <w:p w:rsidR="00244D98" w:rsidRPr="00244D98" w:rsidRDefault="00244D98" w:rsidP="002A2E0F">
            <w:pPr>
              <w:pStyle w:val="Financials"/>
              <w:jc w:val="right"/>
              <w:rPr>
                <w:sz w:val="20"/>
                <w:szCs w:val="20"/>
                <w:lang w:eastAsia="en-AU"/>
              </w:rPr>
            </w:pPr>
            <w:r w:rsidRPr="00244D98">
              <w:rPr>
                <w:sz w:val="20"/>
                <w:szCs w:val="20"/>
                <w:lang w:eastAsia="en-AU"/>
              </w:rPr>
              <w:t>103</w:t>
            </w:r>
          </w:p>
        </w:tc>
        <w:tc>
          <w:tcPr>
            <w:tcW w:w="0" w:type="auto"/>
            <w:tcBorders>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103</w:t>
            </w:r>
          </w:p>
        </w:tc>
        <w:tc>
          <w:tcPr>
            <w:tcW w:w="0" w:type="auto"/>
            <w:tcBorders>
              <w:left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103</w:t>
            </w:r>
          </w:p>
        </w:tc>
        <w:tc>
          <w:tcPr>
            <w:tcW w:w="0" w:type="auto"/>
            <w:tcBorders>
              <w:lef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103</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834" w:type="dxa"/>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r w:rsidRPr="00244D98">
              <w:rPr>
                <w:sz w:val="20"/>
                <w:szCs w:val="20"/>
                <w:lang w:eastAsia="en-AU"/>
              </w:rPr>
              <w:t>Amounts receivable for services</w:t>
            </w:r>
          </w:p>
        </w:tc>
        <w:tc>
          <w:tcPr>
            <w:tcW w:w="1044" w:type="dxa"/>
          </w:tcPr>
          <w:p w:rsidR="00244D98" w:rsidRPr="00244D98" w:rsidRDefault="00244D98" w:rsidP="002A2E0F">
            <w:pPr>
              <w:pStyle w:val="Financials"/>
              <w:jc w:val="right"/>
              <w:rPr>
                <w:sz w:val="20"/>
                <w:szCs w:val="20"/>
                <w:lang w:eastAsia="en-AU"/>
              </w:rPr>
            </w:pPr>
          </w:p>
        </w:tc>
        <w:tc>
          <w:tcPr>
            <w:tcW w:w="0" w:type="auto"/>
            <w:tcBorders>
              <w:bottom w:val="single" w:sz="4" w:space="0" w:color="FFFFFF" w:themeColor="background1"/>
            </w:tcBorders>
            <w:shd w:val="clear" w:color="auto" w:fill="E0DCCB" w:themeFill="accent4" w:themeFillTint="66"/>
            <w:vAlign w:val="center"/>
          </w:tcPr>
          <w:p w:rsidR="00244D98" w:rsidRPr="00244D98" w:rsidRDefault="00244D98" w:rsidP="002A2E0F">
            <w:pPr>
              <w:pStyle w:val="Financials"/>
              <w:jc w:val="right"/>
              <w:rPr>
                <w:sz w:val="20"/>
                <w:szCs w:val="20"/>
                <w:lang w:eastAsia="en-AU"/>
              </w:rPr>
            </w:pPr>
            <w:r w:rsidRPr="00244D98">
              <w:rPr>
                <w:sz w:val="20"/>
                <w:szCs w:val="20"/>
                <w:lang w:eastAsia="en-AU"/>
              </w:rPr>
              <w:t>594</w:t>
            </w:r>
          </w:p>
        </w:tc>
        <w:tc>
          <w:tcPr>
            <w:tcW w:w="0" w:type="auto"/>
            <w:tcBorders>
              <w:bottom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594</w:t>
            </w:r>
          </w:p>
        </w:tc>
        <w:tc>
          <w:tcPr>
            <w:tcW w:w="0" w:type="auto"/>
            <w:tcBorders>
              <w:left w:val="single" w:sz="4" w:space="0" w:color="E0DCCB" w:themeColor="accent4" w:themeTint="66"/>
              <w:bottom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594</w:t>
            </w:r>
          </w:p>
        </w:tc>
        <w:tc>
          <w:tcPr>
            <w:tcW w:w="0" w:type="auto"/>
            <w:tcBorders>
              <w:left w:val="single" w:sz="4" w:space="0" w:color="E0DCCB" w:themeColor="accent4" w:themeTint="66"/>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p>
        </w:tc>
        <w:tc>
          <w:tcPr>
            <w:tcW w:w="0" w:type="auto"/>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50</w:t>
            </w:r>
          </w:p>
        </w:tc>
        <w:tc>
          <w:tcPr>
            <w:tcW w:w="0" w:type="auto"/>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834" w:type="dxa"/>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544</w:t>
            </w:r>
          </w:p>
        </w:tc>
      </w:tr>
      <w:tr w:rsidR="00244D98" w:rsidRPr="00244D98" w:rsidTr="00C03B57">
        <w:trPr>
          <w:cantSplit/>
          <w:trHeight w:val="225"/>
        </w:trPr>
        <w:tc>
          <w:tcPr>
            <w:tcW w:w="1393" w:type="dxa"/>
          </w:tcPr>
          <w:p w:rsidR="00244D98" w:rsidRPr="00244D98" w:rsidRDefault="00244D98" w:rsidP="00244D98">
            <w:pPr>
              <w:pStyle w:val="Financials"/>
              <w:rPr>
                <w:sz w:val="20"/>
                <w:szCs w:val="20"/>
                <w:lang w:eastAsia="en-AU"/>
              </w:rPr>
            </w:pPr>
          </w:p>
        </w:tc>
        <w:tc>
          <w:tcPr>
            <w:tcW w:w="1044" w:type="dxa"/>
          </w:tcPr>
          <w:p w:rsidR="00244D98" w:rsidRPr="00244D98" w:rsidRDefault="00244D98" w:rsidP="002A2E0F">
            <w:pPr>
              <w:pStyle w:val="Financials"/>
              <w:jc w:val="right"/>
              <w:rPr>
                <w:sz w:val="20"/>
                <w:szCs w:val="20"/>
                <w:lang w:eastAsia="en-AU"/>
              </w:rPr>
            </w:pPr>
          </w:p>
        </w:tc>
        <w:tc>
          <w:tcPr>
            <w:tcW w:w="0" w:type="auto"/>
            <w:tcBorders>
              <w:top w:val="single" w:sz="4" w:space="0" w:color="FFFFFF" w:themeColor="background1"/>
              <w:bottom w:val="single" w:sz="4" w:space="0" w:color="B2A97E" w:themeColor="accent4"/>
            </w:tcBorders>
            <w:shd w:val="clear" w:color="auto" w:fill="E0DCCB" w:themeFill="accent4" w:themeFillTint="66"/>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1,235</w:t>
            </w:r>
            <w:r w:rsidRPr="00244D98">
              <w:rPr>
                <w:b/>
                <w:sz w:val="20"/>
                <w:szCs w:val="20"/>
                <w:lang w:eastAsia="en-AU"/>
              </w:rPr>
              <w:fldChar w:fldCharType="end"/>
            </w:r>
          </w:p>
        </w:tc>
        <w:tc>
          <w:tcPr>
            <w:tcW w:w="0" w:type="auto"/>
            <w:tcBorders>
              <w:top w:val="single" w:sz="4" w:space="0" w:color="E0DCCB" w:themeColor="accent4" w:themeTint="66"/>
              <w:bottom w:val="single" w:sz="4" w:space="0" w:color="B2A97E" w:themeColor="accent4"/>
              <w:right w:val="single" w:sz="4" w:space="0" w:color="E0DCCB" w:themeColor="accent4" w:themeTint="66"/>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1,235</w:t>
            </w:r>
            <w:r w:rsidRPr="00244D98">
              <w:rPr>
                <w:b/>
                <w:sz w:val="20"/>
                <w:szCs w:val="20"/>
                <w:lang w:eastAsia="en-AU"/>
              </w:rPr>
              <w:fldChar w:fldCharType="end"/>
            </w:r>
          </w:p>
        </w:tc>
        <w:tc>
          <w:tcPr>
            <w:tcW w:w="0" w:type="auto"/>
            <w:tcBorders>
              <w:top w:val="single" w:sz="4" w:space="0" w:color="E0DCCB" w:themeColor="accent4" w:themeTint="66"/>
              <w:left w:val="single" w:sz="4" w:space="0" w:color="E0DCCB" w:themeColor="accent4" w:themeTint="66"/>
              <w:bottom w:val="single" w:sz="4" w:space="0" w:color="B2A97E" w:themeColor="accent4"/>
              <w:right w:val="single" w:sz="4" w:space="0" w:color="E0DCCB" w:themeColor="accent4" w:themeTint="66"/>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1,267</w:t>
            </w:r>
            <w:r w:rsidRPr="00244D98">
              <w:rPr>
                <w:b/>
                <w:sz w:val="20"/>
                <w:szCs w:val="20"/>
                <w:lang w:eastAsia="en-AU"/>
              </w:rPr>
              <w:fldChar w:fldCharType="end"/>
            </w:r>
          </w:p>
        </w:tc>
        <w:tc>
          <w:tcPr>
            <w:tcW w:w="0" w:type="auto"/>
            <w:tcBorders>
              <w:top w:val="single" w:sz="4" w:space="0" w:color="E0DCCB" w:themeColor="accent4" w:themeTint="66"/>
              <w:left w:val="single" w:sz="4" w:space="0" w:color="E0DCCB" w:themeColor="accent4" w:themeTint="66"/>
              <w:bottom w:val="single" w:sz="4" w:space="0" w:color="B2A97E" w:themeColor="accent4"/>
            </w:tcBorders>
            <w:vAlign w:val="center"/>
          </w:tcPr>
          <w:p w:rsidR="00244D98" w:rsidRPr="00244D98" w:rsidRDefault="00C03B57" w:rsidP="002A2E0F">
            <w:pPr>
              <w:pStyle w:val="Financials"/>
              <w:jc w:val="right"/>
              <w:rPr>
                <w:b/>
                <w:sz w:val="20"/>
                <w:szCs w:val="20"/>
                <w:lang w:eastAsia="en-AU"/>
              </w:rPr>
            </w:pPr>
            <w:r>
              <w:rPr>
                <w:b/>
                <w:sz w:val="20"/>
                <w:szCs w:val="20"/>
                <w:lang w:eastAsia="en-AU"/>
              </w:rPr>
              <w:t>641</w:t>
            </w:r>
          </w:p>
        </w:tc>
        <w:tc>
          <w:tcPr>
            <w:tcW w:w="0" w:type="auto"/>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w:t>
            </w:r>
          </w:p>
        </w:tc>
        <w:tc>
          <w:tcPr>
            <w:tcW w:w="0" w:type="auto"/>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50</w:t>
            </w:r>
          </w:p>
        </w:tc>
        <w:tc>
          <w:tcPr>
            <w:tcW w:w="0" w:type="auto"/>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w:t>
            </w:r>
          </w:p>
        </w:tc>
        <w:tc>
          <w:tcPr>
            <w:tcW w:w="834" w:type="dxa"/>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544</w:t>
            </w:r>
          </w:p>
        </w:tc>
      </w:tr>
      <w:tr w:rsidR="00244D98" w:rsidRPr="00244D98" w:rsidTr="00C03B57">
        <w:trPr>
          <w:cantSplit/>
        </w:trPr>
        <w:tc>
          <w:tcPr>
            <w:tcW w:w="1393" w:type="dxa"/>
          </w:tcPr>
          <w:p w:rsidR="00244D98" w:rsidRPr="00244D98" w:rsidRDefault="00244D98" w:rsidP="00244D98">
            <w:pPr>
              <w:pStyle w:val="Financials"/>
              <w:rPr>
                <w:sz w:val="20"/>
                <w:szCs w:val="20"/>
                <w:u w:val="single"/>
                <w:lang w:eastAsia="en-AU"/>
              </w:rPr>
            </w:pPr>
            <w:r w:rsidRPr="00244D98">
              <w:rPr>
                <w:sz w:val="20"/>
                <w:szCs w:val="20"/>
                <w:u w:val="single"/>
                <w:lang w:eastAsia="en-AU"/>
              </w:rPr>
              <w:t>Financial Liabilities</w:t>
            </w:r>
          </w:p>
        </w:tc>
        <w:tc>
          <w:tcPr>
            <w:tcW w:w="1044" w:type="dxa"/>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shd w:val="clear" w:color="auto" w:fill="E0DCCB" w:themeFill="accent4" w:themeFillTint="66"/>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righ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left w:val="single" w:sz="4" w:space="0" w:color="E0DCCB" w:themeColor="accent4" w:themeTint="66"/>
              <w:righ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lef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tcPr>
          <w:p w:rsidR="00244D98" w:rsidRPr="00244D98" w:rsidRDefault="00244D98" w:rsidP="002A2E0F">
            <w:pPr>
              <w:pStyle w:val="Financials"/>
              <w:jc w:val="right"/>
              <w:rPr>
                <w:sz w:val="20"/>
                <w:szCs w:val="20"/>
                <w:lang w:eastAsia="en-AU"/>
              </w:rPr>
            </w:pPr>
          </w:p>
        </w:tc>
        <w:tc>
          <w:tcPr>
            <w:tcW w:w="834" w:type="dxa"/>
            <w:tcBorders>
              <w:top w:val="single" w:sz="4" w:space="0" w:color="B2A97E" w:themeColor="accent4"/>
            </w:tcBorders>
          </w:tcPr>
          <w:p w:rsidR="00244D98" w:rsidRPr="00244D98" w:rsidRDefault="00244D98" w:rsidP="002A2E0F">
            <w:pPr>
              <w:pStyle w:val="Financials"/>
              <w:jc w:val="right"/>
              <w:rPr>
                <w:sz w:val="20"/>
                <w:szCs w:val="20"/>
                <w:lang w:eastAsia="en-AU"/>
              </w:rPr>
            </w:pP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r w:rsidRPr="00244D98">
              <w:rPr>
                <w:sz w:val="20"/>
                <w:szCs w:val="20"/>
                <w:lang w:eastAsia="en-AU"/>
              </w:rPr>
              <w:t>Payables</w:t>
            </w:r>
          </w:p>
        </w:tc>
        <w:tc>
          <w:tcPr>
            <w:tcW w:w="1044" w:type="dxa"/>
          </w:tcPr>
          <w:p w:rsidR="00244D98" w:rsidRPr="00244D98" w:rsidRDefault="00244D98" w:rsidP="002A2E0F">
            <w:pPr>
              <w:pStyle w:val="Financials"/>
              <w:jc w:val="right"/>
              <w:rPr>
                <w:sz w:val="20"/>
                <w:szCs w:val="20"/>
                <w:lang w:eastAsia="en-AU"/>
              </w:rPr>
            </w:pPr>
          </w:p>
        </w:tc>
        <w:tc>
          <w:tcPr>
            <w:tcW w:w="0" w:type="auto"/>
            <w:tcBorders>
              <w:bottom w:val="single" w:sz="4" w:space="0" w:color="FFFFFF" w:themeColor="background1"/>
            </w:tcBorders>
            <w:shd w:val="clear" w:color="auto" w:fill="E0DCCB" w:themeFill="accent4" w:themeFillTint="66"/>
          </w:tcPr>
          <w:p w:rsidR="00244D98" w:rsidRPr="00244D98" w:rsidRDefault="00244D98" w:rsidP="002A2E0F">
            <w:pPr>
              <w:pStyle w:val="Financials"/>
              <w:jc w:val="right"/>
              <w:rPr>
                <w:sz w:val="20"/>
                <w:szCs w:val="20"/>
                <w:lang w:eastAsia="en-AU"/>
              </w:rPr>
            </w:pPr>
            <w:r w:rsidRPr="00244D98">
              <w:rPr>
                <w:sz w:val="20"/>
                <w:szCs w:val="20"/>
                <w:lang w:eastAsia="en-AU"/>
              </w:rPr>
              <w:t>424</w:t>
            </w:r>
          </w:p>
        </w:tc>
        <w:tc>
          <w:tcPr>
            <w:tcW w:w="0" w:type="auto"/>
            <w:tcBorders>
              <w:bottom w:val="single" w:sz="4" w:space="0" w:color="E0DCCB" w:themeColor="accent4" w:themeTint="66"/>
              <w:right w:val="single" w:sz="4" w:space="0" w:color="E0DCCB" w:themeColor="accent4" w:themeTint="66"/>
            </w:tcBorders>
          </w:tcPr>
          <w:p w:rsidR="00244D98" w:rsidRPr="00244D98" w:rsidRDefault="00244D98" w:rsidP="002A2E0F">
            <w:pPr>
              <w:pStyle w:val="Financials"/>
              <w:jc w:val="right"/>
              <w:rPr>
                <w:sz w:val="20"/>
                <w:szCs w:val="20"/>
                <w:lang w:eastAsia="en-AU"/>
              </w:rPr>
            </w:pPr>
            <w:r w:rsidRPr="00244D98">
              <w:rPr>
                <w:sz w:val="20"/>
                <w:szCs w:val="20"/>
                <w:lang w:eastAsia="en-AU"/>
              </w:rPr>
              <w:t>424</w:t>
            </w:r>
          </w:p>
        </w:tc>
        <w:tc>
          <w:tcPr>
            <w:tcW w:w="0" w:type="auto"/>
            <w:tcBorders>
              <w:left w:val="single" w:sz="4" w:space="0" w:color="E0DCCB" w:themeColor="accent4" w:themeTint="66"/>
              <w:bottom w:val="single" w:sz="4" w:space="0" w:color="E0DCCB" w:themeColor="accent4" w:themeTint="66"/>
              <w:right w:val="single" w:sz="4" w:space="0" w:color="E0DCCB" w:themeColor="accent4" w:themeTint="66"/>
            </w:tcBorders>
          </w:tcPr>
          <w:p w:rsidR="00244D98" w:rsidRPr="00244D98" w:rsidRDefault="00244D98" w:rsidP="002A2E0F">
            <w:pPr>
              <w:pStyle w:val="Financials"/>
              <w:jc w:val="right"/>
              <w:rPr>
                <w:sz w:val="20"/>
                <w:szCs w:val="20"/>
                <w:lang w:eastAsia="en-AU"/>
              </w:rPr>
            </w:pPr>
            <w:r w:rsidRPr="00244D98">
              <w:rPr>
                <w:sz w:val="20"/>
                <w:szCs w:val="20"/>
                <w:lang w:eastAsia="en-AU"/>
              </w:rPr>
              <w:t>424</w:t>
            </w:r>
          </w:p>
        </w:tc>
        <w:tc>
          <w:tcPr>
            <w:tcW w:w="0" w:type="auto"/>
            <w:tcBorders>
              <w:left w:val="single" w:sz="4" w:space="0" w:color="E0DCCB" w:themeColor="accent4" w:themeTint="66"/>
              <w:bottom w:val="single" w:sz="4" w:space="0" w:color="E0DCCB" w:themeColor="accent4" w:themeTint="66"/>
            </w:tcBorders>
          </w:tcPr>
          <w:p w:rsidR="00244D98" w:rsidRPr="00244D98" w:rsidRDefault="00244D98" w:rsidP="002A2E0F">
            <w:pPr>
              <w:pStyle w:val="Financials"/>
              <w:jc w:val="right"/>
              <w:rPr>
                <w:sz w:val="20"/>
                <w:szCs w:val="20"/>
                <w:lang w:eastAsia="en-AU"/>
              </w:rPr>
            </w:pPr>
            <w:r w:rsidRPr="00244D98">
              <w:rPr>
                <w:sz w:val="20"/>
                <w:szCs w:val="20"/>
                <w:lang w:eastAsia="en-AU"/>
              </w:rPr>
              <w:t>424</w:t>
            </w:r>
          </w:p>
        </w:tc>
        <w:tc>
          <w:tcPr>
            <w:tcW w:w="0" w:type="auto"/>
            <w:tcBorders>
              <w:bottom w:val="single" w:sz="4" w:space="0" w:color="E0DCCB" w:themeColor="accent4" w:themeTint="66"/>
            </w:tcBorders>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tcBorders>
              <w:bottom w:val="single" w:sz="4" w:space="0" w:color="E0DCCB" w:themeColor="accent4" w:themeTint="66"/>
            </w:tcBorders>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tcBorders>
              <w:bottom w:val="single" w:sz="4" w:space="0" w:color="E0DCCB" w:themeColor="accent4" w:themeTint="66"/>
            </w:tcBorders>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834" w:type="dxa"/>
            <w:tcBorders>
              <w:bottom w:val="single" w:sz="4" w:space="0" w:color="E0DCCB" w:themeColor="accent4" w:themeTint="66"/>
            </w:tcBorders>
          </w:tcPr>
          <w:p w:rsidR="00244D98" w:rsidRPr="00244D98" w:rsidRDefault="00244D98" w:rsidP="002A2E0F">
            <w:pPr>
              <w:pStyle w:val="Financials"/>
              <w:jc w:val="right"/>
              <w:rPr>
                <w:sz w:val="20"/>
                <w:szCs w:val="20"/>
                <w:lang w:eastAsia="en-AU"/>
              </w:rPr>
            </w:pPr>
            <w:r w:rsidRPr="00244D98">
              <w:rPr>
                <w:sz w:val="20"/>
                <w:szCs w:val="20"/>
                <w:lang w:eastAsia="en-AU"/>
              </w:rPr>
              <w:t>-</w:t>
            </w: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p>
        </w:tc>
        <w:tc>
          <w:tcPr>
            <w:tcW w:w="1044" w:type="dxa"/>
            <w:tcBorders>
              <w:bottom w:val="single" w:sz="4" w:space="0" w:color="B2A97E" w:themeColor="accent4"/>
            </w:tcBorders>
          </w:tcPr>
          <w:p w:rsidR="00244D98" w:rsidRPr="00244D98" w:rsidRDefault="00244D98" w:rsidP="002A2E0F">
            <w:pPr>
              <w:pStyle w:val="Financials"/>
              <w:jc w:val="right"/>
              <w:rPr>
                <w:sz w:val="20"/>
                <w:szCs w:val="20"/>
                <w:lang w:eastAsia="en-AU"/>
              </w:rPr>
            </w:pPr>
          </w:p>
        </w:tc>
        <w:tc>
          <w:tcPr>
            <w:tcW w:w="0" w:type="auto"/>
            <w:tcBorders>
              <w:top w:val="single" w:sz="4" w:space="0" w:color="FFFFFF" w:themeColor="background1"/>
              <w:bottom w:val="single" w:sz="4" w:space="0" w:color="B2A97E" w:themeColor="accent4"/>
            </w:tcBorders>
            <w:shd w:val="clear" w:color="auto" w:fill="E0DCCB" w:themeFill="accent4" w:themeFillTint="66"/>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424</w:t>
            </w:r>
            <w:r w:rsidRPr="00244D98">
              <w:rPr>
                <w:b/>
                <w:sz w:val="20"/>
                <w:szCs w:val="20"/>
                <w:lang w:eastAsia="en-AU"/>
              </w:rPr>
              <w:fldChar w:fldCharType="end"/>
            </w:r>
          </w:p>
        </w:tc>
        <w:tc>
          <w:tcPr>
            <w:tcW w:w="0" w:type="auto"/>
            <w:tcBorders>
              <w:top w:val="single" w:sz="4" w:space="0" w:color="E0DCCB" w:themeColor="accent4" w:themeTint="66"/>
              <w:bottom w:val="single" w:sz="4" w:space="0" w:color="B2A97E" w:themeColor="accent4"/>
              <w:right w:val="single" w:sz="4" w:space="0" w:color="E0DCCB" w:themeColor="accent4" w:themeTint="66"/>
            </w:tcBorders>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424</w:t>
            </w:r>
            <w:r w:rsidRPr="00244D98">
              <w:rPr>
                <w:b/>
                <w:sz w:val="20"/>
                <w:szCs w:val="20"/>
                <w:lang w:eastAsia="en-AU"/>
              </w:rPr>
              <w:fldChar w:fldCharType="end"/>
            </w:r>
          </w:p>
        </w:tc>
        <w:tc>
          <w:tcPr>
            <w:tcW w:w="0" w:type="auto"/>
            <w:tcBorders>
              <w:top w:val="single" w:sz="4" w:space="0" w:color="E0DCCB" w:themeColor="accent4" w:themeTint="66"/>
              <w:left w:val="single" w:sz="4" w:space="0" w:color="E0DCCB" w:themeColor="accent4" w:themeTint="66"/>
              <w:bottom w:val="single" w:sz="4" w:space="0" w:color="B2A97E" w:themeColor="accent4"/>
              <w:right w:val="single" w:sz="4" w:space="0" w:color="E0DCCB" w:themeColor="accent4" w:themeTint="66"/>
            </w:tcBorders>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424</w:t>
            </w:r>
            <w:r w:rsidRPr="00244D98">
              <w:rPr>
                <w:b/>
                <w:sz w:val="20"/>
                <w:szCs w:val="20"/>
                <w:lang w:eastAsia="en-AU"/>
              </w:rPr>
              <w:fldChar w:fldCharType="end"/>
            </w:r>
          </w:p>
        </w:tc>
        <w:tc>
          <w:tcPr>
            <w:tcW w:w="0" w:type="auto"/>
            <w:tcBorders>
              <w:top w:val="single" w:sz="4" w:space="0" w:color="E0DCCB" w:themeColor="accent4" w:themeTint="66"/>
              <w:left w:val="single" w:sz="4" w:space="0" w:color="E0DCCB" w:themeColor="accent4" w:themeTint="66"/>
              <w:bottom w:val="single" w:sz="4" w:space="0" w:color="B2A97E" w:themeColor="accent4"/>
            </w:tcBorders>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424</w:t>
            </w:r>
            <w:r w:rsidRPr="00244D98">
              <w:rPr>
                <w:b/>
                <w:sz w:val="20"/>
                <w:szCs w:val="20"/>
                <w:lang w:eastAsia="en-AU"/>
              </w:rPr>
              <w:fldChar w:fldCharType="end"/>
            </w:r>
          </w:p>
        </w:tc>
        <w:tc>
          <w:tcPr>
            <w:tcW w:w="0" w:type="auto"/>
            <w:tcBorders>
              <w:top w:val="single" w:sz="4" w:space="0" w:color="E0DCCB" w:themeColor="accent4" w:themeTint="66"/>
              <w:bottom w:val="single" w:sz="4" w:space="0" w:color="B2A97E" w:themeColor="accent4"/>
            </w:tcBorders>
          </w:tcPr>
          <w:p w:rsidR="00244D98" w:rsidRPr="00244D98" w:rsidRDefault="00244D98" w:rsidP="002A2E0F">
            <w:pPr>
              <w:pStyle w:val="Financials"/>
              <w:jc w:val="right"/>
              <w:rPr>
                <w:b/>
                <w:sz w:val="20"/>
                <w:szCs w:val="20"/>
                <w:lang w:eastAsia="en-AU"/>
              </w:rPr>
            </w:pPr>
            <w:r w:rsidRPr="00244D98">
              <w:rPr>
                <w:b/>
                <w:sz w:val="20"/>
                <w:szCs w:val="20"/>
                <w:lang w:eastAsia="en-AU"/>
              </w:rPr>
              <w:t>-</w:t>
            </w:r>
          </w:p>
        </w:tc>
        <w:tc>
          <w:tcPr>
            <w:tcW w:w="0" w:type="auto"/>
            <w:tcBorders>
              <w:top w:val="single" w:sz="4" w:space="0" w:color="E0DCCB" w:themeColor="accent4" w:themeTint="66"/>
              <w:bottom w:val="single" w:sz="4" w:space="0" w:color="B2A97E" w:themeColor="accent4"/>
            </w:tcBorders>
          </w:tcPr>
          <w:p w:rsidR="00244D98" w:rsidRPr="00244D98" w:rsidRDefault="00244D98" w:rsidP="002A2E0F">
            <w:pPr>
              <w:pStyle w:val="Financials"/>
              <w:jc w:val="right"/>
              <w:rPr>
                <w:b/>
                <w:sz w:val="20"/>
                <w:szCs w:val="20"/>
                <w:lang w:eastAsia="en-AU"/>
              </w:rPr>
            </w:pPr>
            <w:r w:rsidRPr="00244D98">
              <w:rPr>
                <w:b/>
                <w:sz w:val="20"/>
                <w:szCs w:val="20"/>
                <w:lang w:eastAsia="en-AU"/>
              </w:rPr>
              <w:t>-</w:t>
            </w:r>
          </w:p>
        </w:tc>
        <w:tc>
          <w:tcPr>
            <w:tcW w:w="0" w:type="auto"/>
            <w:tcBorders>
              <w:top w:val="single" w:sz="4" w:space="0" w:color="E0DCCB" w:themeColor="accent4" w:themeTint="66"/>
              <w:bottom w:val="single" w:sz="4" w:space="0" w:color="B2A97E" w:themeColor="accent4"/>
            </w:tcBorders>
          </w:tcPr>
          <w:p w:rsidR="00244D98" w:rsidRPr="00244D98" w:rsidRDefault="00244D98" w:rsidP="002A2E0F">
            <w:pPr>
              <w:pStyle w:val="Financials"/>
              <w:jc w:val="right"/>
              <w:rPr>
                <w:b/>
                <w:sz w:val="20"/>
                <w:szCs w:val="20"/>
                <w:lang w:eastAsia="en-AU"/>
              </w:rPr>
            </w:pPr>
            <w:r w:rsidRPr="00244D98">
              <w:rPr>
                <w:b/>
                <w:sz w:val="20"/>
                <w:szCs w:val="20"/>
                <w:lang w:eastAsia="en-AU"/>
              </w:rPr>
              <w:t>-</w:t>
            </w:r>
          </w:p>
        </w:tc>
        <w:tc>
          <w:tcPr>
            <w:tcW w:w="834" w:type="dxa"/>
            <w:tcBorders>
              <w:top w:val="single" w:sz="4" w:space="0" w:color="E0DCCB" w:themeColor="accent4" w:themeTint="66"/>
              <w:bottom w:val="single" w:sz="4" w:space="0" w:color="B2A97E" w:themeColor="accent4"/>
            </w:tcBorders>
          </w:tcPr>
          <w:p w:rsidR="00244D98" w:rsidRPr="00244D98" w:rsidRDefault="00244D98" w:rsidP="002A2E0F">
            <w:pPr>
              <w:pStyle w:val="Financials"/>
              <w:jc w:val="right"/>
              <w:rPr>
                <w:b/>
                <w:sz w:val="20"/>
                <w:szCs w:val="20"/>
                <w:lang w:eastAsia="en-AU"/>
              </w:rPr>
            </w:pPr>
            <w:r w:rsidRPr="00244D98">
              <w:rPr>
                <w:b/>
                <w:sz w:val="20"/>
                <w:szCs w:val="20"/>
                <w:lang w:eastAsia="en-AU"/>
              </w:rPr>
              <w:t>-</w:t>
            </w:r>
          </w:p>
        </w:tc>
      </w:tr>
      <w:tr w:rsidR="00244D98" w:rsidRPr="00244D98" w:rsidTr="00C03B57">
        <w:trPr>
          <w:cantSplit/>
          <w:trHeight w:val="163"/>
        </w:trPr>
        <w:tc>
          <w:tcPr>
            <w:tcW w:w="1393" w:type="dxa"/>
          </w:tcPr>
          <w:p w:rsidR="00244D98" w:rsidRPr="00244D98" w:rsidRDefault="00244D98" w:rsidP="00244D98">
            <w:pPr>
              <w:pStyle w:val="Financials"/>
              <w:rPr>
                <w:b/>
                <w:sz w:val="20"/>
                <w:szCs w:val="20"/>
                <w:lang w:eastAsia="en-AU"/>
              </w:rPr>
            </w:pPr>
            <w:r w:rsidRPr="00244D98">
              <w:rPr>
                <w:b/>
                <w:sz w:val="20"/>
                <w:szCs w:val="20"/>
                <w:lang w:eastAsia="en-AU"/>
              </w:rPr>
              <w:t>2014</w:t>
            </w:r>
          </w:p>
        </w:tc>
        <w:tc>
          <w:tcPr>
            <w:tcW w:w="1044" w:type="dxa"/>
            <w:tcBorders>
              <w:top w:val="single" w:sz="4" w:space="0" w:color="B2A97E" w:themeColor="accent4"/>
            </w:tcBorders>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shd w:val="clear" w:color="auto" w:fill="E0DCCB" w:themeFill="accent4" w:themeFillTint="66"/>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righ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left w:val="single" w:sz="4" w:space="0" w:color="E0DCCB" w:themeColor="accent4" w:themeTint="66"/>
              <w:righ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lef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tcPr>
          <w:p w:rsidR="00244D98" w:rsidRPr="00244D98" w:rsidRDefault="00244D98" w:rsidP="002A2E0F">
            <w:pPr>
              <w:pStyle w:val="Financials"/>
              <w:jc w:val="right"/>
              <w:rPr>
                <w:sz w:val="20"/>
                <w:szCs w:val="20"/>
                <w:lang w:eastAsia="en-AU"/>
              </w:rPr>
            </w:pPr>
          </w:p>
        </w:tc>
        <w:tc>
          <w:tcPr>
            <w:tcW w:w="834" w:type="dxa"/>
            <w:tcBorders>
              <w:top w:val="single" w:sz="4" w:space="0" w:color="B2A97E" w:themeColor="accent4"/>
            </w:tcBorders>
          </w:tcPr>
          <w:p w:rsidR="00244D98" w:rsidRPr="00244D98" w:rsidRDefault="00244D98" w:rsidP="002A2E0F">
            <w:pPr>
              <w:pStyle w:val="Financials"/>
              <w:jc w:val="right"/>
              <w:rPr>
                <w:sz w:val="20"/>
                <w:szCs w:val="20"/>
                <w:lang w:eastAsia="en-AU"/>
              </w:rPr>
            </w:pPr>
          </w:p>
        </w:tc>
      </w:tr>
      <w:tr w:rsidR="00244D98" w:rsidRPr="00244D98" w:rsidTr="00C03B57">
        <w:trPr>
          <w:cantSplit/>
        </w:trPr>
        <w:tc>
          <w:tcPr>
            <w:tcW w:w="1393" w:type="dxa"/>
          </w:tcPr>
          <w:p w:rsidR="00244D98" w:rsidRPr="00244D98" w:rsidRDefault="00244D98" w:rsidP="00244D98">
            <w:pPr>
              <w:pStyle w:val="Financials"/>
              <w:rPr>
                <w:sz w:val="20"/>
                <w:szCs w:val="20"/>
                <w:u w:val="single"/>
                <w:lang w:eastAsia="en-AU"/>
              </w:rPr>
            </w:pPr>
            <w:r w:rsidRPr="00244D98">
              <w:rPr>
                <w:sz w:val="20"/>
                <w:szCs w:val="20"/>
                <w:u w:val="single"/>
                <w:lang w:eastAsia="en-AU"/>
              </w:rPr>
              <w:t>Financial Assets</w:t>
            </w:r>
          </w:p>
        </w:tc>
        <w:tc>
          <w:tcPr>
            <w:tcW w:w="1044" w:type="dxa"/>
          </w:tcPr>
          <w:p w:rsidR="00244D98" w:rsidRPr="00244D98" w:rsidRDefault="00244D98" w:rsidP="002A2E0F">
            <w:pPr>
              <w:pStyle w:val="Financials"/>
              <w:jc w:val="right"/>
              <w:rPr>
                <w:sz w:val="20"/>
                <w:szCs w:val="20"/>
                <w:lang w:eastAsia="en-AU"/>
              </w:rPr>
            </w:pPr>
          </w:p>
        </w:tc>
        <w:tc>
          <w:tcPr>
            <w:tcW w:w="0" w:type="auto"/>
            <w:shd w:val="clear" w:color="auto" w:fill="E0DCCB" w:themeFill="accent4" w:themeFillTint="66"/>
          </w:tcPr>
          <w:p w:rsidR="00244D98" w:rsidRPr="00244D98" w:rsidRDefault="00244D98" w:rsidP="002A2E0F">
            <w:pPr>
              <w:pStyle w:val="Financials"/>
              <w:jc w:val="right"/>
              <w:rPr>
                <w:sz w:val="20"/>
                <w:szCs w:val="20"/>
                <w:lang w:eastAsia="en-AU"/>
              </w:rPr>
            </w:pPr>
          </w:p>
        </w:tc>
        <w:tc>
          <w:tcPr>
            <w:tcW w:w="0" w:type="auto"/>
            <w:tcBorders>
              <w:righ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left w:val="single" w:sz="4" w:space="0" w:color="E0DCCB" w:themeColor="accent4" w:themeTint="66"/>
              <w:righ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Borders>
              <w:left w:val="single" w:sz="4" w:space="0" w:color="E0DCCB" w:themeColor="accent4" w:themeTint="66"/>
            </w:tcBorders>
          </w:tcPr>
          <w:p w:rsidR="00244D98" w:rsidRPr="00244D98" w:rsidRDefault="00244D98" w:rsidP="002A2E0F">
            <w:pPr>
              <w:pStyle w:val="Financials"/>
              <w:jc w:val="right"/>
              <w:rPr>
                <w:sz w:val="20"/>
                <w:szCs w:val="20"/>
                <w:lang w:eastAsia="en-AU"/>
              </w:rPr>
            </w:pPr>
          </w:p>
        </w:tc>
        <w:tc>
          <w:tcPr>
            <w:tcW w:w="0" w:type="auto"/>
          </w:tcPr>
          <w:p w:rsidR="00244D98" w:rsidRPr="00244D98" w:rsidRDefault="00244D98" w:rsidP="002A2E0F">
            <w:pPr>
              <w:pStyle w:val="Financials"/>
              <w:jc w:val="right"/>
              <w:rPr>
                <w:sz w:val="20"/>
                <w:szCs w:val="20"/>
                <w:lang w:eastAsia="en-AU"/>
              </w:rPr>
            </w:pPr>
          </w:p>
        </w:tc>
        <w:tc>
          <w:tcPr>
            <w:tcW w:w="0" w:type="auto"/>
          </w:tcPr>
          <w:p w:rsidR="00244D98" w:rsidRPr="00244D98" w:rsidRDefault="00244D98" w:rsidP="002A2E0F">
            <w:pPr>
              <w:pStyle w:val="Financials"/>
              <w:jc w:val="right"/>
              <w:rPr>
                <w:sz w:val="20"/>
                <w:szCs w:val="20"/>
                <w:lang w:eastAsia="en-AU"/>
              </w:rPr>
            </w:pPr>
          </w:p>
        </w:tc>
        <w:tc>
          <w:tcPr>
            <w:tcW w:w="0" w:type="auto"/>
          </w:tcPr>
          <w:p w:rsidR="00244D98" w:rsidRPr="00244D98" w:rsidRDefault="00244D98" w:rsidP="002A2E0F">
            <w:pPr>
              <w:pStyle w:val="Financials"/>
              <w:jc w:val="right"/>
              <w:rPr>
                <w:sz w:val="20"/>
                <w:szCs w:val="20"/>
                <w:lang w:eastAsia="en-AU"/>
              </w:rPr>
            </w:pPr>
          </w:p>
        </w:tc>
        <w:tc>
          <w:tcPr>
            <w:tcW w:w="834" w:type="dxa"/>
          </w:tcPr>
          <w:p w:rsidR="00244D98" w:rsidRPr="00244D98" w:rsidRDefault="00244D98" w:rsidP="002A2E0F">
            <w:pPr>
              <w:pStyle w:val="Financials"/>
              <w:jc w:val="right"/>
              <w:rPr>
                <w:sz w:val="20"/>
                <w:szCs w:val="20"/>
                <w:lang w:eastAsia="en-AU"/>
              </w:rPr>
            </w:pP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r w:rsidRPr="00244D98">
              <w:rPr>
                <w:sz w:val="20"/>
                <w:szCs w:val="20"/>
                <w:lang w:eastAsia="en-AU"/>
              </w:rPr>
              <w:t>Cash and cash equivalents</w:t>
            </w:r>
          </w:p>
        </w:tc>
        <w:tc>
          <w:tcPr>
            <w:tcW w:w="1044" w:type="dxa"/>
          </w:tcPr>
          <w:p w:rsidR="00244D98" w:rsidRPr="00244D98" w:rsidRDefault="00244D98" w:rsidP="002A2E0F">
            <w:pPr>
              <w:pStyle w:val="Financials"/>
              <w:jc w:val="right"/>
              <w:rPr>
                <w:sz w:val="20"/>
                <w:szCs w:val="20"/>
                <w:lang w:eastAsia="en-AU"/>
              </w:rPr>
            </w:pPr>
          </w:p>
        </w:tc>
        <w:tc>
          <w:tcPr>
            <w:tcW w:w="0" w:type="auto"/>
            <w:shd w:val="clear" w:color="auto" w:fill="E0DCCB" w:themeFill="accent4" w:themeFillTint="66"/>
            <w:vAlign w:val="center"/>
          </w:tcPr>
          <w:p w:rsidR="00244D98" w:rsidRPr="00244D98" w:rsidRDefault="00244D98" w:rsidP="002A2E0F">
            <w:pPr>
              <w:pStyle w:val="Financials"/>
              <w:jc w:val="right"/>
              <w:rPr>
                <w:sz w:val="20"/>
                <w:szCs w:val="20"/>
                <w:lang w:eastAsia="en-AU"/>
              </w:rPr>
            </w:pPr>
            <w:r w:rsidRPr="00244D98">
              <w:rPr>
                <w:sz w:val="20"/>
                <w:szCs w:val="20"/>
                <w:lang w:eastAsia="en-AU"/>
              </w:rPr>
              <w:t>199</w:t>
            </w:r>
          </w:p>
        </w:tc>
        <w:tc>
          <w:tcPr>
            <w:tcW w:w="0" w:type="auto"/>
            <w:tcBorders>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199</w:t>
            </w:r>
          </w:p>
        </w:tc>
        <w:tc>
          <w:tcPr>
            <w:tcW w:w="0" w:type="auto"/>
            <w:tcBorders>
              <w:left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199</w:t>
            </w:r>
          </w:p>
        </w:tc>
        <w:tc>
          <w:tcPr>
            <w:tcW w:w="0" w:type="auto"/>
            <w:tcBorders>
              <w:lef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199</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834" w:type="dxa"/>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r w:rsidRPr="00244D98">
              <w:rPr>
                <w:sz w:val="20"/>
                <w:szCs w:val="20"/>
                <w:lang w:eastAsia="en-AU"/>
              </w:rPr>
              <w:t>Restricted cash and cash equivalents</w:t>
            </w:r>
          </w:p>
        </w:tc>
        <w:tc>
          <w:tcPr>
            <w:tcW w:w="1044" w:type="dxa"/>
          </w:tcPr>
          <w:p w:rsidR="00244D98" w:rsidRPr="00244D98" w:rsidRDefault="00244D98" w:rsidP="002A2E0F">
            <w:pPr>
              <w:pStyle w:val="Financials"/>
              <w:jc w:val="right"/>
              <w:rPr>
                <w:sz w:val="20"/>
                <w:szCs w:val="20"/>
                <w:lang w:eastAsia="en-AU"/>
              </w:rPr>
            </w:pPr>
          </w:p>
        </w:tc>
        <w:tc>
          <w:tcPr>
            <w:tcW w:w="0" w:type="auto"/>
            <w:shd w:val="clear" w:color="auto" w:fill="E0DCCB" w:themeFill="accent4" w:themeFillTint="66"/>
            <w:vAlign w:val="center"/>
          </w:tcPr>
          <w:p w:rsidR="00244D98" w:rsidRPr="00244D98" w:rsidRDefault="00244D98" w:rsidP="002A2E0F">
            <w:pPr>
              <w:pStyle w:val="Financials"/>
              <w:jc w:val="right"/>
              <w:rPr>
                <w:sz w:val="20"/>
                <w:szCs w:val="20"/>
                <w:lang w:eastAsia="en-AU"/>
              </w:rPr>
            </w:pPr>
            <w:r w:rsidRPr="00244D98">
              <w:rPr>
                <w:sz w:val="20"/>
                <w:szCs w:val="20"/>
                <w:lang w:eastAsia="en-AU"/>
              </w:rPr>
              <w:t>511</w:t>
            </w:r>
          </w:p>
        </w:tc>
        <w:tc>
          <w:tcPr>
            <w:tcW w:w="0" w:type="auto"/>
            <w:tcBorders>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511</w:t>
            </w:r>
          </w:p>
        </w:tc>
        <w:tc>
          <w:tcPr>
            <w:tcW w:w="0" w:type="auto"/>
            <w:tcBorders>
              <w:left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511</w:t>
            </w:r>
          </w:p>
        </w:tc>
        <w:tc>
          <w:tcPr>
            <w:tcW w:w="0" w:type="auto"/>
            <w:tcBorders>
              <w:lef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511</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834" w:type="dxa"/>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r w:rsidRPr="00244D98">
              <w:rPr>
                <w:sz w:val="20"/>
                <w:szCs w:val="20"/>
                <w:lang w:eastAsia="en-AU"/>
              </w:rPr>
              <w:t>Receivables</w:t>
            </w:r>
            <w:r w:rsidRPr="00244D98">
              <w:rPr>
                <w:sz w:val="20"/>
                <w:szCs w:val="20"/>
                <w:vertAlign w:val="superscript"/>
                <w:lang w:eastAsia="en-AU"/>
              </w:rPr>
              <w:t>(a)</w:t>
            </w:r>
          </w:p>
        </w:tc>
        <w:tc>
          <w:tcPr>
            <w:tcW w:w="1044" w:type="dxa"/>
          </w:tcPr>
          <w:p w:rsidR="00244D98" w:rsidRPr="00244D98" w:rsidRDefault="00244D98" w:rsidP="002A2E0F">
            <w:pPr>
              <w:pStyle w:val="Financials"/>
              <w:jc w:val="right"/>
              <w:rPr>
                <w:sz w:val="20"/>
                <w:szCs w:val="20"/>
                <w:lang w:eastAsia="en-AU"/>
              </w:rPr>
            </w:pPr>
          </w:p>
        </w:tc>
        <w:tc>
          <w:tcPr>
            <w:tcW w:w="0" w:type="auto"/>
            <w:shd w:val="clear" w:color="auto" w:fill="E0DCCB" w:themeFill="accent4" w:themeFillTint="66"/>
            <w:vAlign w:val="center"/>
          </w:tcPr>
          <w:p w:rsidR="00244D98" w:rsidRPr="00244D98" w:rsidRDefault="00244D98" w:rsidP="002A2E0F">
            <w:pPr>
              <w:pStyle w:val="Financials"/>
              <w:jc w:val="right"/>
              <w:rPr>
                <w:sz w:val="20"/>
                <w:szCs w:val="20"/>
                <w:lang w:eastAsia="en-AU"/>
              </w:rPr>
            </w:pPr>
            <w:r w:rsidRPr="00244D98">
              <w:rPr>
                <w:sz w:val="20"/>
                <w:szCs w:val="20"/>
                <w:lang w:eastAsia="en-AU"/>
              </w:rPr>
              <w:t>87</w:t>
            </w:r>
          </w:p>
        </w:tc>
        <w:tc>
          <w:tcPr>
            <w:tcW w:w="0" w:type="auto"/>
            <w:tcBorders>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87</w:t>
            </w:r>
          </w:p>
        </w:tc>
        <w:tc>
          <w:tcPr>
            <w:tcW w:w="0" w:type="auto"/>
            <w:tcBorders>
              <w:left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87</w:t>
            </w:r>
          </w:p>
        </w:tc>
        <w:tc>
          <w:tcPr>
            <w:tcW w:w="0" w:type="auto"/>
            <w:tcBorders>
              <w:lef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74</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13</w:t>
            </w:r>
          </w:p>
        </w:tc>
        <w:tc>
          <w:tcPr>
            <w:tcW w:w="0" w:type="auto"/>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834" w:type="dxa"/>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r w:rsidRPr="00244D98">
              <w:rPr>
                <w:sz w:val="20"/>
                <w:szCs w:val="20"/>
                <w:lang w:eastAsia="en-AU"/>
              </w:rPr>
              <w:t>Amounts receivable for services</w:t>
            </w:r>
          </w:p>
        </w:tc>
        <w:tc>
          <w:tcPr>
            <w:tcW w:w="1044" w:type="dxa"/>
          </w:tcPr>
          <w:p w:rsidR="00244D98" w:rsidRPr="00244D98" w:rsidRDefault="00244D98" w:rsidP="002A2E0F">
            <w:pPr>
              <w:pStyle w:val="Financials"/>
              <w:jc w:val="right"/>
              <w:rPr>
                <w:sz w:val="20"/>
                <w:szCs w:val="20"/>
                <w:lang w:eastAsia="en-AU"/>
              </w:rPr>
            </w:pPr>
          </w:p>
        </w:tc>
        <w:tc>
          <w:tcPr>
            <w:tcW w:w="0" w:type="auto"/>
            <w:tcBorders>
              <w:bottom w:val="single" w:sz="4" w:space="0" w:color="FFFFFF" w:themeColor="background1"/>
            </w:tcBorders>
            <w:shd w:val="clear" w:color="auto" w:fill="E0DCCB" w:themeFill="accent4" w:themeFillTint="66"/>
            <w:vAlign w:val="center"/>
          </w:tcPr>
          <w:p w:rsidR="00244D98" w:rsidRPr="00244D98" w:rsidRDefault="00244D98" w:rsidP="002A2E0F">
            <w:pPr>
              <w:pStyle w:val="Financials"/>
              <w:jc w:val="right"/>
              <w:rPr>
                <w:sz w:val="20"/>
                <w:szCs w:val="20"/>
                <w:lang w:eastAsia="en-AU"/>
              </w:rPr>
            </w:pPr>
            <w:r w:rsidRPr="00244D98">
              <w:rPr>
                <w:sz w:val="20"/>
                <w:szCs w:val="20"/>
                <w:lang w:eastAsia="en-AU"/>
              </w:rPr>
              <w:t>631</w:t>
            </w:r>
          </w:p>
        </w:tc>
        <w:tc>
          <w:tcPr>
            <w:tcW w:w="0" w:type="auto"/>
            <w:tcBorders>
              <w:bottom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631</w:t>
            </w:r>
          </w:p>
        </w:tc>
        <w:tc>
          <w:tcPr>
            <w:tcW w:w="0" w:type="auto"/>
            <w:tcBorders>
              <w:left w:val="single" w:sz="4" w:space="0" w:color="E0DCCB" w:themeColor="accent4" w:themeTint="66"/>
              <w:bottom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631</w:t>
            </w:r>
          </w:p>
        </w:tc>
        <w:tc>
          <w:tcPr>
            <w:tcW w:w="0" w:type="auto"/>
            <w:tcBorders>
              <w:left w:val="single" w:sz="4" w:space="0" w:color="E0DCCB" w:themeColor="accent4" w:themeTint="66"/>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87</w:t>
            </w:r>
          </w:p>
        </w:tc>
        <w:tc>
          <w:tcPr>
            <w:tcW w:w="0" w:type="auto"/>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834" w:type="dxa"/>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544</w:t>
            </w: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p>
        </w:tc>
        <w:tc>
          <w:tcPr>
            <w:tcW w:w="1044" w:type="dxa"/>
          </w:tcPr>
          <w:p w:rsidR="00244D98" w:rsidRPr="00244D98" w:rsidRDefault="00244D98" w:rsidP="002A2E0F">
            <w:pPr>
              <w:pStyle w:val="Financials"/>
              <w:jc w:val="right"/>
              <w:rPr>
                <w:sz w:val="20"/>
                <w:szCs w:val="20"/>
                <w:lang w:eastAsia="en-AU"/>
              </w:rPr>
            </w:pPr>
          </w:p>
        </w:tc>
        <w:tc>
          <w:tcPr>
            <w:tcW w:w="0" w:type="auto"/>
            <w:tcBorders>
              <w:top w:val="single" w:sz="4" w:space="0" w:color="FFFFFF" w:themeColor="background1"/>
              <w:bottom w:val="single" w:sz="4" w:space="0" w:color="B2A97E" w:themeColor="accent4"/>
            </w:tcBorders>
            <w:shd w:val="clear" w:color="auto" w:fill="E0DCCB" w:themeFill="accent4" w:themeFillTint="66"/>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1,428</w:t>
            </w:r>
            <w:r w:rsidRPr="00244D98">
              <w:rPr>
                <w:b/>
                <w:sz w:val="20"/>
                <w:szCs w:val="20"/>
                <w:lang w:eastAsia="en-AU"/>
              </w:rPr>
              <w:fldChar w:fldCharType="end"/>
            </w:r>
          </w:p>
        </w:tc>
        <w:tc>
          <w:tcPr>
            <w:tcW w:w="0" w:type="auto"/>
            <w:tcBorders>
              <w:top w:val="single" w:sz="4" w:space="0" w:color="E0DCCB" w:themeColor="accent4" w:themeTint="66"/>
              <w:bottom w:val="single" w:sz="4" w:space="0" w:color="B2A97E" w:themeColor="accent4"/>
              <w:right w:val="single" w:sz="4" w:space="0" w:color="E0DCCB" w:themeColor="accent4" w:themeTint="66"/>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1,428</w:t>
            </w:r>
            <w:r w:rsidRPr="00244D98">
              <w:rPr>
                <w:b/>
                <w:sz w:val="20"/>
                <w:szCs w:val="20"/>
                <w:lang w:eastAsia="en-AU"/>
              </w:rPr>
              <w:fldChar w:fldCharType="end"/>
            </w:r>
          </w:p>
        </w:tc>
        <w:tc>
          <w:tcPr>
            <w:tcW w:w="0" w:type="auto"/>
            <w:tcBorders>
              <w:top w:val="single" w:sz="4" w:space="0" w:color="E0DCCB" w:themeColor="accent4" w:themeTint="66"/>
              <w:left w:val="single" w:sz="4" w:space="0" w:color="E0DCCB" w:themeColor="accent4" w:themeTint="66"/>
              <w:bottom w:val="single" w:sz="4" w:space="0" w:color="B2A97E" w:themeColor="accent4"/>
              <w:right w:val="single" w:sz="4" w:space="0" w:color="E0DCCB" w:themeColor="accent4" w:themeTint="66"/>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1,428</w:t>
            </w:r>
            <w:r w:rsidRPr="00244D98">
              <w:rPr>
                <w:b/>
                <w:sz w:val="20"/>
                <w:szCs w:val="20"/>
                <w:lang w:eastAsia="en-AU"/>
              </w:rPr>
              <w:fldChar w:fldCharType="end"/>
            </w:r>
          </w:p>
        </w:tc>
        <w:tc>
          <w:tcPr>
            <w:tcW w:w="0" w:type="auto"/>
            <w:tcBorders>
              <w:top w:val="single" w:sz="4" w:space="0" w:color="E0DCCB" w:themeColor="accent4" w:themeTint="66"/>
              <w:left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784</w:t>
            </w:r>
          </w:p>
        </w:tc>
        <w:tc>
          <w:tcPr>
            <w:tcW w:w="0" w:type="auto"/>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w:t>
            </w:r>
          </w:p>
        </w:tc>
        <w:tc>
          <w:tcPr>
            <w:tcW w:w="0" w:type="auto"/>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100</w:t>
            </w:r>
            <w:r w:rsidRPr="00244D98">
              <w:rPr>
                <w:b/>
                <w:sz w:val="20"/>
                <w:szCs w:val="20"/>
                <w:lang w:eastAsia="en-AU"/>
              </w:rPr>
              <w:fldChar w:fldCharType="end"/>
            </w:r>
          </w:p>
        </w:tc>
        <w:tc>
          <w:tcPr>
            <w:tcW w:w="0" w:type="auto"/>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w:t>
            </w:r>
          </w:p>
        </w:tc>
        <w:tc>
          <w:tcPr>
            <w:tcW w:w="834" w:type="dxa"/>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544</w:t>
            </w:r>
          </w:p>
        </w:tc>
      </w:tr>
      <w:tr w:rsidR="00244D98" w:rsidRPr="00244D98" w:rsidTr="00C03B57">
        <w:trPr>
          <w:cantSplit/>
        </w:trPr>
        <w:tc>
          <w:tcPr>
            <w:tcW w:w="1393" w:type="dxa"/>
          </w:tcPr>
          <w:p w:rsidR="00244D98" w:rsidRPr="00244D98" w:rsidRDefault="00244D98" w:rsidP="00244D98">
            <w:pPr>
              <w:pStyle w:val="Financials"/>
              <w:rPr>
                <w:sz w:val="20"/>
                <w:szCs w:val="20"/>
                <w:u w:val="single"/>
                <w:lang w:eastAsia="en-AU"/>
              </w:rPr>
            </w:pPr>
            <w:r w:rsidRPr="00244D98">
              <w:rPr>
                <w:sz w:val="20"/>
                <w:szCs w:val="20"/>
                <w:u w:val="single"/>
                <w:lang w:eastAsia="en-AU"/>
              </w:rPr>
              <w:t>Financial Liabilities</w:t>
            </w:r>
          </w:p>
        </w:tc>
        <w:tc>
          <w:tcPr>
            <w:tcW w:w="1044" w:type="dxa"/>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shd w:val="clear" w:color="auto" w:fill="E0DCCB" w:themeFill="accent4" w:themeFillTint="66"/>
            <w:vAlign w:val="center"/>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left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lef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vAlign w:val="center"/>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vAlign w:val="center"/>
          </w:tcPr>
          <w:p w:rsidR="00244D98" w:rsidRPr="00244D98" w:rsidRDefault="00244D98" w:rsidP="002A2E0F">
            <w:pPr>
              <w:pStyle w:val="Financials"/>
              <w:jc w:val="right"/>
              <w:rPr>
                <w:sz w:val="20"/>
                <w:szCs w:val="20"/>
                <w:lang w:eastAsia="en-AU"/>
              </w:rPr>
            </w:pPr>
          </w:p>
        </w:tc>
        <w:tc>
          <w:tcPr>
            <w:tcW w:w="0" w:type="auto"/>
            <w:tcBorders>
              <w:top w:val="single" w:sz="4" w:space="0" w:color="B2A97E" w:themeColor="accent4"/>
            </w:tcBorders>
            <w:vAlign w:val="center"/>
          </w:tcPr>
          <w:p w:rsidR="00244D98" w:rsidRPr="00244D98" w:rsidRDefault="00244D98" w:rsidP="002A2E0F">
            <w:pPr>
              <w:pStyle w:val="Financials"/>
              <w:jc w:val="right"/>
              <w:rPr>
                <w:sz w:val="20"/>
                <w:szCs w:val="20"/>
                <w:lang w:eastAsia="en-AU"/>
              </w:rPr>
            </w:pPr>
          </w:p>
        </w:tc>
        <w:tc>
          <w:tcPr>
            <w:tcW w:w="834" w:type="dxa"/>
            <w:tcBorders>
              <w:top w:val="single" w:sz="4" w:space="0" w:color="B2A97E" w:themeColor="accent4"/>
            </w:tcBorders>
            <w:vAlign w:val="center"/>
          </w:tcPr>
          <w:p w:rsidR="00244D98" w:rsidRPr="00244D98" w:rsidRDefault="00244D98" w:rsidP="002A2E0F">
            <w:pPr>
              <w:pStyle w:val="Financials"/>
              <w:jc w:val="right"/>
              <w:rPr>
                <w:sz w:val="20"/>
                <w:szCs w:val="20"/>
                <w:lang w:eastAsia="en-AU"/>
              </w:rPr>
            </w:pP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r w:rsidRPr="00244D98">
              <w:rPr>
                <w:sz w:val="20"/>
                <w:szCs w:val="20"/>
                <w:lang w:eastAsia="en-AU"/>
              </w:rPr>
              <w:t>Payables</w:t>
            </w:r>
          </w:p>
        </w:tc>
        <w:tc>
          <w:tcPr>
            <w:tcW w:w="1044" w:type="dxa"/>
          </w:tcPr>
          <w:p w:rsidR="00244D98" w:rsidRPr="00244D98" w:rsidRDefault="00244D98" w:rsidP="002A2E0F">
            <w:pPr>
              <w:pStyle w:val="Financials"/>
              <w:jc w:val="right"/>
              <w:rPr>
                <w:sz w:val="20"/>
                <w:szCs w:val="20"/>
                <w:lang w:eastAsia="en-AU"/>
              </w:rPr>
            </w:pPr>
          </w:p>
        </w:tc>
        <w:tc>
          <w:tcPr>
            <w:tcW w:w="0" w:type="auto"/>
            <w:tcBorders>
              <w:bottom w:val="single" w:sz="4" w:space="0" w:color="FFFFFF" w:themeColor="background1"/>
            </w:tcBorders>
            <w:shd w:val="clear" w:color="auto" w:fill="E0DCCB" w:themeFill="accent4" w:themeFillTint="66"/>
            <w:vAlign w:val="center"/>
          </w:tcPr>
          <w:p w:rsidR="00244D98" w:rsidRPr="00244D98" w:rsidRDefault="00244D98" w:rsidP="002A2E0F">
            <w:pPr>
              <w:pStyle w:val="Financials"/>
              <w:jc w:val="right"/>
              <w:rPr>
                <w:sz w:val="20"/>
                <w:szCs w:val="20"/>
                <w:lang w:eastAsia="en-AU"/>
              </w:rPr>
            </w:pPr>
            <w:r w:rsidRPr="00244D98">
              <w:rPr>
                <w:sz w:val="20"/>
                <w:szCs w:val="20"/>
                <w:lang w:eastAsia="en-AU"/>
              </w:rPr>
              <w:t>974</w:t>
            </w:r>
          </w:p>
        </w:tc>
        <w:tc>
          <w:tcPr>
            <w:tcW w:w="0" w:type="auto"/>
            <w:tcBorders>
              <w:bottom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974</w:t>
            </w:r>
          </w:p>
        </w:tc>
        <w:tc>
          <w:tcPr>
            <w:tcW w:w="0" w:type="auto"/>
            <w:tcBorders>
              <w:left w:val="single" w:sz="4" w:space="0" w:color="E0DCCB" w:themeColor="accent4" w:themeTint="66"/>
              <w:bottom w:val="single" w:sz="4" w:space="0" w:color="E0DCCB" w:themeColor="accent4" w:themeTint="66"/>
              <w:right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974</w:t>
            </w:r>
          </w:p>
        </w:tc>
        <w:tc>
          <w:tcPr>
            <w:tcW w:w="0" w:type="auto"/>
            <w:tcBorders>
              <w:left w:val="single" w:sz="4" w:space="0" w:color="E0DCCB" w:themeColor="accent4" w:themeTint="66"/>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974</w:t>
            </w:r>
          </w:p>
        </w:tc>
        <w:tc>
          <w:tcPr>
            <w:tcW w:w="0" w:type="auto"/>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0" w:type="auto"/>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c>
          <w:tcPr>
            <w:tcW w:w="834" w:type="dxa"/>
            <w:tcBorders>
              <w:bottom w:val="single" w:sz="4" w:space="0" w:color="E0DCCB" w:themeColor="accent4" w:themeTint="66"/>
            </w:tcBorders>
            <w:vAlign w:val="center"/>
          </w:tcPr>
          <w:p w:rsidR="00244D98" w:rsidRPr="00244D98" w:rsidRDefault="00244D98" w:rsidP="002A2E0F">
            <w:pPr>
              <w:pStyle w:val="Financials"/>
              <w:jc w:val="right"/>
              <w:rPr>
                <w:sz w:val="20"/>
                <w:szCs w:val="20"/>
                <w:lang w:eastAsia="en-AU"/>
              </w:rPr>
            </w:pPr>
            <w:r w:rsidRPr="00244D98">
              <w:rPr>
                <w:sz w:val="20"/>
                <w:szCs w:val="20"/>
                <w:lang w:eastAsia="en-AU"/>
              </w:rPr>
              <w:t>-</w:t>
            </w:r>
          </w:p>
        </w:tc>
      </w:tr>
      <w:tr w:rsidR="00244D98" w:rsidRPr="00244D98" w:rsidTr="00C03B57">
        <w:trPr>
          <w:cantSplit/>
        </w:trPr>
        <w:tc>
          <w:tcPr>
            <w:tcW w:w="1393" w:type="dxa"/>
          </w:tcPr>
          <w:p w:rsidR="00244D98" w:rsidRPr="00244D98" w:rsidRDefault="00244D98" w:rsidP="00244D98">
            <w:pPr>
              <w:pStyle w:val="Financials"/>
              <w:rPr>
                <w:sz w:val="20"/>
                <w:szCs w:val="20"/>
                <w:lang w:eastAsia="en-AU"/>
              </w:rPr>
            </w:pPr>
          </w:p>
        </w:tc>
        <w:tc>
          <w:tcPr>
            <w:tcW w:w="1044" w:type="dxa"/>
          </w:tcPr>
          <w:p w:rsidR="00244D98" w:rsidRPr="00244D98" w:rsidRDefault="00244D98" w:rsidP="002A2E0F">
            <w:pPr>
              <w:pStyle w:val="Financials"/>
              <w:jc w:val="right"/>
              <w:rPr>
                <w:sz w:val="20"/>
                <w:szCs w:val="20"/>
                <w:lang w:eastAsia="en-AU"/>
              </w:rPr>
            </w:pPr>
          </w:p>
        </w:tc>
        <w:tc>
          <w:tcPr>
            <w:tcW w:w="0" w:type="auto"/>
            <w:tcBorders>
              <w:top w:val="single" w:sz="4" w:space="0" w:color="FFFFFF" w:themeColor="background1"/>
              <w:bottom w:val="single" w:sz="4" w:space="0" w:color="B2A97E" w:themeColor="accent4"/>
            </w:tcBorders>
            <w:shd w:val="clear" w:color="auto" w:fill="E0DCCB" w:themeFill="accent4" w:themeFillTint="66"/>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974</w:t>
            </w:r>
            <w:r w:rsidRPr="00244D98">
              <w:rPr>
                <w:b/>
                <w:sz w:val="20"/>
                <w:szCs w:val="20"/>
                <w:lang w:eastAsia="en-AU"/>
              </w:rPr>
              <w:fldChar w:fldCharType="end"/>
            </w:r>
          </w:p>
        </w:tc>
        <w:tc>
          <w:tcPr>
            <w:tcW w:w="0" w:type="auto"/>
            <w:tcBorders>
              <w:top w:val="single" w:sz="4" w:space="0" w:color="E0DCCB" w:themeColor="accent4" w:themeTint="66"/>
              <w:bottom w:val="single" w:sz="4" w:space="0" w:color="B2A97E" w:themeColor="accent4"/>
              <w:right w:val="single" w:sz="4" w:space="0" w:color="E0DCCB" w:themeColor="accent4" w:themeTint="66"/>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974</w:t>
            </w:r>
            <w:r w:rsidRPr="00244D98">
              <w:rPr>
                <w:b/>
                <w:sz w:val="20"/>
                <w:szCs w:val="20"/>
                <w:lang w:eastAsia="en-AU"/>
              </w:rPr>
              <w:fldChar w:fldCharType="end"/>
            </w:r>
          </w:p>
        </w:tc>
        <w:tc>
          <w:tcPr>
            <w:tcW w:w="0" w:type="auto"/>
            <w:tcBorders>
              <w:top w:val="single" w:sz="4" w:space="0" w:color="E0DCCB" w:themeColor="accent4" w:themeTint="66"/>
              <w:left w:val="single" w:sz="4" w:space="0" w:color="E0DCCB" w:themeColor="accent4" w:themeTint="66"/>
              <w:bottom w:val="single" w:sz="4" w:space="0" w:color="B2A97E" w:themeColor="accent4"/>
              <w:right w:val="single" w:sz="4" w:space="0" w:color="E0DCCB" w:themeColor="accent4" w:themeTint="66"/>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974</w:t>
            </w:r>
            <w:r w:rsidRPr="00244D98">
              <w:rPr>
                <w:b/>
                <w:sz w:val="20"/>
                <w:szCs w:val="20"/>
                <w:lang w:eastAsia="en-AU"/>
              </w:rPr>
              <w:fldChar w:fldCharType="end"/>
            </w:r>
          </w:p>
        </w:tc>
        <w:tc>
          <w:tcPr>
            <w:tcW w:w="0" w:type="auto"/>
            <w:tcBorders>
              <w:top w:val="single" w:sz="4" w:space="0" w:color="E0DCCB" w:themeColor="accent4" w:themeTint="66"/>
              <w:left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fldChar w:fldCharType="begin"/>
            </w:r>
            <w:r w:rsidRPr="00244D98">
              <w:rPr>
                <w:b/>
                <w:sz w:val="20"/>
                <w:szCs w:val="20"/>
                <w:lang w:eastAsia="en-AU"/>
              </w:rPr>
              <w:instrText xml:space="preserve"> =SUM(ABOVE) </w:instrText>
            </w:r>
            <w:r w:rsidRPr="00244D98">
              <w:rPr>
                <w:b/>
                <w:sz w:val="20"/>
                <w:szCs w:val="20"/>
                <w:lang w:eastAsia="en-AU"/>
              </w:rPr>
              <w:fldChar w:fldCharType="separate"/>
            </w:r>
            <w:r w:rsidRPr="00244D98">
              <w:rPr>
                <w:b/>
                <w:noProof/>
                <w:sz w:val="20"/>
                <w:szCs w:val="20"/>
                <w:lang w:eastAsia="en-AU"/>
              </w:rPr>
              <w:t>974</w:t>
            </w:r>
            <w:r w:rsidRPr="00244D98">
              <w:rPr>
                <w:b/>
                <w:sz w:val="20"/>
                <w:szCs w:val="20"/>
                <w:lang w:eastAsia="en-AU"/>
              </w:rPr>
              <w:fldChar w:fldCharType="end"/>
            </w:r>
          </w:p>
        </w:tc>
        <w:tc>
          <w:tcPr>
            <w:tcW w:w="0" w:type="auto"/>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w:t>
            </w:r>
          </w:p>
        </w:tc>
        <w:tc>
          <w:tcPr>
            <w:tcW w:w="0" w:type="auto"/>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w:t>
            </w:r>
          </w:p>
        </w:tc>
        <w:tc>
          <w:tcPr>
            <w:tcW w:w="0" w:type="auto"/>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w:t>
            </w:r>
          </w:p>
        </w:tc>
        <w:tc>
          <w:tcPr>
            <w:tcW w:w="834" w:type="dxa"/>
            <w:tcBorders>
              <w:top w:val="single" w:sz="4" w:space="0" w:color="E0DCCB" w:themeColor="accent4" w:themeTint="66"/>
              <w:bottom w:val="single" w:sz="4" w:space="0" w:color="B2A97E" w:themeColor="accent4"/>
            </w:tcBorders>
            <w:vAlign w:val="center"/>
          </w:tcPr>
          <w:p w:rsidR="00244D98" w:rsidRPr="00244D98" w:rsidRDefault="00244D98" w:rsidP="002A2E0F">
            <w:pPr>
              <w:pStyle w:val="Financials"/>
              <w:jc w:val="right"/>
              <w:rPr>
                <w:b/>
                <w:sz w:val="20"/>
                <w:szCs w:val="20"/>
                <w:lang w:eastAsia="en-AU"/>
              </w:rPr>
            </w:pPr>
            <w:r w:rsidRPr="00244D98">
              <w:rPr>
                <w:b/>
                <w:sz w:val="20"/>
                <w:szCs w:val="20"/>
                <w:lang w:eastAsia="en-AU"/>
              </w:rPr>
              <w:t>-</w:t>
            </w:r>
          </w:p>
        </w:tc>
      </w:tr>
    </w:tbl>
    <w:p w:rsidR="00244D98" w:rsidRPr="00AB3C74" w:rsidRDefault="00C03B57" w:rsidP="008D4CEC">
      <w:pPr>
        <w:pStyle w:val="Financialnotes"/>
        <w:numPr>
          <w:ilvl w:val="0"/>
          <w:numId w:val="34"/>
        </w:numPr>
        <w:spacing w:before="120" w:after="0"/>
        <w:ind w:left="2137" w:hanging="357"/>
        <w:rPr>
          <w:sz w:val="18"/>
          <w:szCs w:val="18"/>
        </w:rPr>
      </w:pPr>
      <w:r w:rsidRPr="00C03B57">
        <w:rPr>
          <w:sz w:val="20"/>
          <w:szCs w:val="20"/>
        </w:rPr>
        <w:t>The amount of receivables excludes the GST recoverable from the ATO (statutory receivable).</w:t>
      </w:r>
      <w:r w:rsidRPr="00AB3C74">
        <w:rPr>
          <w:sz w:val="18"/>
          <w:szCs w:val="18"/>
        </w:rPr>
        <w:t xml:space="preserve"> </w:t>
      </w:r>
    </w:p>
    <w:p w:rsidR="002A2E0F" w:rsidRDefault="002A2E0F" w:rsidP="002A2E0F">
      <w:pPr>
        <w:pStyle w:val="Financialsheading3"/>
      </w:pPr>
      <w:bookmarkStart w:id="279" w:name="_Toc264275307"/>
      <w:bookmarkStart w:id="280" w:name="_Toc264895199"/>
      <w:bookmarkStart w:id="281" w:name="_Toc265493319"/>
      <w:bookmarkStart w:id="282" w:name="_Toc268084830"/>
      <w:bookmarkStart w:id="283" w:name="_Toc278880986"/>
      <w:bookmarkStart w:id="284" w:name="_Toc317079444"/>
      <w:bookmarkStart w:id="285" w:name="_Toc317590706"/>
      <w:bookmarkStart w:id="286" w:name="_Toc427745946"/>
      <w:proofErr w:type="gramStart"/>
      <w:r w:rsidRPr="005D6BC7">
        <w:lastRenderedPageBreak/>
        <w:t xml:space="preserve">Note </w:t>
      </w:r>
      <w:r>
        <w:t>30.</w:t>
      </w:r>
      <w:proofErr w:type="gramEnd"/>
      <w:r>
        <w:t xml:space="preserve"> </w:t>
      </w:r>
      <w:r w:rsidRPr="005D6BC7">
        <w:t>Remuneration of senior officers</w:t>
      </w:r>
      <w:bookmarkEnd w:id="279"/>
      <w:bookmarkEnd w:id="280"/>
      <w:bookmarkEnd w:id="281"/>
      <w:bookmarkEnd w:id="282"/>
      <w:bookmarkEnd w:id="283"/>
      <w:bookmarkEnd w:id="284"/>
      <w:bookmarkEnd w:id="285"/>
      <w:bookmarkEnd w:id="286"/>
      <w:r w:rsidRPr="00E659A4">
        <w:t xml:space="preserve"> </w:t>
      </w:r>
    </w:p>
    <w:p w:rsidR="002A2E0F" w:rsidRPr="002A2E0F" w:rsidRDefault="002A2E0F" w:rsidP="002A2E0F">
      <w:pPr>
        <w:pStyle w:val="Financialnotes"/>
      </w:pPr>
      <w:r w:rsidRPr="002A2E0F">
        <w:t xml:space="preserve">The </w:t>
      </w:r>
      <w:proofErr w:type="gramStart"/>
      <w:r w:rsidRPr="002A2E0F">
        <w:t>number</w:t>
      </w:r>
      <w:proofErr w:type="gramEnd"/>
      <w:r w:rsidRPr="002A2E0F">
        <w:t xml:space="preserve"> of senior officers whose total fees, salaries, superannuation, non-monetary benefits and other benefits for the financial year fall within the following bands are:</w:t>
      </w:r>
    </w:p>
    <w:tbl>
      <w:tblPr>
        <w:tblStyle w:val="TableGrid"/>
        <w:tblW w:w="8009" w:type="dxa"/>
        <w:tblInd w:w="15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87"/>
        <w:gridCol w:w="1275"/>
        <w:gridCol w:w="1347"/>
      </w:tblGrid>
      <w:tr w:rsidR="002A2E0F" w:rsidRPr="00DD3B67" w:rsidTr="003608DB">
        <w:tc>
          <w:tcPr>
            <w:tcW w:w="5387" w:type="dxa"/>
            <w:shd w:val="clear" w:color="auto" w:fill="E0DCCB" w:themeFill="accent4" w:themeFillTint="66"/>
          </w:tcPr>
          <w:p w:rsidR="002A2E0F" w:rsidRPr="00E659A4" w:rsidRDefault="002A2E0F" w:rsidP="002660B8">
            <w:pPr>
              <w:pStyle w:val="Body"/>
              <w:spacing w:before="80"/>
              <w:ind w:left="34"/>
              <w:rPr>
                <w:b/>
                <w:sz w:val="22"/>
              </w:rPr>
            </w:pPr>
            <w:r w:rsidRPr="00E659A4">
              <w:rPr>
                <w:b/>
                <w:sz w:val="22"/>
              </w:rPr>
              <w:t>$</w:t>
            </w:r>
          </w:p>
        </w:tc>
        <w:tc>
          <w:tcPr>
            <w:tcW w:w="1275" w:type="dxa"/>
            <w:shd w:val="clear" w:color="auto" w:fill="E0DCCB" w:themeFill="accent4" w:themeFillTint="66"/>
          </w:tcPr>
          <w:p w:rsidR="002A2E0F" w:rsidRPr="00DD3B67" w:rsidRDefault="002A2E0F" w:rsidP="002660B8">
            <w:pPr>
              <w:pStyle w:val="Body"/>
              <w:spacing w:before="80"/>
              <w:ind w:left="34"/>
              <w:jc w:val="center"/>
              <w:rPr>
                <w:b/>
                <w:sz w:val="22"/>
              </w:rPr>
            </w:pPr>
            <w:r w:rsidRPr="00DD3B67">
              <w:rPr>
                <w:b/>
                <w:sz w:val="22"/>
              </w:rPr>
              <w:t>201</w:t>
            </w:r>
            <w:r>
              <w:rPr>
                <w:b/>
                <w:sz w:val="22"/>
              </w:rPr>
              <w:t>5</w:t>
            </w:r>
          </w:p>
        </w:tc>
        <w:tc>
          <w:tcPr>
            <w:tcW w:w="1347" w:type="dxa"/>
            <w:shd w:val="clear" w:color="auto" w:fill="E0DCCB" w:themeFill="accent4" w:themeFillTint="66"/>
          </w:tcPr>
          <w:p w:rsidR="002A2E0F" w:rsidRPr="00DD3B67" w:rsidRDefault="002A2E0F" w:rsidP="002660B8">
            <w:pPr>
              <w:pStyle w:val="Body"/>
              <w:spacing w:before="80"/>
              <w:ind w:left="34"/>
              <w:jc w:val="center"/>
              <w:rPr>
                <w:b/>
                <w:sz w:val="22"/>
              </w:rPr>
            </w:pPr>
            <w:r w:rsidRPr="00DD3B67">
              <w:rPr>
                <w:b/>
                <w:sz w:val="22"/>
              </w:rPr>
              <w:t>201</w:t>
            </w:r>
            <w:r>
              <w:rPr>
                <w:b/>
                <w:sz w:val="22"/>
              </w:rPr>
              <w:t>4</w:t>
            </w:r>
          </w:p>
        </w:tc>
      </w:tr>
      <w:tr w:rsidR="002A2E0F" w:rsidRPr="0030531D" w:rsidTr="003608DB">
        <w:tc>
          <w:tcPr>
            <w:tcW w:w="5387" w:type="dxa"/>
          </w:tcPr>
          <w:p w:rsidR="002A2E0F" w:rsidRPr="00E659A4" w:rsidRDefault="002A2E0F" w:rsidP="002660B8">
            <w:pPr>
              <w:pStyle w:val="Body"/>
              <w:spacing w:before="80"/>
              <w:ind w:left="-108"/>
              <w:rPr>
                <w:b/>
                <w:sz w:val="22"/>
              </w:rPr>
            </w:pPr>
            <w:r w:rsidRPr="00E659A4">
              <w:rPr>
                <w:rFonts w:ascii="Arial" w:eastAsia="Times New Roman" w:hAnsi="Arial" w:cs="Arial"/>
                <w:kern w:val="28"/>
                <w:sz w:val="22"/>
                <w:lang w:eastAsia="en-AU"/>
              </w:rPr>
              <w:t>100,001 – 150,000</w:t>
            </w:r>
          </w:p>
        </w:tc>
        <w:tc>
          <w:tcPr>
            <w:tcW w:w="1275" w:type="dxa"/>
            <w:shd w:val="clear" w:color="auto" w:fill="E0DCCB" w:themeFill="accent4" w:themeFillTint="66"/>
          </w:tcPr>
          <w:p w:rsidR="002A2E0F" w:rsidRPr="00E659A4" w:rsidRDefault="00C64C62" w:rsidP="002660B8">
            <w:pPr>
              <w:pStyle w:val="Body"/>
              <w:spacing w:before="80"/>
              <w:ind w:left="0"/>
              <w:jc w:val="right"/>
              <w:rPr>
                <w:sz w:val="22"/>
              </w:rPr>
            </w:pPr>
            <w:r>
              <w:rPr>
                <w:rFonts w:ascii="Arial" w:eastAsia="Times New Roman" w:hAnsi="Arial" w:cs="Arial"/>
                <w:kern w:val="28"/>
                <w:sz w:val="22"/>
                <w:lang w:eastAsia="en-AU"/>
              </w:rPr>
              <w:t>-</w:t>
            </w:r>
          </w:p>
        </w:tc>
        <w:tc>
          <w:tcPr>
            <w:tcW w:w="1347" w:type="dxa"/>
          </w:tcPr>
          <w:p w:rsidR="002A2E0F" w:rsidRPr="00E659A4" w:rsidRDefault="002A2E0F" w:rsidP="002660B8">
            <w:pPr>
              <w:pStyle w:val="Body"/>
              <w:spacing w:before="80"/>
              <w:ind w:left="0"/>
              <w:jc w:val="right"/>
              <w:rPr>
                <w:sz w:val="22"/>
              </w:rPr>
            </w:pPr>
            <w:r w:rsidRPr="00E659A4">
              <w:rPr>
                <w:rFonts w:ascii="Arial" w:eastAsia="Times New Roman" w:hAnsi="Arial" w:cs="Arial"/>
                <w:kern w:val="28"/>
                <w:sz w:val="22"/>
                <w:lang w:eastAsia="en-AU"/>
              </w:rPr>
              <w:t>1</w:t>
            </w:r>
          </w:p>
        </w:tc>
      </w:tr>
      <w:tr w:rsidR="002A2E0F" w:rsidRPr="0030531D" w:rsidTr="003608DB">
        <w:tc>
          <w:tcPr>
            <w:tcW w:w="5387" w:type="dxa"/>
          </w:tcPr>
          <w:p w:rsidR="002A2E0F" w:rsidRPr="00E659A4" w:rsidRDefault="002A2E0F" w:rsidP="002660B8">
            <w:pPr>
              <w:pStyle w:val="Body"/>
              <w:spacing w:before="80"/>
              <w:ind w:left="-108"/>
              <w:rPr>
                <w:sz w:val="22"/>
              </w:rPr>
            </w:pPr>
            <w:r w:rsidRPr="00E659A4">
              <w:rPr>
                <w:rFonts w:ascii="Arial" w:eastAsia="Times New Roman" w:hAnsi="Arial" w:cs="Arial"/>
                <w:kern w:val="28"/>
                <w:sz w:val="22"/>
                <w:lang w:eastAsia="en-AU"/>
              </w:rPr>
              <w:t>150,001 – 200,000</w:t>
            </w:r>
          </w:p>
        </w:tc>
        <w:tc>
          <w:tcPr>
            <w:tcW w:w="1275" w:type="dxa"/>
            <w:shd w:val="clear" w:color="auto" w:fill="E0DCCB" w:themeFill="accent4" w:themeFillTint="66"/>
          </w:tcPr>
          <w:p w:rsidR="002A2E0F" w:rsidRPr="00E659A4" w:rsidRDefault="002A2E0F" w:rsidP="002660B8">
            <w:pPr>
              <w:pStyle w:val="Body"/>
              <w:spacing w:before="80"/>
              <w:ind w:left="0"/>
              <w:jc w:val="right"/>
              <w:rPr>
                <w:sz w:val="22"/>
              </w:rPr>
            </w:pPr>
            <w:r>
              <w:rPr>
                <w:rFonts w:ascii="Arial" w:eastAsia="Times New Roman" w:hAnsi="Arial" w:cs="Arial"/>
                <w:kern w:val="28"/>
                <w:sz w:val="22"/>
                <w:lang w:eastAsia="en-AU"/>
              </w:rPr>
              <w:t>2</w:t>
            </w:r>
          </w:p>
        </w:tc>
        <w:tc>
          <w:tcPr>
            <w:tcW w:w="1347" w:type="dxa"/>
          </w:tcPr>
          <w:p w:rsidR="002A2E0F" w:rsidRPr="00E659A4" w:rsidRDefault="002A2E0F" w:rsidP="002660B8">
            <w:pPr>
              <w:pStyle w:val="Body"/>
              <w:spacing w:before="80"/>
              <w:ind w:left="0"/>
              <w:jc w:val="right"/>
              <w:rPr>
                <w:sz w:val="22"/>
              </w:rPr>
            </w:pPr>
            <w:r w:rsidRPr="00E659A4">
              <w:rPr>
                <w:rFonts w:ascii="Arial" w:eastAsia="Times New Roman" w:hAnsi="Arial" w:cs="Arial"/>
                <w:kern w:val="28"/>
                <w:sz w:val="22"/>
                <w:lang w:eastAsia="en-AU"/>
              </w:rPr>
              <w:t>2</w:t>
            </w:r>
          </w:p>
        </w:tc>
      </w:tr>
      <w:tr w:rsidR="002A2E0F" w:rsidRPr="0030531D" w:rsidTr="003608DB">
        <w:tc>
          <w:tcPr>
            <w:tcW w:w="5387" w:type="dxa"/>
          </w:tcPr>
          <w:p w:rsidR="002A2E0F" w:rsidRPr="00E659A4" w:rsidRDefault="002A2E0F" w:rsidP="002660B8">
            <w:pPr>
              <w:pStyle w:val="Body"/>
              <w:spacing w:before="80"/>
              <w:ind w:left="-108"/>
              <w:rPr>
                <w:sz w:val="22"/>
              </w:rPr>
            </w:pPr>
            <w:r w:rsidRPr="00E659A4">
              <w:rPr>
                <w:rFonts w:ascii="Arial" w:eastAsia="Times New Roman" w:hAnsi="Arial" w:cs="Arial"/>
                <w:kern w:val="28"/>
                <w:sz w:val="22"/>
                <w:lang w:eastAsia="en-AU"/>
              </w:rPr>
              <w:t>200,001 – 250,000</w:t>
            </w:r>
          </w:p>
        </w:tc>
        <w:tc>
          <w:tcPr>
            <w:tcW w:w="1275" w:type="dxa"/>
            <w:shd w:val="clear" w:color="auto" w:fill="E0DCCB" w:themeFill="accent4" w:themeFillTint="66"/>
          </w:tcPr>
          <w:p w:rsidR="002A2E0F" w:rsidRPr="00E659A4" w:rsidRDefault="002A2E0F" w:rsidP="002660B8">
            <w:pPr>
              <w:pStyle w:val="Body"/>
              <w:spacing w:before="80"/>
              <w:ind w:left="0"/>
              <w:jc w:val="right"/>
              <w:rPr>
                <w:sz w:val="22"/>
              </w:rPr>
            </w:pPr>
            <w:r>
              <w:rPr>
                <w:rFonts w:ascii="Arial" w:eastAsia="Times New Roman" w:hAnsi="Arial" w:cs="Arial"/>
                <w:kern w:val="28"/>
                <w:sz w:val="22"/>
                <w:lang w:eastAsia="en-AU"/>
              </w:rPr>
              <w:t>1</w:t>
            </w:r>
          </w:p>
        </w:tc>
        <w:tc>
          <w:tcPr>
            <w:tcW w:w="1347" w:type="dxa"/>
          </w:tcPr>
          <w:p w:rsidR="002A2E0F" w:rsidRPr="00E659A4" w:rsidRDefault="002A2E0F" w:rsidP="002660B8">
            <w:pPr>
              <w:pStyle w:val="Body"/>
              <w:spacing w:before="80"/>
              <w:ind w:left="0"/>
              <w:jc w:val="right"/>
              <w:rPr>
                <w:sz w:val="22"/>
              </w:rPr>
            </w:pPr>
            <w:r w:rsidRPr="00E659A4">
              <w:rPr>
                <w:rFonts w:ascii="Arial" w:eastAsia="Times New Roman" w:hAnsi="Arial" w:cs="Arial"/>
                <w:kern w:val="28"/>
                <w:sz w:val="22"/>
                <w:lang w:eastAsia="en-AU"/>
              </w:rPr>
              <w:t>-</w:t>
            </w:r>
          </w:p>
        </w:tc>
      </w:tr>
      <w:tr w:rsidR="002A2E0F" w:rsidRPr="0030531D" w:rsidTr="003608DB">
        <w:tc>
          <w:tcPr>
            <w:tcW w:w="5387" w:type="dxa"/>
          </w:tcPr>
          <w:p w:rsidR="002A2E0F" w:rsidRPr="00E659A4" w:rsidRDefault="002A2E0F" w:rsidP="002660B8">
            <w:pPr>
              <w:pStyle w:val="Body"/>
              <w:spacing w:before="80"/>
              <w:ind w:left="-108"/>
              <w:rPr>
                <w:sz w:val="22"/>
              </w:rPr>
            </w:pPr>
            <w:r w:rsidRPr="00E659A4">
              <w:rPr>
                <w:rFonts w:ascii="Arial" w:eastAsia="Times New Roman" w:hAnsi="Arial" w:cs="Arial"/>
                <w:kern w:val="28"/>
                <w:sz w:val="22"/>
                <w:lang w:eastAsia="en-AU"/>
              </w:rPr>
              <w:t>250,001 – 300,000</w:t>
            </w:r>
          </w:p>
        </w:tc>
        <w:tc>
          <w:tcPr>
            <w:tcW w:w="1275" w:type="dxa"/>
            <w:shd w:val="clear" w:color="auto" w:fill="E0DCCB" w:themeFill="accent4" w:themeFillTint="66"/>
          </w:tcPr>
          <w:p w:rsidR="002A2E0F" w:rsidRPr="00E659A4" w:rsidRDefault="002A2E0F" w:rsidP="002660B8">
            <w:pPr>
              <w:pStyle w:val="Body"/>
              <w:spacing w:before="80"/>
              <w:ind w:left="0"/>
              <w:jc w:val="right"/>
              <w:rPr>
                <w:sz w:val="22"/>
              </w:rPr>
            </w:pPr>
            <w:r w:rsidRPr="00E659A4">
              <w:rPr>
                <w:rFonts w:ascii="Arial" w:eastAsia="Times New Roman" w:hAnsi="Arial" w:cs="Arial"/>
                <w:kern w:val="28"/>
                <w:sz w:val="22"/>
                <w:lang w:eastAsia="en-AU"/>
              </w:rPr>
              <w:t>-</w:t>
            </w:r>
          </w:p>
        </w:tc>
        <w:tc>
          <w:tcPr>
            <w:tcW w:w="1347" w:type="dxa"/>
          </w:tcPr>
          <w:p w:rsidR="002A2E0F" w:rsidRPr="00E659A4" w:rsidRDefault="002A2E0F" w:rsidP="002660B8">
            <w:pPr>
              <w:pStyle w:val="Body"/>
              <w:spacing w:before="80"/>
              <w:ind w:left="0"/>
              <w:jc w:val="right"/>
              <w:rPr>
                <w:sz w:val="22"/>
              </w:rPr>
            </w:pPr>
            <w:r w:rsidRPr="00E659A4">
              <w:rPr>
                <w:rFonts w:ascii="Arial" w:eastAsia="Times New Roman" w:hAnsi="Arial" w:cs="Arial"/>
                <w:kern w:val="28"/>
                <w:sz w:val="22"/>
                <w:lang w:eastAsia="en-AU"/>
              </w:rPr>
              <w:t>-</w:t>
            </w:r>
          </w:p>
        </w:tc>
      </w:tr>
      <w:tr w:rsidR="002A2E0F" w:rsidRPr="0030531D" w:rsidTr="003608DB">
        <w:tc>
          <w:tcPr>
            <w:tcW w:w="5387" w:type="dxa"/>
          </w:tcPr>
          <w:p w:rsidR="002A2E0F" w:rsidRPr="00E659A4" w:rsidRDefault="002A2E0F" w:rsidP="002660B8">
            <w:pPr>
              <w:pStyle w:val="Body"/>
              <w:spacing w:before="80"/>
              <w:ind w:left="-108"/>
              <w:rPr>
                <w:sz w:val="22"/>
              </w:rPr>
            </w:pPr>
            <w:r w:rsidRPr="00E659A4">
              <w:rPr>
                <w:rFonts w:ascii="Arial" w:eastAsia="Times New Roman" w:hAnsi="Arial" w:cs="Arial"/>
                <w:kern w:val="28"/>
                <w:sz w:val="22"/>
                <w:lang w:eastAsia="en-AU"/>
              </w:rPr>
              <w:t>300,001 – 350,000</w:t>
            </w:r>
          </w:p>
        </w:tc>
        <w:tc>
          <w:tcPr>
            <w:tcW w:w="1275" w:type="dxa"/>
            <w:shd w:val="clear" w:color="auto" w:fill="E0DCCB" w:themeFill="accent4" w:themeFillTint="66"/>
          </w:tcPr>
          <w:p w:rsidR="002A2E0F" w:rsidRPr="00E659A4" w:rsidRDefault="002A2E0F" w:rsidP="002660B8">
            <w:pPr>
              <w:pStyle w:val="Body"/>
              <w:spacing w:before="80"/>
              <w:ind w:left="0"/>
              <w:jc w:val="right"/>
              <w:rPr>
                <w:sz w:val="22"/>
              </w:rPr>
            </w:pPr>
            <w:r>
              <w:rPr>
                <w:rFonts w:ascii="Arial" w:eastAsia="Times New Roman" w:hAnsi="Arial" w:cs="Arial"/>
                <w:kern w:val="28"/>
                <w:sz w:val="22"/>
                <w:lang w:eastAsia="en-AU"/>
              </w:rPr>
              <w:t>1</w:t>
            </w:r>
          </w:p>
        </w:tc>
        <w:tc>
          <w:tcPr>
            <w:tcW w:w="1347" w:type="dxa"/>
          </w:tcPr>
          <w:p w:rsidR="002A2E0F" w:rsidRPr="00E659A4" w:rsidRDefault="002A2E0F" w:rsidP="002660B8">
            <w:pPr>
              <w:pStyle w:val="Body"/>
              <w:spacing w:before="80"/>
              <w:ind w:left="0"/>
              <w:jc w:val="right"/>
              <w:rPr>
                <w:sz w:val="22"/>
              </w:rPr>
            </w:pPr>
            <w:r w:rsidRPr="00E659A4">
              <w:rPr>
                <w:rFonts w:ascii="Arial" w:eastAsia="Times New Roman" w:hAnsi="Arial" w:cs="Arial"/>
                <w:kern w:val="28"/>
                <w:sz w:val="22"/>
                <w:lang w:eastAsia="en-AU"/>
              </w:rPr>
              <w:t>1</w:t>
            </w:r>
          </w:p>
        </w:tc>
      </w:tr>
      <w:tr w:rsidR="002A2E0F" w:rsidRPr="0030531D" w:rsidTr="003608DB">
        <w:tc>
          <w:tcPr>
            <w:tcW w:w="5387" w:type="dxa"/>
          </w:tcPr>
          <w:p w:rsidR="002A2E0F" w:rsidRPr="00E659A4" w:rsidRDefault="002A2E0F" w:rsidP="002660B8">
            <w:pPr>
              <w:pStyle w:val="Body"/>
              <w:spacing w:before="80"/>
              <w:ind w:left="-108"/>
              <w:rPr>
                <w:b/>
                <w:sz w:val="22"/>
              </w:rPr>
            </w:pPr>
          </w:p>
        </w:tc>
        <w:tc>
          <w:tcPr>
            <w:tcW w:w="1275" w:type="dxa"/>
            <w:shd w:val="clear" w:color="auto" w:fill="E0DCCB" w:themeFill="accent4" w:themeFillTint="66"/>
          </w:tcPr>
          <w:p w:rsidR="002A2E0F" w:rsidRPr="00E659A4" w:rsidRDefault="002A2E0F" w:rsidP="002660B8">
            <w:pPr>
              <w:pStyle w:val="Body"/>
              <w:spacing w:before="80"/>
              <w:ind w:left="0"/>
              <w:jc w:val="right"/>
              <w:rPr>
                <w:sz w:val="22"/>
              </w:rPr>
            </w:pPr>
            <w:r w:rsidRPr="00E659A4">
              <w:rPr>
                <w:rFonts w:ascii="Arial" w:eastAsia="Times New Roman" w:hAnsi="Arial" w:cs="Arial"/>
                <w:b/>
                <w:kern w:val="28"/>
                <w:sz w:val="22"/>
                <w:lang w:eastAsia="en-AU"/>
              </w:rPr>
              <w:t>$</w:t>
            </w:r>
          </w:p>
        </w:tc>
        <w:tc>
          <w:tcPr>
            <w:tcW w:w="1347" w:type="dxa"/>
          </w:tcPr>
          <w:p w:rsidR="002A2E0F" w:rsidRPr="00E659A4" w:rsidRDefault="002A2E0F" w:rsidP="002660B8">
            <w:pPr>
              <w:pStyle w:val="Body"/>
              <w:spacing w:before="80"/>
              <w:ind w:left="0"/>
              <w:jc w:val="right"/>
              <w:rPr>
                <w:sz w:val="22"/>
              </w:rPr>
            </w:pPr>
            <w:r w:rsidRPr="00E659A4">
              <w:rPr>
                <w:rFonts w:ascii="Arial" w:eastAsia="Times New Roman" w:hAnsi="Arial" w:cs="Arial"/>
                <w:b/>
                <w:kern w:val="28"/>
                <w:sz w:val="22"/>
                <w:lang w:eastAsia="en-AU"/>
              </w:rPr>
              <w:t>$</w:t>
            </w:r>
          </w:p>
        </w:tc>
      </w:tr>
      <w:tr w:rsidR="002A2E0F" w:rsidRPr="0030531D" w:rsidTr="003608DB">
        <w:tc>
          <w:tcPr>
            <w:tcW w:w="5387" w:type="dxa"/>
          </w:tcPr>
          <w:p w:rsidR="002A2E0F" w:rsidRPr="00E659A4" w:rsidRDefault="002A2E0F" w:rsidP="002660B8">
            <w:pPr>
              <w:pStyle w:val="Body"/>
              <w:spacing w:before="80"/>
              <w:ind w:left="-108"/>
              <w:rPr>
                <w:sz w:val="22"/>
              </w:rPr>
            </w:pPr>
            <w:r w:rsidRPr="00E659A4">
              <w:rPr>
                <w:rFonts w:ascii="Arial" w:eastAsia="Times New Roman" w:hAnsi="Arial" w:cs="Arial"/>
                <w:kern w:val="28"/>
                <w:sz w:val="22"/>
                <w:lang w:eastAsia="en-AU"/>
              </w:rPr>
              <w:t>Base remuneration and superannuation</w:t>
            </w:r>
          </w:p>
        </w:tc>
        <w:tc>
          <w:tcPr>
            <w:tcW w:w="1275" w:type="dxa"/>
            <w:shd w:val="clear" w:color="auto" w:fill="E0DCCB" w:themeFill="accent4" w:themeFillTint="66"/>
          </w:tcPr>
          <w:p w:rsidR="002A2E0F" w:rsidRPr="00E659A4" w:rsidRDefault="002A2E0F" w:rsidP="002660B8">
            <w:pPr>
              <w:pStyle w:val="Body"/>
              <w:spacing w:before="80"/>
              <w:ind w:left="0"/>
              <w:jc w:val="right"/>
              <w:rPr>
                <w:sz w:val="22"/>
              </w:rPr>
            </w:pPr>
            <w:r>
              <w:rPr>
                <w:rFonts w:ascii="Arial" w:eastAsia="Times New Roman" w:hAnsi="Arial" w:cs="Arial"/>
                <w:kern w:val="28"/>
                <w:sz w:val="22"/>
                <w:lang w:eastAsia="en-AU"/>
              </w:rPr>
              <w:t>831,147</w:t>
            </w:r>
          </w:p>
        </w:tc>
        <w:tc>
          <w:tcPr>
            <w:tcW w:w="1347" w:type="dxa"/>
          </w:tcPr>
          <w:p w:rsidR="002A2E0F" w:rsidRPr="00E659A4" w:rsidRDefault="002A2E0F" w:rsidP="002660B8">
            <w:pPr>
              <w:pStyle w:val="Body"/>
              <w:spacing w:before="80"/>
              <w:ind w:left="0"/>
              <w:jc w:val="right"/>
              <w:rPr>
                <w:sz w:val="22"/>
              </w:rPr>
            </w:pPr>
            <w:r w:rsidRPr="00E659A4">
              <w:rPr>
                <w:rFonts w:ascii="Arial" w:eastAsia="Times New Roman" w:hAnsi="Arial" w:cs="Arial"/>
                <w:kern w:val="28"/>
                <w:sz w:val="22"/>
                <w:lang w:eastAsia="en-AU"/>
              </w:rPr>
              <w:t>816,612</w:t>
            </w:r>
          </w:p>
        </w:tc>
      </w:tr>
      <w:tr w:rsidR="002A2E0F" w:rsidRPr="0030531D" w:rsidTr="003608DB">
        <w:tc>
          <w:tcPr>
            <w:tcW w:w="5387" w:type="dxa"/>
          </w:tcPr>
          <w:p w:rsidR="002A2E0F" w:rsidRPr="00E659A4" w:rsidRDefault="002A2E0F" w:rsidP="002660B8">
            <w:pPr>
              <w:pStyle w:val="Body"/>
              <w:spacing w:before="80"/>
              <w:ind w:left="-108"/>
              <w:rPr>
                <w:rFonts w:ascii="Arial" w:eastAsia="Times New Roman" w:hAnsi="Arial" w:cs="Arial"/>
                <w:kern w:val="28"/>
                <w:sz w:val="22"/>
                <w:lang w:eastAsia="en-AU"/>
              </w:rPr>
            </w:pPr>
            <w:r w:rsidRPr="00E659A4">
              <w:rPr>
                <w:rFonts w:ascii="Arial" w:eastAsia="Times New Roman" w:hAnsi="Arial" w:cs="Arial"/>
                <w:kern w:val="28"/>
                <w:sz w:val="22"/>
                <w:lang w:eastAsia="en-AU"/>
              </w:rPr>
              <w:t>Annual leave and long service leave accruals</w:t>
            </w:r>
          </w:p>
        </w:tc>
        <w:tc>
          <w:tcPr>
            <w:tcW w:w="1275" w:type="dxa"/>
            <w:shd w:val="clear" w:color="auto" w:fill="E0DCCB" w:themeFill="accent4" w:themeFillTint="66"/>
          </w:tcPr>
          <w:p w:rsidR="002A2E0F" w:rsidRPr="00E659A4" w:rsidRDefault="002A2E0F" w:rsidP="002660B8">
            <w:pPr>
              <w:pStyle w:val="Body"/>
              <w:spacing w:before="80"/>
              <w:ind w:left="0"/>
              <w:jc w:val="right"/>
              <w:rPr>
                <w:rFonts w:ascii="Arial" w:eastAsia="Times New Roman" w:hAnsi="Arial" w:cs="Arial"/>
                <w:kern w:val="28"/>
                <w:sz w:val="22"/>
                <w:lang w:eastAsia="en-AU"/>
              </w:rPr>
            </w:pPr>
            <w:r w:rsidRPr="00E659A4">
              <w:rPr>
                <w:rFonts w:ascii="Arial" w:eastAsia="Times New Roman" w:hAnsi="Arial" w:cs="Arial"/>
                <w:kern w:val="28"/>
                <w:sz w:val="22"/>
                <w:lang w:eastAsia="en-AU"/>
              </w:rPr>
              <w:t>(</w:t>
            </w:r>
            <w:r>
              <w:rPr>
                <w:rFonts w:ascii="Arial" w:eastAsia="Times New Roman" w:hAnsi="Arial" w:cs="Arial"/>
                <w:kern w:val="28"/>
                <w:sz w:val="22"/>
                <w:lang w:eastAsia="en-AU"/>
              </w:rPr>
              <w:t>9,678</w:t>
            </w:r>
            <w:r w:rsidRPr="00E659A4">
              <w:rPr>
                <w:rFonts w:ascii="Arial" w:eastAsia="Times New Roman" w:hAnsi="Arial" w:cs="Arial"/>
                <w:kern w:val="28"/>
                <w:sz w:val="22"/>
                <w:lang w:eastAsia="en-AU"/>
              </w:rPr>
              <w:t>)</w:t>
            </w:r>
          </w:p>
        </w:tc>
        <w:tc>
          <w:tcPr>
            <w:tcW w:w="1347" w:type="dxa"/>
          </w:tcPr>
          <w:p w:rsidR="002A2E0F" w:rsidRPr="00E659A4" w:rsidRDefault="002A2E0F" w:rsidP="002660B8">
            <w:pPr>
              <w:pStyle w:val="Body"/>
              <w:spacing w:before="80"/>
              <w:ind w:left="0"/>
              <w:jc w:val="right"/>
              <w:rPr>
                <w:rFonts w:ascii="Arial" w:eastAsia="Times New Roman" w:hAnsi="Arial" w:cs="Arial"/>
                <w:kern w:val="28"/>
                <w:sz w:val="22"/>
                <w:lang w:eastAsia="en-AU"/>
              </w:rPr>
            </w:pPr>
            <w:r w:rsidRPr="00E659A4">
              <w:rPr>
                <w:rFonts w:ascii="Arial" w:eastAsia="Times New Roman" w:hAnsi="Arial" w:cs="Arial"/>
                <w:kern w:val="28"/>
                <w:sz w:val="22"/>
                <w:lang w:eastAsia="en-AU"/>
              </w:rPr>
              <w:t>(21,053)</w:t>
            </w:r>
          </w:p>
        </w:tc>
      </w:tr>
      <w:tr w:rsidR="002A2E0F" w:rsidRPr="0030531D" w:rsidTr="003608DB">
        <w:tc>
          <w:tcPr>
            <w:tcW w:w="5387" w:type="dxa"/>
          </w:tcPr>
          <w:p w:rsidR="002A2E0F" w:rsidRPr="00E659A4" w:rsidRDefault="002A2E0F" w:rsidP="002660B8">
            <w:pPr>
              <w:pStyle w:val="Body"/>
              <w:spacing w:before="80"/>
              <w:ind w:left="-108"/>
              <w:rPr>
                <w:rFonts w:ascii="Arial" w:eastAsia="Times New Roman" w:hAnsi="Arial" w:cs="Arial"/>
                <w:kern w:val="28"/>
                <w:sz w:val="22"/>
                <w:lang w:eastAsia="en-AU"/>
              </w:rPr>
            </w:pPr>
            <w:r w:rsidRPr="00E659A4">
              <w:rPr>
                <w:rFonts w:ascii="Arial" w:eastAsia="Times New Roman" w:hAnsi="Arial" w:cs="Arial"/>
                <w:kern w:val="28"/>
                <w:sz w:val="22"/>
                <w:lang w:eastAsia="en-AU"/>
              </w:rPr>
              <w:t>Other benefits</w:t>
            </w:r>
          </w:p>
        </w:tc>
        <w:tc>
          <w:tcPr>
            <w:tcW w:w="1275" w:type="dxa"/>
            <w:tcBorders>
              <w:bottom w:val="single" w:sz="4" w:space="0" w:color="FFFFFF" w:themeColor="background1"/>
            </w:tcBorders>
            <w:shd w:val="clear" w:color="auto" w:fill="E0DCCB" w:themeFill="accent4" w:themeFillTint="66"/>
          </w:tcPr>
          <w:p w:rsidR="002A2E0F" w:rsidRPr="00E659A4" w:rsidRDefault="002A2E0F" w:rsidP="002660B8">
            <w:pPr>
              <w:pStyle w:val="Body"/>
              <w:spacing w:before="80"/>
              <w:ind w:left="0"/>
              <w:jc w:val="right"/>
              <w:rPr>
                <w:rFonts w:ascii="Arial" w:eastAsia="Times New Roman" w:hAnsi="Arial" w:cs="Arial"/>
                <w:kern w:val="28"/>
                <w:sz w:val="22"/>
                <w:lang w:eastAsia="en-AU"/>
              </w:rPr>
            </w:pPr>
            <w:r>
              <w:rPr>
                <w:rFonts w:ascii="Arial" w:eastAsia="Times New Roman" w:hAnsi="Arial" w:cs="Arial"/>
                <w:kern w:val="28"/>
                <w:sz w:val="22"/>
                <w:lang w:eastAsia="en-AU"/>
              </w:rPr>
              <w:t>34,354</w:t>
            </w:r>
          </w:p>
        </w:tc>
        <w:tc>
          <w:tcPr>
            <w:tcW w:w="1347" w:type="dxa"/>
            <w:tcBorders>
              <w:bottom w:val="single" w:sz="4" w:space="0" w:color="E0DCCB" w:themeColor="accent4" w:themeTint="66"/>
            </w:tcBorders>
          </w:tcPr>
          <w:p w:rsidR="002A2E0F" w:rsidRPr="00E659A4" w:rsidRDefault="002A2E0F" w:rsidP="002660B8">
            <w:pPr>
              <w:pStyle w:val="Body"/>
              <w:spacing w:before="80"/>
              <w:ind w:left="0"/>
              <w:jc w:val="right"/>
              <w:rPr>
                <w:rFonts w:ascii="Arial" w:eastAsia="Times New Roman" w:hAnsi="Arial" w:cs="Arial"/>
                <w:kern w:val="28"/>
                <w:sz w:val="22"/>
                <w:lang w:eastAsia="en-AU"/>
              </w:rPr>
            </w:pPr>
            <w:r w:rsidRPr="00E659A4">
              <w:rPr>
                <w:rFonts w:ascii="Arial" w:eastAsia="Times New Roman" w:hAnsi="Arial" w:cs="Arial"/>
                <w:kern w:val="28"/>
                <w:sz w:val="22"/>
                <w:lang w:eastAsia="en-AU"/>
              </w:rPr>
              <w:t>36,363</w:t>
            </w:r>
          </w:p>
        </w:tc>
      </w:tr>
      <w:tr w:rsidR="002A2E0F" w:rsidRPr="0030531D" w:rsidTr="003608DB">
        <w:tc>
          <w:tcPr>
            <w:tcW w:w="5387" w:type="dxa"/>
          </w:tcPr>
          <w:p w:rsidR="002A2E0F" w:rsidRPr="00E659A4" w:rsidRDefault="002A2E0F" w:rsidP="002660B8">
            <w:pPr>
              <w:pStyle w:val="Body"/>
              <w:spacing w:before="80"/>
              <w:ind w:left="-108"/>
              <w:rPr>
                <w:rFonts w:ascii="Arial" w:eastAsia="Times New Roman" w:hAnsi="Arial" w:cs="Arial"/>
                <w:kern w:val="28"/>
                <w:sz w:val="22"/>
                <w:lang w:eastAsia="en-AU"/>
              </w:rPr>
            </w:pPr>
            <w:r w:rsidRPr="00E659A4">
              <w:rPr>
                <w:rFonts w:ascii="Arial" w:eastAsia="Times New Roman" w:hAnsi="Arial" w:cs="Arial"/>
                <w:b/>
                <w:kern w:val="28"/>
                <w:sz w:val="22"/>
                <w:lang w:eastAsia="en-AU"/>
              </w:rPr>
              <w:t>Total remuneration of senior officers</w:t>
            </w:r>
          </w:p>
        </w:tc>
        <w:tc>
          <w:tcPr>
            <w:tcW w:w="1275" w:type="dxa"/>
            <w:tcBorders>
              <w:top w:val="single" w:sz="4" w:space="0" w:color="FFFFFF" w:themeColor="background1"/>
              <w:bottom w:val="single" w:sz="4" w:space="0" w:color="E0DCCB" w:themeColor="accent4" w:themeTint="66"/>
            </w:tcBorders>
            <w:shd w:val="clear" w:color="auto" w:fill="E0DCCB" w:themeFill="accent4" w:themeFillTint="66"/>
          </w:tcPr>
          <w:p w:rsidR="002A2E0F" w:rsidRPr="00E659A4" w:rsidRDefault="002A2E0F" w:rsidP="002660B8">
            <w:pPr>
              <w:pStyle w:val="Body"/>
              <w:spacing w:before="80"/>
              <w:ind w:left="0"/>
              <w:jc w:val="right"/>
              <w:rPr>
                <w:rFonts w:ascii="Arial" w:eastAsia="Times New Roman" w:hAnsi="Arial" w:cs="Arial"/>
                <w:kern w:val="28"/>
                <w:sz w:val="22"/>
                <w:lang w:eastAsia="en-AU"/>
              </w:rPr>
            </w:pPr>
            <w:r>
              <w:rPr>
                <w:rFonts w:ascii="Arial" w:eastAsia="Times New Roman" w:hAnsi="Arial" w:cs="Arial"/>
                <w:b/>
                <w:kern w:val="28"/>
                <w:sz w:val="22"/>
                <w:lang w:eastAsia="en-AU"/>
              </w:rPr>
              <w:t>855,824</w:t>
            </w:r>
          </w:p>
        </w:tc>
        <w:tc>
          <w:tcPr>
            <w:tcW w:w="1347" w:type="dxa"/>
            <w:tcBorders>
              <w:top w:val="single" w:sz="4" w:space="0" w:color="E0DCCB" w:themeColor="accent4" w:themeTint="66"/>
              <w:bottom w:val="single" w:sz="4" w:space="0" w:color="E0DCCB" w:themeColor="accent4" w:themeTint="66"/>
            </w:tcBorders>
          </w:tcPr>
          <w:p w:rsidR="002A2E0F" w:rsidRPr="00E659A4" w:rsidRDefault="002A2E0F" w:rsidP="002660B8">
            <w:pPr>
              <w:pStyle w:val="Body"/>
              <w:spacing w:before="80"/>
              <w:ind w:left="0"/>
              <w:jc w:val="right"/>
              <w:rPr>
                <w:rFonts w:ascii="Arial" w:eastAsia="Times New Roman" w:hAnsi="Arial" w:cs="Arial"/>
                <w:kern w:val="28"/>
                <w:sz w:val="22"/>
                <w:lang w:eastAsia="en-AU"/>
              </w:rPr>
            </w:pPr>
            <w:r w:rsidRPr="00E659A4">
              <w:rPr>
                <w:rFonts w:ascii="Arial" w:eastAsia="Times New Roman" w:hAnsi="Arial" w:cs="Arial"/>
                <w:b/>
                <w:kern w:val="28"/>
                <w:sz w:val="22"/>
                <w:lang w:eastAsia="en-AU"/>
              </w:rPr>
              <w:t>831,922</w:t>
            </w:r>
          </w:p>
        </w:tc>
      </w:tr>
    </w:tbl>
    <w:p w:rsidR="002A2E0F" w:rsidRDefault="002A2E0F" w:rsidP="003608DB">
      <w:pPr>
        <w:pStyle w:val="Financialnotes"/>
        <w:spacing w:before="120"/>
        <w:rPr>
          <w:rFonts w:ascii="Arial" w:eastAsia="Times New Roman" w:hAnsi="Arial" w:cs="Arial"/>
        </w:rPr>
      </w:pPr>
      <w:r w:rsidRPr="00E659A4">
        <w:rPr>
          <w:rFonts w:ascii="Arial" w:eastAsia="Times New Roman" w:hAnsi="Arial" w:cs="Arial"/>
        </w:rPr>
        <w:t>The total remuneration includes the superannuation expense incurred by the Department in respect of senior officers.</w:t>
      </w:r>
    </w:p>
    <w:p w:rsidR="002A2E0F" w:rsidRDefault="002A2E0F" w:rsidP="003608DB">
      <w:pPr>
        <w:pStyle w:val="Financialsheading3"/>
      </w:pPr>
      <w:bookmarkStart w:id="287" w:name="_Toc427745947"/>
      <w:proofErr w:type="gramStart"/>
      <w:r w:rsidRPr="005D6BC7">
        <w:t xml:space="preserve">Note </w:t>
      </w:r>
      <w:r>
        <w:t>31.</w:t>
      </w:r>
      <w:proofErr w:type="gramEnd"/>
      <w:r>
        <w:t xml:space="preserve"> </w:t>
      </w:r>
      <w:r w:rsidRPr="00B72A30">
        <w:t>Remuneration of auditor</w:t>
      </w:r>
      <w:bookmarkEnd w:id="287"/>
      <w:r w:rsidRPr="00B72A30">
        <w:t xml:space="preserve"> </w:t>
      </w:r>
    </w:p>
    <w:p w:rsidR="002A2E0F" w:rsidRPr="003608DB" w:rsidRDefault="002A2E0F" w:rsidP="003608DB">
      <w:pPr>
        <w:pStyle w:val="Financialnotes"/>
      </w:pPr>
      <w:r w:rsidRPr="003608DB">
        <w:t>Remuneration paid or payable to the Auditor General in respect of the audit for the current financial year is as follows:</w:t>
      </w:r>
    </w:p>
    <w:tbl>
      <w:tblPr>
        <w:tblStyle w:val="TableGrid"/>
        <w:tblW w:w="8222"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5670"/>
        <w:gridCol w:w="1276"/>
        <w:gridCol w:w="1276"/>
      </w:tblGrid>
      <w:tr w:rsidR="002A2E0F" w:rsidRPr="00DD3B67" w:rsidTr="003608DB">
        <w:tc>
          <w:tcPr>
            <w:tcW w:w="5670" w:type="dxa"/>
          </w:tcPr>
          <w:p w:rsidR="002A2E0F" w:rsidRPr="00DD3B67" w:rsidRDefault="002A2E0F" w:rsidP="002660B8">
            <w:pPr>
              <w:pStyle w:val="Body"/>
              <w:spacing w:before="80"/>
              <w:ind w:left="34"/>
              <w:rPr>
                <w:sz w:val="22"/>
              </w:rPr>
            </w:pPr>
          </w:p>
        </w:tc>
        <w:tc>
          <w:tcPr>
            <w:tcW w:w="1276" w:type="dxa"/>
            <w:shd w:val="clear" w:color="auto" w:fill="E0DCCB" w:themeFill="accent4" w:themeFillTint="66"/>
          </w:tcPr>
          <w:p w:rsidR="002A2E0F" w:rsidRPr="00DD3B67" w:rsidRDefault="002A2E0F" w:rsidP="002660B8">
            <w:pPr>
              <w:pStyle w:val="Body"/>
              <w:spacing w:before="80"/>
              <w:ind w:left="34"/>
              <w:jc w:val="center"/>
              <w:rPr>
                <w:b/>
                <w:sz w:val="22"/>
              </w:rPr>
            </w:pPr>
            <w:r w:rsidRPr="00DD3B67">
              <w:rPr>
                <w:b/>
                <w:sz w:val="22"/>
              </w:rPr>
              <w:t>201</w:t>
            </w:r>
            <w:r>
              <w:rPr>
                <w:b/>
                <w:sz w:val="22"/>
              </w:rPr>
              <w:t>5</w:t>
            </w:r>
            <w:r w:rsidRPr="00DD3B67">
              <w:rPr>
                <w:b/>
                <w:sz w:val="22"/>
              </w:rPr>
              <w:br/>
              <w:t>$</w:t>
            </w:r>
          </w:p>
        </w:tc>
        <w:tc>
          <w:tcPr>
            <w:tcW w:w="1276" w:type="dxa"/>
            <w:shd w:val="clear" w:color="auto" w:fill="E0DCCB" w:themeFill="accent4" w:themeFillTint="66"/>
          </w:tcPr>
          <w:p w:rsidR="002A2E0F" w:rsidRPr="00DD3B67" w:rsidRDefault="002A2E0F" w:rsidP="002660B8">
            <w:pPr>
              <w:pStyle w:val="Body"/>
              <w:spacing w:before="80"/>
              <w:ind w:left="34"/>
              <w:jc w:val="center"/>
              <w:rPr>
                <w:b/>
                <w:sz w:val="22"/>
              </w:rPr>
            </w:pPr>
            <w:r w:rsidRPr="00DD3B67">
              <w:rPr>
                <w:b/>
                <w:sz w:val="22"/>
              </w:rPr>
              <w:t>201</w:t>
            </w:r>
            <w:r>
              <w:rPr>
                <w:b/>
                <w:sz w:val="22"/>
              </w:rPr>
              <w:t>4</w:t>
            </w:r>
            <w:r w:rsidRPr="00DD3B67">
              <w:rPr>
                <w:b/>
                <w:sz w:val="22"/>
              </w:rPr>
              <w:br/>
              <w:t>$</w:t>
            </w:r>
          </w:p>
        </w:tc>
      </w:tr>
      <w:tr w:rsidR="002A2E0F" w:rsidRPr="009D0E26" w:rsidTr="003608DB">
        <w:tc>
          <w:tcPr>
            <w:tcW w:w="5670" w:type="dxa"/>
          </w:tcPr>
          <w:p w:rsidR="002A2E0F" w:rsidRPr="0030531D" w:rsidRDefault="002A2E0F" w:rsidP="003608DB">
            <w:pPr>
              <w:pStyle w:val="Financialnotes"/>
              <w:ind w:left="176"/>
              <w:rPr>
                <w:b/>
              </w:rPr>
            </w:pPr>
            <w:r w:rsidRPr="005D6BC7">
              <w:rPr>
                <w:lang w:eastAsia="en-AU"/>
              </w:rPr>
              <w:t>Auditing the accounts, financial statements and key performance indicators</w:t>
            </w:r>
          </w:p>
        </w:tc>
        <w:tc>
          <w:tcPr>
            <w:tcW w:w="1276" w:type="dxa"/>
            <w:tcBorders>
              <w:bottom w:val="single" w:sz="4" w:space="0" w:color="E0DCCB" w:themeColor="accent4" w:themeTint="66"/>
            </w:tcBorders>
            <w:shd w:val="clear" w:color="auto" w:fill="E0DCCB" w:themeFill="accent4" w:themeFillTint="66"/>
            <w:vAlign w:val="bottom"/>
          </w:tcPr>
          <w:p w:rsidR="002A2E0F" w:rsidRPr="0030531D" w:rsidRDefault="002A2E0F" w:rsidP="002660B8">
            <w:pPr>
              <w:pStyle w:val="Financialnotes"/>
              <w:ind w:left="0"/>
              <w:jc w:val="right"/>
            </w:pPr>
            <w:r>
              <w:rPr>
                <w:lang w:eastAsia="en-AU"/>
              </w:rPr>
              <w:t>29,000</w:t>
            </w:r>
          </w:p>
        </w:tc>
        <w:tc>
          <w:tcPr>
            <w:tcW w:w="1276" w:type="dxa"/>
            <w:tcBorders>
              <w:bottom w:val="single" w:sz="4" w:space="0" w:color="E0DCCB" w:themeColor="accent4" w:themeTint="66"/>
            </w:tcBorders>
            <w:vAlign w:val="bottom"/>
          </w:tcPr>
          <w:p w:rsidR="002A2E0F" w:rsidRPr="0030531D" w:rsidRDefault="002A2E0F" w:rsidP="002660B8">
            <w:pPr>
              <w:pStyle w:val="Financialnotes"/>
              <w:ind w:left="-108"/>
              <w:jc w:val="right"/>
            </w:pPr>
            <w:r>
              <w:rPr>
                <w:lang w:eastAsia="en-AU"/>
              </w:rPr>
              <w:t>31,000</w:t>
            </w:r>
          </w:p>
        </w:tc>
      </w:tr>
    </w:tbl>
    <w:p w:rsidR="002A2E0F" w:rsidRDefault="002A2E0F" w:rsidP="003608DB">
      <w:pPr>
        <w:pStyle w:val="Financialsheading3"/>
      </w:pPr>
      <w:bookmarkStart w:id="288" w:name="_Toc427745948"/>
      <w:proofErr w:type="gramStart"/>
      <w:r w:rsidRPr="005D6BC7">
        <w:t>Note 3</w:t>
      </w:r>
      <w:r>
        <w:t>2</w:t>
      </w:r>
      <w:r w:rsidRPr="005D6BC7">
        <w:t>.</w:t>
      </w:r>
      <w:proofErr w:type="gramEnd"/>
      <w:r w:rsidRPr="005D6BC7">
        <w:t xml:space="preserve"> Related and affiliated bodies</w:t>
      </w:r>
      <w:bookmarkEnd w:id="288"/>
    </w:p>
    <w:p w:rsidR="002A2E0F" w:rsidRDefault="002A2E0F" w:rsidP="002A2E0F">
      <w:pPr>
        <w:pStyle w:val="Financialnotes"/>
      </w:pPr>
      <w:r w:rsidRPr="005D6BC7">
        <w:t>The Department does not provide any assistance to other agencies which would deem them to be regarded as related or affiliated bodies under the definitions included in Treasurers Instruction 951.</w:t>
      </w:r>
    </w:p>
    <w:p w:rsidR="002A2E0F" w:rsidRDefault="002A2E0F" w:rsidP="003608DB">
      <w:pPr>
        <w:pStyle w:val="Financialsheading3"/>
      </w:pPr>
      <w:bookmarkStart w:id="289" w:name="_Toc427745949"/>
      <w:proofErr w:type="gramStart"/>
      <w:r w:rsidRPr="005D6BC7">
        <w:t>Note 3</w:t>
      </w:r>
      <w:r>
        <w:t>3</w:t>
      </w:r>
      <w:r w:rsidRPr="005D6BC7">
        <w:t>.</w:t>
      </w:r>
      <w:proofErr w:type="gramEnd"/>
      <w:r w:rsidRPr="005D6BC7">
        <w:t xml:space="preserve"> Supplementary financial information</w:t>
      </w:r>
      <w:bookmarkEnd w:id="289"/>
    </w:p>
    <w:p w:rsidR="002A2E0F" w:rsidRDefault="002A2E0F" w:rsidP="008D4CEC">
      <w:pPr>
        <w:pStyle w:val="Financialnotes"/>
        <w:numPr>
          <w:ilvl w:val="0"/>
          <w:numId w:val="28"/>
        </w:numPr>
        <w:ind w:left="1843" w:hanging="425"/>
        <w:rPr>
          <w:lang w:eastAsia="en-AU"/>
        </w:rPr>
      </w:pPr>
      <w:r>
        <w:rPr>
          <w:lang w:eastAsia="en-AU"/>
        </w:rPr>
        <w:t>Write-offs</w:t>
      </w:r>
      <w:r>
        <w:rPr>
          <w:lang w:eastAsia="en-AU"/>
        </w:rPr>
        <w:br/>
        <w:t>The Department did not write off any bad debts, revenue, debts due to the State, public or other property during the financial Year, (2014 nil).</w:t>
      </w:r>
    </w:p>
    <w:p w:rsidR="002A2E0F" w:rsidRDefault="002A2E0F" w:rsidP="008D4CEC">
      <w:pPr>
        <w:pStyle w:val="Financialnotes"/>
        <w:numPr>
          <w:ilvl w:val="0"/>
          <w:numId w:val="28"/>
        </w:numPr>
        <w:ind w:left="1843" w:hanging="425"/>
        <w:rPr>
          <w:lang w:eastAsia="en-AU"/>
        </w:rPr>
      </w:pPr>
      <w:r>
        <w:rPr>
          <w:lang w:eastAsia="en-AU"/>
        </w:rPr>
        <w:t>Losses through theft, defaults and other causes</w:t>
      </w:r>
      <w:r>
        <w:rPr>
          <w:lang w:eastAsia="en-AU"/>
        </w:rPr>
        <w:br/>
        <w:t>The Department had no losses through theft, defaults and other causes during the financial year. (2014: nil).</w:t>
      </w:r>
    </w:p>
    <w:p w:rsidR="002A2E0F" w:rsidRPr="00541154" w:rsidRDefault="002A2E0F" w:rsidP="008D4CEC">
      <w:pPr>
        <w:pStyle w:val="Financialnotes"/>
        <w:numPr>
          <w:ilvl w:val="0"/>
          <w:numId w:val="28"/>
        </w:numPr>
        <w:ind w:left="1843" w:hanging="425"/>
        <w:rPr>
          <w:lang w:eastAsia="en-AU"/>
        </w:rPr>
      </w:pPr>
      <w:r w:rsidRPr="00541154">
        <w:rPr>
          <w:lang w:eastAsia="en-AU"/>
        </w:rPr>
        <w:t>Gifts of public property</w:t>
      </w:r>
      <w:r w:rsidRPr="00541154">
        <w:rPr>
          <w:lang w:eastAsia="en-AU"/>
        </w:rPr>
        <w:br/>
        <w:t>The Department had no gifts of public property during the financial year. (2014: nil).</w:t>
      </w:r>
    </w:p>
    <w:bookmarkStart w:id="290" w:name="_Toc424651329"/>
    <w:p w:rsidR="007A28DB" w:rsidRDefault="008F154E" w:rsidP="007A28DB">
      <w:pPr>
        <w:pStyle w:val="Body"/>
      </w:pPr>
      <w:r>
        <w:rPr>
          <w:noProof/>
          <w:lang w:eastAsia="en-AU"/>
        </w:rPr>
        <w:lastRenderedPageBreak/>
        <mc:AlternateContent>
          <mc:Choice Requires="wpg">
            <w:drawing>
              <wp:anchor distT="0" distB="0" distL="114300" distR="114300" simplePos="0" relativeHeight="251697152" behindDoc="0" locked="0" layoutInCell="1" allowOverlap="1" wp14:anchorId="0C47BFFF" wp14:editId="379D4C4A">
                <wp:simplePos x="0" y="0"/>
                <wp:positionH relativeFrom="page">
                  <wp:posOffset>0</wp:posOffset>
                </wp:positionH>
                <wp:positionV relativeFrom="page">
                  <wp:posOffset>790575</wp:posOffset>
                </wp:positionV>
                <wp:extent cx="7610400" cy="1028699"/>
                <wp:effectExtent l="0" t="0" r="0" b="635"/>
                <wp:wrapNone/>
                <wp:docPr id="36" name="Group 36"/>
                <wp:cNvGraphicFramePr/>
                <a:graphic xmlns:a="http://schemas.openxmlformats.org/drawingml/2006/main">
                  <a:graphicData uri="http://schemas.microsoft.com/office/word/2010/wordprocessingGroup">
                    <wpg:wgp>
                      <wpg:cNvGrpSpPr/>
                      <wpg:grpSpPr>
                        <a:xfrm>
                          <a:off x="0" y="0"/>
                          <a:ext cx="7610400" cy="1028699"/>
                          <a:chOff x="0" y="0"/>
                          <a:chExt cx="7610475" cy="1027422"/>
                        </a:xfrm>
                      </wpg:grpSpPr>
                      <pic:pic xmlns:pic="http://schemas.openxmlformats.org/drawingml/2006/picture">
                        <pic:nvPicPr>
                          <pic:cNvPr id="34" name="Picture 34"/>
                          <pic:cNvPicPr>
                            <a:picLocks noChangeAspect="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7610475" cy="933450"/>
                          </a:xfrm>
                          <a:prstGeom prst="rect">
                            <a:avLst/>
                          </a:prstGeom>
                        </pic:spPr>
                      </pic:pic>
                      <wps:wsp>
                        <wps:cNvPr id="35" name="Text Box 35"/>
                        <wps:cNvSpPr txBox="1"/>
                        <wps:spPr>
                          <a:xfrm>
                            <a:off x="1761995" y="609555"/>
                            <a:ext cx="4333875" cy="417867"/>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621C6" w:rsidRDefault="00E621C6" w:rsidP="008F154E">
                              <w:pPr>
                                <w:pStyle w:val="Heading1"/>
                              </w:pPr>
                              <w:bookmarkStart w:id="291" w:name="_Toc428279211"/>
                              <w:r w:rsidRPr="00F43339">
                                <w:t>Key Performance Indicators</w:t>
                              </w:r>
                              <w:bookmarkEnd w:id="291"/>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id="Group 36" o:spid="_x0000_s1037" style="position:absolute;left:0;text-align:left;margin-left:0;margin-top:62.25pt;width:599.25pt;height:81pt;z-index:251697152;mso-position-horizontal-relative:page;mso-position-vertical-relative:page;mso-width-relative:margin;mso-height-relative:margin" coordsize="76104,10274"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">
                <v:shape id="Picture 34" o:spid="_x0000_s1038" type="#_x0000_t75" style="position:absolute;width:76104;height:933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BSyHPDAAAA2wAAAA8AAABkcnMvZG93bnJldi54bWxEj0FrwkAUhO+F/oflCd7qxkaqTbORolg8&#10;9GJi74/sazaafRuyW43/visUehxm5hsmX4+2ExcafOtYwXyWgCCunW65UXCsdk8rED4ga+wck4Ib&#10;eVgXjw85Ztpd+UCXMjQiQthnqMCE0GdS+tqQRT9zPXH0vt1gMUQ5NFIPeI1w28nnJHmRFluOCwZ7&#10;2hiqz+WPVXCybvn6mS6ablVuzEf1tQ2UVkpNJ+P7G4hAY/gP/7X3WkG6gPuX+ANk8Qs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8FLIc8MAAADbAAAADwAAAAAAAAAAAAAAAACf&#10;AgAAZHJzL2Rvd25yZXYueG1sUEsFBgAAAAAEAAQA9wAAAI8DAAAAAA==&#10;">
                  <v:imagedata r:id="rId68" o:title=""/>
                  <v:path arrowok="t"/>
                </v:shape>
                <v:shape id="Text Box 35" o:spid="_x0000_s1039" type="#_x0000_t202" style="position:absolute;left:17619;top:6095;width:43339;height:41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SG4IMYA&#10;AADbAAAADwAAAGRycy9kb3ducmV2LnhtbESPS2vDMBCE74X8B7GBXEoiNyYPnCihhPRBb43zILfF&#10;2tgm1spYqu3++6pQ6HGYmW+Y9bY3lWipcaVlBU+TCARxZnXJuYJj+jJegnAeWWNlmRR8k4PtZvCw&#10;xkTbjj+pPfhcBAi7BBUU3teJlC4ryKCb2Jo4eDfbGPRBNrnUDXYBbio5jaK5NFhyWCiwpl1B2f3w&#10;ZRRcH/PLh+tfT108i+v9W5suzjpVajTsn1cgPPX+P/zXftcK4hn8fgk/QG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SG4IMYAAADbAAAADwAAAAAAAAAAAAAAAACYAgAAZHJz&#10;L2Rvd25yZXYueG1sUEsFBgAAAAAEAAQA9QAAAIsDAAAAAA==&#10;" fillcolor="white [3201]" stroked="f" strokeweight=".5pt">
                  <v:textbox>
                    <w:txbxContent>
                      <w:p w:rsidR="00E621C6" w:rsidRDefault="00E621C6" w:rsidP="008F154E">
                        <w:pPr>
                          <w:pStyle w:val="Heading1"/>
                        </w:pPr>
                        <w:bookmarkStart w:id="297" w:name="_Toc428279211"/>
                        <w:r w:rsidRPr="00F43339">
                          <w:t>Key Performance Indicators</w:t>
                        </w:r>
                        <w:bookmarkEnd w:id="297"/>
                      </w:p>
                    </w:txbxContent>
                  </v:textbox>
                </v:shape>
                <w10:wrap anchorx="page" anchory="page"/>
              </v:group>
            </w:pict>
          </mc:Fallback>
        </mc:AlternateContent>
      </w:r>
    </w:p>
    <w:p w:rsidR="007A28DB" w:rsidRDefault="007A28DB" w:rsidP="007A28DB">
      <w:pPr>
        <w:pStyle w:val="Body"/>
      </w:pPr>
    </w:p>
    <w:bookmarkEnd w:id="290"/>
    <w:p w:rsidR="00F43339" w:rsidRPr="00F43339" w:rsidRDefault="00F43339" w:rsidP="00E8295B"/>
    <w:p w:rsidR="00F43339" w:rsidRPr="00F43339" w:rsidRDefault="00F43339" w:rsidP="00243A02">
      <w:pPr>
        <w:pStyle w:val="Heading2"/>
        <w:spacing w:before="120"/>
      </w:pPr>
      <w:bookmarkStart w:id="292" w:name="_Toc394907977"/>
      <w:bookmarkStart w:id="293" w:name="_Toc424651330"/>
      <w:bookmarkStart w:id="294" w:name="_Toc427745951"/>
      <w:bookmarkStart w:id="295" w:name="_Toc428279212"/>
      <w:r w:rsidRPr="00F43339">
        <w:t>Certification of Key Performance Indicators</w:t>
      </w:r>
      <w:bookmarkEnd w:id="292"/>
      <w:bookmarkEnd w:id="293"/>
      <w:bookmarkEnd w:id="294"/>
      <w:bookmarkEnd w:id="295"/>
      <w:r w:rsidRPr="00F43339">
        <w:tab/>
      </w:r>
    </w:p>
    <w:p w:rsidR="00F43339" w:rsidRPr="00F43339" w:rsidRDefault="008F154E" w:rsidP="00F43339">
      <w:pPr>
        <w:pStyle w:val="Heading3"/>
      </w:pPr>
      <w:bookmarkStart w:id="296" w:name="_Toc427745952"/>
      <w:bookmarkStart w:id="297" w:name="_Toc428279213"/>
      <w:r>
        <w:t>For the year ended 30 June 2015</w:t>
      </w:r>
      <w:bookmarkEnd w:id="296"/>
      <w:bookmarkEnd w:id="297"/>
    </w:p>
    <w:p w:rsidR="00F43339" w:rsidRPr="00F43339" w:rsidRDefault="00F43339" w:rsidP="00F43339">
      <w:pPr>
        <w:pStyle w:val="Body"/>
      </w:pPr>
      <w:r w:rsidRPr="00F43339">
        <w:t>I hereby certify that the key performance indicators are based on proper records, are relevant and appropriate for assisting users to assess the Office of the Environmental Protection Authority’s performance, and fairly represent the performance of the Office of the Environmental Protection Authority for the financial year ended 30 June 2015.</w:t>
      </w:r>
    </w:p>
    <w:p w:rsidR="00F43339" w:rsidRPr="00F43339" w:rsidRDefault="00C64C62" w:rsidP="00F43339">
      <w:pPr>
        <w:pStyle w:val="Body"/>
      </w:pPr>
      <w:r>
        <w:rPr>
          <w:noProof/>
          <w:lang w:eastAsia="en-AU"/>
        </w:rPr>
        <w:drawing>
          <wp:inline distT="0" distB="0" distL="0" distR="0" wp14:anchorId="288484A2" wp14:editId="7EE0F4D8">
            <wp:extent cx="1504950" cy="708507"/>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mTaylor2011.jp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508963" cy="710396"/>
                    </a:xfrm>
                    <a:prstGeom prst="rect">
                      <a:avLst/>
                    </a:prstGeom>
                  </pic:spPr>
                </pic:pic>
              </a:graphicData>
            </a:graphic>
          </wp:inline>
        </w:drawing>
      </w:r>
    </w:p>
    <w:p w:rsidR="00F43339" w:rsidRPr="00F43339" w:rsidRDefault="00F43339" w:rsidP="00F43339">
      <w:pPr>
        <w:pStyle w:val="Body"/>
      </w:pPr>
      <w:r w:rsidRPr="00F43339">
        <w:t>Kim Tayl</w:t>
      </w:r>
      <w:r>
        <w:t>or</w:t>
      </w:r>
    </w:p>
    <w:p w:rsidR="00F43339" w:rsidRPr="00F43339" w:rsidRDefault="00F43339" w:rsidP="00F43339">
      <w:pPr>
        <w:pStyle w:val="Body"/>
        <w:rPr>
          <w:b/>
        </w:rPr>
      </w:pPr>
      <w:proofErr w:type="gramStart"/>
      <w:r w:rsidRPr="00F43339">
        <w:rPr>
          <w:b/>
        </w:rPr>
        <w:t>Accountable</w:t>
      </w:r>
      <w:proofErr w:type="gramEnd"/>
      <w:r w:rsidRPr="00F43339">
        <w:rPr>
          <w:b/>
        </w:rPr>
        <w:t xml:space="preserve"> Authority</w:t>
      </w:r>
      <w:r w:rsidRPr="00F43339">
        <w:rPr>
          <w:b/>
        </w:rPr>
        <w:tab/>
      </w:r>
    </w:p>
    <w:p w:rsidR="00F43339" w:rsidRPr="00F43339" w:rsidRDefault="00C64C62" w:rsidP="00F43339">
      <w:pPr>
        <w:pStyle w:val="Body"/>
      </w:pPr>
      <w:r>
        <w:t>6 August</w:t>
      </w:r>
      <w:r w:rsidR="00F43339" w:rsidRPr="00F43339">
        <w:t xml:space="preserve"> 2015</w:t>
      </w:r>
    </w:p>
    <w:p w:rsidR="002A2E0F" w:rsidRDefault="002A2E0F"/>
    <w:p w:rsidR="002A2E0F" w:rsidRDefault="002A2E0F"/>
    <w:p w:rsidR="002A2E0F" w:rsidRDefault="002A2E0F"/>
    <w:p w:rsidR="002A2E0F" w:rsidRDefault="002A2E0F"/>
    <w:p w:rsidR="00F43339" w:rsidRDefault="00F43339">
      <w:r>
        <w:br w:type="page"/>
      </w:r>
    </w:p>
    <w:p w:rsidR="00FD259A" w:rsidRPr="005D6BC7" w:rsidRDefault="00FD259A" w:rsidP="003C49F5">
      <w:pPr>
        <w:pStyle w:val="Heading2"/>
      </w:pPr>
      <w:bookmarkStart w:id="298" w:name="_Toc427745953"/>
      <w:bookmarkStart w:id="299" w:name="_Toc428279214"/>
      <w:r w:rsidRPr="005D6BC7">
        <w:lastRenderedPageBreak/>
        <w:t>Detailed Key Performance Indicators</w:t>
      </w:r>
      <w:bookmarkEnd w:id="298"/>
      <w:bookmarkEnd w:id="299"/>
    </w:p>
    <w:p w:rsidR="00FD259A" w:rsidRPr="003D0FF4" w:rsidRDefault="00FD259A" w:rsidP="003C49F5">
      <w:pPr>
        <w:pStyle w:val="Heading3"/>
        <w:rPr>
          <w:rFonts w:eastAsia="Calibri"/>
        </w:rPr>
      </w:pPr>
      <w:bookmarkStart w:id="300" w:name="_Toc427745954"/>
      <w:bookmarkStart w:id="301" w:name="_Toc428279215"/>
      <w:r w:rsidRPr="003D0FF4">
        <w:rPr>
          <w:rFonts w:eastAsia="Calibri"/>
        </w:rPr>
        <w:t>Performance Information</w:t>
      </w:r>
      <w:bookmarkEnd w:id="300"/>
      <w:bookmarkEnd w:id="301"/>
    </w:p>
    <w:p w:rsidR="001F4381" w:rsidRPr="001F4381" w:rsidRDefault="00FD259A" w:rsidP="001F4381">
      <w:pPr>
        <w:pStyle w:val="Body"/>
      </w:pPr>
      <w:r w:rsidRPr="001F4381">
        <w:t>The Office of the Environmental Protection Authority (OEPA) was established as a separate Department in November 2009. The OEPA works to support the Government’s goal of ensuring that economic activity is managed in a socially and environmentally responsible manner for the long term benefit of the State.</w:t>
      </w:r>
      <w:r w:rsidR="001F4381" w:rsidRPr="001F4381">
        <w:t xml:space="preserve"> It supports this goal by working to deliver quality advice to the EPA and Minister on significant proposals, compliance and environmental issues.</w:t>
      </w:r>
    </w:p>
    <w:p w:rsidR="001F4381" w:rsidRPr="001F4381" w:rsidRDefault="001F4381" w:rsidP="001F4381">
      <w:pPr>
        <w:pStyle w:val="Body"/>
      </w:pPr>
      <w:r w:rsidRPr="001F4381">
        <w:t>It should be noted that the OEPA’s performance indicators were reviewed to be more robust, contemporary and fit for purpose. The Under Treasurer approved the Outcome Based Management Structure change on the 22</w:t>
      </w:r>
      <w:r>
        <w:t> </w:t>
      </w:r>
      <w:r w:rsidRPr="001F4381">
        <w:t>January 2014.</w:t>
      </w:r>
    </w:p>
    <w:p w:rsidR="001F4381" w:rsidRPr="001F4381" w:rsidRDefault="001F4381" w:rsidP="001F4381">
      <w:pPr>
        <w:pStyle w:val="Body"/>
      </w:pPr>
      <w:r w:rsidRPr="001F4381">
        <w:t>As these indicators were introduced in 2014</w:t>
      </w:r>
      <w:r>
        <w:t>–</w:t>
      </w:r>
      <w:r w:rsidRPr="001F4381">
        <w:t>15 some performance indicators are unable to be compared with 2013</w:t>
      </w:r>
      <w:r>
        <w:t>–</w:t>
      </w:r>
      <w:r w:rsidRPr="001F4381">
        <w:t>14. (KPI 1, 2, 4, 6)</w:t>
      </w:r>
    </w:p>
    <w:p w:rsidR="001F4381" w:rsidRPr="001F4381" w:rsidRDefault="001F4381" w:rsidP="001F4381">
      <w:pPr>
        <w:pStyle w:val="Body"/>
      </w:pPr>
      <w:r w:rsidRPr="001F4381">
        <w:t>The OEPA has three key services that contribute to the above outcome and against which the Department’s effectiveness and efficiency is reported.</w:t>
      </w:r>
    </w:p>
    <w:p w:rsidR="001F4381" w:rsidRPr="001F4381" w:rsidRDefault="001F4381" w:rsidP="008D4CEC">
      <w:pPr>
        <w:pStyle w:val="Body"/>
        <w:numPr>
          <w:ilvl w:val="0"/>
          <w:numId w:val="35"/>
        </w:numPr>
      </w:pPr>
      <w:r w:rsidRPr="001F4381">
        <w:t>Environmental impact assessment services to the Environmental Protection Authority (EPA).</w:t>
      </w:r>
    </w:p>
    <w:p w:rsidR="001F4381" w:rsidRPr="001F4381" w:rsidRDefault="001F4381" w:rsidP="008D4CEC">
      <w:pPr>
        <w:pStyle w:val="Body"/>
        <w:numPr>
          <w:ilvl w:val="0"/>
          <w:numId w:val="35"/>
        </w:numPr>
      </w:pPr>
      <w:r w:rsidRPr="001F4381">
        <w:t>Environmental management services to the Environmental Protection Authority (EPA).</w:t>
      </w:r>
    </w:p>
    <w:p w:rsidR="00FD259A" w:rsidRPr="001F4381" w:rsidRDefault="001F4381" w:rsidP="008D4CEC">
      <w:pPr>
        <w:pStyle w:val="Body"/>
        <w:numPr>
          <w:ilvl w:val="0"/>
          <w:numId w:val="35"/>
        </w:numPr>
      </w:pPr>
      <w:r w:rsidRPr="001F4381">
        <w:t>Compliance monitoring services to the Minister</w:t>
      </w:r>
      <w:r w:rsidR="00FD259A" w:rsidRPr="001F4381">
        <w:t>.</w:t>
      </w:r>
    </w:p>
    <w:p w:rsidR="003C49F5" w:rsidRDefault="003C49F5">
      <w:pPr>
        <w:rPr>
          <w:rFonts w:ascii="Calibri" w:eastAsiaTheme="majorEastAsia" w:hAnsi="Calibri" w:cstheme="majorBidi"/>
          <w:b/>
          <w:bCs/>
          <w:color w:val="B2A97E" w:themeColor="accent4"/>
          <w:sz w:val="32"/>
          <w:szCs w:val="26"/>
        </w:rPr>
      </w:pPr>
      <w:bookmarkStart w:id="302" w:name="_Toc394907978"/>
      <w:r>
        <w:br w:type="page"/>
      </w:r>
    </w:p>
    <w:p w:rsidR="00FD259A" w:rsidRDefault="00FD259A" w:rsidP="003C49F5">
      <w:pPr>
        <w:pStyle w:val="Heading2"/>
      </w:pPr>
      <w:bookmarkStart w:id="303" w:name="_Toc427745955"/>
      <w:bookmarkStart w:id="304" w:name="_Toc428279216"/>
      <w:r>
        <w:lastRenderedPageBreak/>
        <w:t>Outcomes and Key Effectiveness Indicators</w:t>
      </w:r>
      <w:bookmarkEnd w:id="303"/>
      <w:bookmarkEnd w:id="304"/>
    </w:p>
    <w:p w:rsidR="00FD259A" w:rsidRDefault="00FD259A" w:rsidP="003C49F5">
      <w:pPr>
        <w:pStyle w:val="Body"/>
        <w:rPr>
          <w:lang w:eastAsia="en-AU"/>
        </w:rPr>
      </w:pPr>
      <w:r>
        <w:rPr>
          <w:lang w:eastAsia="en-AU"/>
        </w:rPr>
        <w:t>Outcome: Quality advice to the Environmental Protection Authority (EPA) and Minister for Environment (the Minister) on significant proposals, compliance and environmental issues.</w:t>
      </w:r>
    </w:p>
    <w:p w:rsidR="001F4381" w:rsidRPr="00547DC7" w:rsidRDefault="00243A02" w:rsidP="00547DC7">
      <w:pPr>
        <w:pStyle w:val="KPIheading2"/>
      </w:pPr>
      <w:bookmarkStart w:id="305" w:name="_Toc427132258"/>
      <w:bookmarkStart w:id="306" w:name="_Toc427745956"/>
      <w:bookmarkStart w:id="307" w:name="_Toc428270664"/>
      <w:r w:rsidRPr="00547DC7">
        <w:t>Environmental impact assessment services to the EPA.</w:t>
      </w:r>
      <w:bookmarkEnd w:id="305"/>
      <w:bookmarkEnd w:id="306"/>
      <w:bookmarkEnd w:id="307"/>
    </w:p>
    <w:p w:rsidR="00FD259A" w:rsidRPr="00C17BE4" w:rsidRDefault="00FD259A" w:rsidP="00547DC7">
      <w:pPr>
        <w:pStyle w:val="KPIsubheading"/>
        <w:ind w:left="1560" w:hanging="426"/>
      </w:pPr>
      <w:bookmarkStart w:id="308" w:name="_Toc427745957"/>
      <w:bookmarkStart w:id="309" w:name="_Toc428270665"/>
      <w:r w:rsidRPr="00C17BE4">
        <w:t>The EPA’s satisfaction with the Office of the Environmental Protection Authority’s (OEPA) Environmental Impact Assessment (EIA) services, during the year, in line with Best Practice Principles of EIA</w:t>
      </w:r>
      <w:bookmarkEnd w:id="308"/>
      <w:bookmarkEnd w:id="309"/>
    </w:p>
    <w:tbl>
      <w:tblPr>
        <w:tblW w:w="8342" w:type="dxa"/>
        <w:tblInd w:w="1264" w:type="dxa"/>
        <w:tblLayout w:type="fixed"/>
        <w:tblCellMar>
          <w:top w:w="28" w:type="dxa"/>
          <w:bottom w:w="28" w:type="dxa"/>
        </w:tblCellMar>
        <w:tblLook w:val="04A0" w:firstRow="1" w:lastRow="0" w:firstColumn="1" w:lastColumn="0" w:noHBand="0" w:noVBand="1"/>
      </w:tblPr>
      <w:tblGrid>
        <w:gridCol w:w="3097"/>
        <w:gridCol w:w="1049"/>
        <w:gridCol w:w="1049"/>
        <w:gridCol w:w="1049"/>
        <w:gridCol w:w="1049"/>
        <w:gridCol w:w="1049"/>
      </w:tblGrid>
      <w:tr w:rsidR="00FD259A" w:rsidRPr="0006319A" w:rsidTr="003717E0">
        <w:trPr>
          <w:trHeight w:val="600"/>
        </w:trPr>
        <w:tc>
          <w:tcPr>
            <w:tcW w:w="3097" w:type="dxa"/>
            <w:vMerge w:val="restart"/>
            <w:noWrap/>
            <w:vAlign w:val="bottom"/>
            <w:hideMark/>
          </w:tcPr>
          <w:p w:rsidR="00FD259A" w:rsidRPr="0006319A" w:rsidRDefault="00FD259A" w:rsidP="002660B8">
            <w:pPr>
              <w:rPr>
                <w:rFonts w:eastAsia="Calibri" w:cs="Times New Roman"/>
                <w:color w:val="auto"/>
                <w:sz w:val="22"/>
              </w:rPr>
            </w:pPr>
          </w:p>
        </w:tc>
        <w:tc>
          <w:tcPr>
            <w:tcW w:w="1049" w:type="dxa"/>
            <w:tcBorders>
              <w:top w:val="nil"/>
              <w:left w:val="nil"/>
              <w:bottom w:val="nil"/>
              <w:right w:val="single" w:sz="8" w:space="0" w:color="FFFFFF"/>
            </w:tcBorders>
            <w:shd w:val="clear" w:color="auto" w:fill="E0DCCB"/>
            <w:vAlign w:val="center"/>
            <w:hideMark/>
          </w:tcPr>
          <w:p w:rsidR="00FD259A" w:rsidRPr="0006319A" w:rsidRDefault="00FD259A" w:rsidP="002660B8">
            <w:pPr>
              <w:spacing w:line="240" w:lineRule="auto"/>
              <w:jc w:val="center"/>
              <w:rPr>
                <w:rFonts w:ascii="Calibri" w:eastAsia="Times New Roman" w:hAnsi="Calibri" w:cs="Arial"/>
                <w:b/>
                <w:bCs/>
                <w:color w:val="4D4D4F"/>
                <w:sz w:val="22"/>
                <w:lang w:eastAsia="en-AU"/>
              </w:rPr>
            </w:pPr>
            <w:r w:rsidRPr="0006319A">
              <w:rPr>
                <w:rFonts w:ascii="Calibri" w:eastAsia="Times New Roman" w:hAnsi="Calibri" w:cs="Arial"/>
                <w:b/>
                <w:bCs/>
                <w:color w:val="4D4D4F"/>
                <w:sz w:val="22"/>
                <w:lang w:eastAsia="en-AU"/>
              </w:rPr>
              <w:t>2013-14</w:t>
            </w:r>
          </w:p>
        </w:tc>
        <w:tc>
          <w:tcPr>
            <w:tcW w:w="1049" w:type="dxa"/>
            <w:tcBorders>
              <w:top w:val="nil"/>
              <w:left w:val="nil"/>
              <w:bottom w:val="nil"/>
              <w:right w:val="single" w:sz="8" w:space="0" w:color="FFFFFF"/>
            </w:tcBorders>
            <w:shd w:val="clear" w:color="auto" w:fill="E0DCCB"/>
            <w:vAlign w:val="center"/>
            <w:hideMark/>
          </w:tcPr>
          <w:p w:rsidR="00FD259A" w:rsidRPr="0006319A" w:rsidRDefault="00FD259A" w:rsidP="002660B8">
            <w:pPr>
              <w:spacing w:line="240" w:lineRule="auto"/>
              <w:jc w:val="center"/>
              <w:rPr>
                <w:rFonts w:ascii="Calibri" w:eastAsia="Times New Roman" w:hAnsi="Calibri" w:cs="Arial"/>
                <w:b/>
                <w:bCs/>
                <w:color w:val="4D4D4F"/>
                <w:sz w:val="22"/>
                <w:lang w:eastAsia="en-AU"/>
              </w:rPr>
            </w:pPr>
            <w:r w:rsidRPr="0006319A">
              <w:rPr>
                <w:rFonts w:ascii="Calibri" w:eastAsia="Times New Roman" w:hAnsi="Calibri" w:cs="Arial"/>
                <w:b/>
                <w:bCs/>
                <w:color w:val="4D4D4F"/>
                <w:sz w:val="22"/>
                <w:lang w:eastAsia="en-AU"/>
              </w:rPr>
              <w:t>2014-15</w:t>
            </w:r>
          </w:p>
        </w:tc>
        <w:tc>
          <w:tcPr>
            <w:tcW w:w="1049" w:type="dxa"/>
            <w:tcBorders>
              <w:top w:val="nil"/>
              <w:left w:val="nil"/>
              <w:bottom w:val="nil"/>
              <w:right w:val="single" w:sz="8" w:space="0" w:color="FFFFFF"/>
            </w:tcBorders>
            <w:shd w:val="clear" w:color="auto" w:fill="E0DCCB"/>
            <w:vAlign w:val="center"/>
            <w:hideMark/>
          </w:tcPr>
          <w:p w:rsidR="00FD259A" w:rsidRPr="0006319A" w:rsidRDefault="00FD259A" w:rsidP="002660B8">
            <w:pPr>
              <w:spacing w:line="240" w:lineRule="auto"/>
              <w:jc w:val="center"/>
              <w:rPr>
                <w:rFonts w:ascii="Calibri" w:eastAsia="Times New Roman" w:hAnsi="Calibri" w:cs="Arial"/>
                <w:b/>
                <w:bCs/>
                <w:color w:val="4D4D4F"/>
                <w:sz w:val="22"/>
                <w:lang w:eastAsia="en-AU"/>
              </w:rPr>
            </w:pPr>
            <w:r w:rsidRPr="0006319A">
              <w:rPr>
                <w:rFonts w:ascii="Calibri" w:eastAsia="Times New Roman" w:hAnsi="Calibri" w:cs="Arial"/>
                <w:b/>
                <w:bCs/>
                <w:color w:val="4D4D4F"/>
                <w:sz w:val="22"/>
                <w:lang w:eastAsia="en-AU"/>
              </w:rPr>
              <w:t>2014-15</w:t>
            </w:r>
          </w:p>
        </w:tc>
        <w:tc>
          <w:tcPr>
            <w:tcW w:w="1049" w:type="dxa"/>
            <w:tcBorders>
              <w:top w:val="nil"/>
              <w:left w:val="nil"/>
              <w:bottom w:val="nil"/>
              <w:right w:val="single" w:sz="8" w:space="0" w:color="FFFFFF"/>
            </w:tcBorders>
            <w:shd w:val="clear" w:color="auto" w:fill="E0DCCB"/>
            <w:vAlign w:val="center"/>
            <w:hideMark/>
          </w:tcPr>
          <w:p w:rsidR="00FD259A" w:rsidRPr="0006319A" w:rsidRDefault="00FD259A" w:rsidP="002660B8">
            <w:pPr>
              <w:spacing w:line="240" w:lineRule="auto"/>
              <w:jc w:val="center"/>
              <w:rPr>
                <w:rFonts w:ascii="Calibri" w:eastAsia="Times New Roman" w:hAnsi="Calibri" w:cs="Arial"/>
                <w:b/>
                <w:bCs/>
                <w:color w:val="4D4D4F"/>
                <w:sz w:val="22"/>
                <w:lang w:eastAsia="en-AU"/>
              </w:rPr>
            </w:pPr>
            <w:r w:rsidRPr="0006319A">
              <w:rPr>
                <w:rFonts w:ascii="Calibri" w:eastAsia="Times New Roman" w:hAnsi="Calibri" w:cs="Arial"/>
                <w:b/>
                <w:bCs/>
                <w:color w:val="4D4D4F"/>
                <w:sz w:val="22"/>
                <w:lang w:eastAsia="en-AU"/>
              </w:rPr>
              <w:t>2014-15</w:t>
            </w:r>
          </w:p>
        </w:tc>
        <w:tc>
          <w:tcPr>
            <w:tcW w:w="1049" w:type="dxa"/>
            <w:tcBorders>
              <w:top w:val="nil"/>
              <w:left w:val="nil"/>
              <w:bottom w:val="nil"/>
              <w:right w:val="single" w:sz="8" w:space="0" w:color="FFFFFF"/>
            </w:tcBorders>
            <w:shd w:val="clear" w:color="auto" w:fill="E0DCCB"/>
            <w:vAlign w:val="center"/>
            <w:hideMark/>
          </w:tcPr>
          <w:p w:rsidR="00FD259A" w:rsidRPr="0006319A" w:rsidRDefault="00FD259A" w:rsidP="002660B8">
            <w:pPr>
              <w:spacing w:line="240" w:lineRule="auto"/>
              <w:jc w:val="center"/>
              <w:rPr>
                <w:rFonts w:ascii="Calibri" w:eastAsia="Times New Roman" w:hAnsi="Calibri" w:cs="Arial"/>
                <w:b/>
                <w:bCs/>
                <w:color w:val="4D4D4F"/>
                <w:sz w:val="22"/>
                <w:lang w:eastAsia="en-AU"/>
              </w:rPr>
            </w:pPr>
            <w:r w:rsidRPr="0006319A">
              <w:rPr>
                <w:rFonts w:ascii="Calibri" w:eastAsia="Times New Roman" w:hAnsi="Calibri" w:cs="Arial"/>
                <w:b/>
                <w:bCs/>
                <w:color w:val="4D4D4F"/>
                <w:sz w:val="22"/>
                <w:lang w:eastAsia="en-AU"/>
              </w:rPr>
              <w:t>Variance of Actual</w:t>
            </w:r>
          </w:p>
        </w:tc>
      </w:tr>
      <w:tr w:rsidR="00FD259A" w:rsidRPr="0006319A" w:rsidTr="003717E0">
        <w:trPr>
          <w:trHeight w:val="900"/>
        </w:trPr>
        <w:tc>
          <w:tcPr>
            <w:tcW w:w="3097" w:type="dxa"/>
            <w:vMerge/>
            <w:vAlign w:val="center"/>
            <w:hideMark/>
          </w:tcPr>
          <w:p w:rsidR="00FD259A" w:rsidRPr="0006319A" w:rsidRDefault="00FD259A" w:rsidP="002660B8">
            <w:pPr>
              <w:spacing w:line="240" w:lineRule="auto"/>
              <w:rPr>
                <w:rFonts w:eastAsia="Calibri" w:cs="Times New Roman"/>
                <w:color w:val="auto"/>
                <w:sz w:val="22"/>
              </w:rPr>
            </w:pPr>
          </w:p>
        </w:tc>
        <w:tc>
          <w:tcPr>
            <w:tcW w:w="1049" w:type="dxa"/>
            <w:tcBorders>
              <w:top w:val="nil"/>
              <w:left w:val="nil"/>
              <w:right w:val="single" w:sz="8" w:space="0" w:color="FFFFFF"/>
            </w:tcBorders>
            <w:shd w:val="clear" w:color="auto" w:fill="E0DCCB"/>
            <w:vAlign w:val="center"/>
            <w:hideMark/>
          </w:tcPr>
          <w:p w:rsidR="00FD259A" w:rsidRPr="0006319A" w:rsidRDefault="00FD259A" w:rsidP="002660B8">
            <w:pPr>
              <w:spacing w:line="240" w:lineRule="auto"/>
              <w:jc w:val="center"/>
              <w:rPr>
                <w:rFonts w:ascii="Calibri" w:eastAsia="Times New Roman" w:hAnsi="Calibri" w:cs="Arial"/>
                <w:b/>
                <w:bCs/>
                <w:color w:val="4D4D4F"/>
                <w:sz w:val="22"/>
                <w:lang w:eastAsia="en-AU"/>
              </w:rPr>
            </w:pPr>
            <w:r w:rsidRPr="0006319A">
              <w:rPr>
                <w:rFonts w:ascii="Calibri" w:eastAsia="Times New Roman" w:hAnsi="Calibri" w:cs="Arial"/>
                <w:b/>
                <w:bCs/>
                <w:color w:val="4D4D4F"/>
                <w:sz w:val="22"/>
                <w:lang w:eastAsia="en-AU"/>
              </w:rPr>
              <w:t>Actual</w:t>
            </w:r>
          </w:p>
        </w:tc>
        <w:tc>
          <w:tcPr>
            <w:tcW w:w="1049" w:type="dxa"/>
            <w:tcBorders>
              <w:top w:val="nil"/>
              <w:left w:val="nil"/>
              <w:right w:val="single" w:sz="8" w:space="0" w:color="FFFFFF"/>
            </w:tcBorders>
            <w:shd w:val="clear" w:color="auto" w:fill="E0DCCB"/>
            <w:vAlign w:val="center"/>
            <w:hideMark/>
          </w:tcPr>
          <w:p w:rsidR="00FD259A" w:rsidRPr="0006319A" w:rsidRDefault="00FD259A" w:rsidP="002660B8">
            <w:pPr>
              <w:spacing w:line="240" w:lineRule="auto"/>
              <w:jc w:val="center"/>
              <w:rPr>
                <w:rFonts w:ascii="Calibri" w:eastAsia="Times New Roman" w:hAnsi="Calibri" w:cs="Arial"/>
                <w:b/>
                <w:bCs/>
                <w:color w:val="4D4D4F"/>
                <w:sz w:val="22"/>
                <w:lang w:eastAsia="en-AU"/>
              </w:rPr>
            </w:pPr>
            <w:r w:rsidRPr="0006319A">
              <w:rPr>
                <w:rFonts w:ascii="Calibri" w:eastAsia="Times New Roman" w:hAnsi="Calibri" w:cs="Arial"/>
                <w:b/>
                <w:bCs/>
                <w:color w:val="4D4D4F"/>
                <w:sz w:val="22"/>
                <w:lang w:eastAsia="en-AU"/>
              </w:rPr>
              <w:t>Target</w:t>
            </w:r>
          </w:p>
        </w:tc>
        <w:tc>
          <w:tcPr>
            <w:tcW w:w="1049" w:type="dxa"/>
            <w:tcBorders>
              <w:top w:val="nil"/>
              <w:left w:val="nil"/>
              <w:right w:val="single" w:sz="8" w:space="0" w:color="FFFFFF"/>
            </w:tcBorders>
            <w:shd w:val="clear" w:color="auto" w:fill="E0DCCB"/>
            <w:vAlign w:val="center"/>
            <w:hideMark/>
          </w:tcPr>
          <w:p w:rsidR="00FD259A" w:rsidRPr="0006319A" w:rsidRDefault="00FD259A" w:rsidP="002660B8">
            <w:pPr>
              <w:spacing w:line="240" w:lineRule="auto"/>
              <w:jc w:val="center"/>
              <w:rPr>
                <w:rFonts w:ascii="Calibri" w:eastAsia="Times New Roman" w:hAnsi="Calibri" w:cs="Arial"/>
                <w:b/>
                <w:bCs/>
                <w:color w:val="4D4D4F"/>
                <w:sz w:val="22"/>
                <w:lang w:eastAsia="en-AU"/>
              </w:rPr>
            </w:pPr>
            <w:r w:rsidRPr="0006319A">
              <w:rPr>
                <w:rFonts w:ascii="Calibri" w:eastAsia="Times New Roman" w:hAnsi="Calibri" w:cs="Arial"/>
                <w:b/>
                <w:bCs/>
                <w:color w:val="4D4D4F"/>
                <w:sz w:val="22"/>
                <w:lang w:eastAsia="en-AU"/>
              </w:rPr>
              <w:t>Actual</w:t>
            </w:r>
          </w:p>
        </w:tc>
        <w:tc>
          <w:tcPr>
            <w:tcW w:w="1049" w:type="dxa"/>
            <w:tcBorders>
              <w:top w:val="nil"/>
              <w:left w:val="nil"/>
              <w:right w:val="single" w:sz="8" w:space="0" w:color="FFFFFF"/>
            </w:tcBorders>
            <w:shd w:val="clear" w:color="auto" w:fill="E0DCCB"/>
            <w:vAlign w:val="center"/>
            <w:hideMark/>
          </w:tcPr>
          <w:p w:rsidR="00FD259A" w:rsidRPr="0006319A" w:rsidRDefault="00FD259A" w:rsidP="002660B8">
            <w:pPr>
              <w:spacing w:line="240" w:lineRule="auto"/>
              <w:jc w:val="center"/>
              <w:rPr>
                <w:rFonts w:ascii="Calibri" w:eastAsia="Times New Roman" w:hAnsi="Calibri" w:cs="Arial"/>
                <w:b/>
                <w:bCs/>
                <w:color w:val="4D4D4F"/>
                <w:sz w:val="22"/>
                <w:lang w:eastAsia="en-AU"/>
              </w:rPr>
            </w:pPr>
            <w:r w:rsidRPr="0006319A">
              <w:rPr>
                <w:rFonts w:ascii="Calibri" w:eastAsia="Times New Roman" w:hAnsi="Calibri" w:cs="Arial"/>
                <w:b/>
                <w:bCs/>
                <w:color w:val="4D4D4F"/>
                <w:sz w:val="22"/>
                <w:lang w:eastAsia="en-AU"/>
              </w:rPr>
              <w:t>Variance of Target to Actual</w:t>
            </w:r>
          </w:p>
        </w:tc>
        <w:tc>
          <w:tcPr>
            <w:tcW w:w="1049" w:type="dxa"/>
            <w:tcBorders>
              <w:top w:val="nil"/>
              <w:left w:val="nil"/>
              <w:right w:val="single" w:sz="8" w:space="0" w:color="FFFFFF"/>
            </w:tcBorders>
            <w:shd w:val="clear" w:color="auto" w:fill="E0DCCB"/>
            <w:vAlign w:val="center"/>
            <w:hideMark/>
          </w:tcPr>
          <w:p w:rsidR="00FD259A" w:rsidRPr="0006319A" w:rsidRDefault="00FD259A" w:rsidP="00426CCF">
            <w:pPr>
              <w:spacing w:line="240" w:lineRule="auto"/>
              <w:jc w:val="center"/>
              <w:rPr>
                <w:rFonts w:ascii="Calibri" w:eastAsia="Times New Roman" w:hAnsi="Calibri" w:cs="Arial"/>
                <w:b/>
                <w:bCs/>
                <w:color w:val="4D4D4F"/>
                <w:sz w:val="22"/>
                <w:lang w:eastAsia="en-AU"/>
              </w:rPr>
            </w:pPr>
            <w:r w:rsidRPr="0006319A">
              <w:rPr>
                <w:rFonts w:ascii="Calibri" w:eastAsia="Times New Roman" w:hAnsi="Calibri" w:cs="Arial"/>
                <w:b/>
                <w:bCs/>
                <w:color w:val="4D4D4F"/>
                <w:sz w:val="22"/>
                <w:lang w:eastAsia="en-AU"/>
              </w:rPr>
              <w:t xml:space="preserve">2013-14 and </w:t>
            </w:r>
            <w:r w:rsidR="00426CCF">
              <w:rPr>
                <w:rFonts w:ascii="Calibri" w:eastAsia="Times New Roman" w:hAnsi="Calibri" w:cs="Arial"/>
                <w:b/>
                <w:bCs/>
                <w:color w:val="4D4D4F"/>
                <w:sz w:val="22"/>
                <w:lang w:eastAsia="en-AU"/>
              </w:rPr>
              <w:br/>
            </w:r>
            <w:r w:rsidRPr="0006319A">
              <w:rPr>
                <w:rFonts w:ascii="Calibri" w:eastAsia="Times New Roman" w:hAnsi="Calibri" w:cs="Arial"/>
                <w:b/>
                <w:bCs/>
                <w:color w:val="4D4D4F"/>
                <w:sz w:val="22"/>
                <w:lang w:eastAsia="en-AU"/>
              </w:rPr>
              <w:t>2014-15</w:t>
            </w:r>
          </w:p>
        </w:tc>
      </w:tr>
      <w:tr w:rsidR="00FD259A" w:rsidRPr="0006319A" w:rsidTr="003717E0">
        <w:trPr>
          <w:trHeight w:val="1350"/>
        </w:trPr>
        <w:tc>
          <w:tcPr>
            <w:tcW w:w="3097" w:type="dxa"/>
            <w:shd w:val="clear" w:color="auto" w:fill="E0DCCB"/>
            <w:vAlign w:val="center"/>
            <w:hideMark/>
          </w:tcPr>
          <w:p w:rsidR="00FD259A" w:rsidRPr="0006319A" w:rsidRDefault="00FD259A" w:rsidP="002660B8">
            <w:pPr>
              <w:spacing w:line="240" w:lineRule="auto"/>
              <w:rPr>
                <w:rFonts w:ascii="Arial" w:eastAsia="Times New Roman" w:hAnsi="Arial" w:cs="Arial"/>
                <w:color w:val="4D4D4F"/>
                <w:sz w:val="22"/>
                <w:lang w:eastAsia="en-AU"/>
              </w:rPr>
            </w:pPr>
            <w:r w:rsidRPr="0006319A">
              <w:rPr>
                <w:rFonts w:ascii="Arial" w:eastAsia="Times New Roman" w:hAnsi="Arial" w:cs="Arial"/>
                <w:color w:val="4D4D4F"/>
                <w:sz w:val="22"/>
                <w:lang w:eastAsia="en-AU"/>
              </w:rPr>
              <w:t xml:space="preserve">The EPA's satisfaction with the Office of the Environmental Protection Authority's (OEPA) Environmental Impact Assessment (EIA) services during the year, in line with Best Practice Principles of EIA </w:t>
            </w:r>
          </w:p>
        </w:tc>
        <w:tc>
          <w:tcPr>
            <w:tcW w:w="1049" w:type="dxa"/>
            <w:tcBorders>
              <w:top w:val="nil"/>
              <w:left w:val="nil"/>
              <w:bottom w:val="single" w:sz="4" w:space="0" w:color="E0DCCB" w:themeColor="accent4" w:themeTint="66"/>
              <w:right w:val="single" w:sz="8" w:space="0" w:color="E0DCCB"/>
            </w:tcBorders>
            <w:noWrap/>
            <w:vAlign w:val="center"/>
            <w:hideMark/>
          </w:tcPr>
          <w:p w:rsidR="00FD259A" w:rsidRPr="0006319A" w:rsidRDefault="00FD259A" w:rsidP="002660B8">
            <w:pPr>
              <w:spacing w:line="240" w:lineRule="auto"/>
              <w:jc w:val="center"/>
              <w:rPr>
                <w:rFonts w:ascii="Arial" w:eastAsia="Times New Roman" w:hAnsi="Arial" w:cs="Arial"/>
                <w:color w:val="4D4D4F"/>
                <w:sz w:val="22"/>
                <w:lang w:eastAsia="en-AU"/>
              </w:rPr>
            </w:pPr>
            <w:r w:rsidRPr="0006319A">
              <w:rPr>
                <w:rFonts w:ascii="Arial" w:eastAsia="Times New Roman" w:hAnsi="Arial" w:cstheme="minorHAnsi"/>
                <w:color w:val="4D4D4F"/>
                <w:sz w:val="22"/>
                <w:lang w:eastAsia="en-AU"/>
              </w:rPr>
              <w:t>n/a</w:t>
            </w:r>
          </w:p>
        </w:tc>
        <w:tc>
          <w:tcPr>
            <w:tcW w:w="1049" w:type="dxa"/>
            <w:tcBorders>
              <w:top w:val="nil"/>
              <w:left w:val="nil"/>
              <w:bottom w:val="single" w:sz="4" w:space="0" w:color="E0DCCB" w:themeColor="accent4" w:themeTint="66"/>
              <w:right w:val="single" w:sz="8" w:space="0" w:color="E0DCCB"/>
            </w:tcBorders>
            <w:noWrap/>
            <w:vAlign w:val="center"/>
            <w:hideMark/>
          </w:tcPr>
          <w:p w:rsidR="00FD259A" w:rsidRPr="0006319A" w:rsidRDefault="00FD259A" w:rsidP="002660B8">
            <w:pPr>
              <w:spacing w:line="240" w:lineRule="auto"/>
              <w:jc w:val="center"/>
              <w:rPr>
                <w:rFonts w:ascii="Arial" w:eastAsia="Times New Roman" w:hAnsi="Arial" w:cs="Arial"/>
                <w:color w:val="4D4D4F"/>
                <w:sz w:val="22"/>
                <w:lang w:eastAsia="en-AU"/>
              </w:rPr>
            </w:pPr>
            <w:r w:rsidRPr="0006319A">
              <w:rPr>
                <w:rFonts w:ascii="Arial" w:eastAsia="Times New Roman" w:hAnsi="Arial" w:cstheme="minorHAnsi"/>
                <w:color w:val="4D4D4F"/>
                <w:sz w:val="22"/>
                <w:lang w:eastAsia="en-AU"/>
              </w:rPr>
              <w:t>75%</w:t>
            </w:r>
          </w:p>
        </w:tc>
        <w:tc>
          <w:tcPr>
            <w:tcW w:w="1049" w:type="dxa"/>
            <w:tcBorders>
              <w:top w:val="nil"/>
              <w:left w:val="nil"/>
              <w:bottom w:val="single" w:sz="4" w:space="0" w:color="E0DCCB" w:themeColor="accent4" w:themeTint="66"/>
              <w:right w:val="single" w:sz="8" w:space="0" w:color="E0DCCB"/>
            </w:tcBorders>
            <w:shd w:val="clear" w:color="auto" w:fill="E0DCCB"/>
            <w:noWrap/>
            <w:vAlign w:val="center"/>
            <w:hideMark/>
          </w:tcPr>
          <w:p w:rsidR="00FD259A" w:rsidRPr="0006319A" w:rsidRDefault="00FD259A" w:rsidP="002660B8">
            <w:pPr>
              <w:spacing w:line="240" w:lineRule="auto"/>
              <w:jc w:val="center"/>
              <w:rPr>
                <w:rFonts w:ascii="Arial" w:eastAsia="Times New Roman" w:hAnsi="Arial" w:cs="Arial"/>
                <w:color w:val="4D4D4F"/>
                <w:sz w:val="22"/>
                <w:lang w:eastAsia="en-AU"/>
              </w:rPr>
            </w:pPr>
            <w:r w:rsidRPr="0006319A">
              <w:rPr>
                <w:rFonts w:ascii="Arial" w:eastAsia="Times New Roman" w:hAnsi="Arial" w:cs="Arial"/>
                <w:color w:val="4D4D4F"/>
                <w:sz w:val="22"/>
                <w:lang w:eastAsia="en-AU"/>
              </w:rPr>
              <w:t>89% </w:t>
            </w:r>
          </w:p>
        </w:tc>
        <w:tc>
          <w:tcPr>
            <w:tcW w:w="1049" w:type="dxa"/>
            <w:tcBorders>
              <w:top w:val="nil"/>
              <w:left w:val="nil"/>
              <w:bottom w:val="single" w:sz="4" w:space="0" w:color="E0DCCB" w:themeColor="accent4" w:themeTint="66"/>
              <w:right w:val="single" w:sz="8" w:space="0" w:color="E0DCCB"/>
            </w:tcBorders>
            <w:noWrap/>
            <w:vAlign w:val="center"/>
            <w:hideMark/>
          </w:tcPr>
          <w:p w:rsidR="00FD259A" w:rsidRPr="0006319A" w:rsidRDefault="00FD259A" w:rsidP="002660B8">
            <w:pPr>
              <w:spacing w:line="240" w:lineRule="auto"/>
              <w:jc w:val="center"/>
              <w:rPr>
                <w:rFonts w:ascii="Arial" w:eastAsia="Times New Roman" w:hAnsi="Arial" w:cs="Arial"/>
                <w:color w:val="4D4D4F"/>
                <w:sz w:val="22"/>
                <w:lang w:eastAsia="en-AU"/>
              </w:rPr>
            </w:pPr>
            <w:r w:rsidRPr="0006319A">
              <w:rPr>
                <w:rFonts w:ascii="Arial" w:eastAsia="Times New Roman" w:hAnsi="Arial" w:cs="Arial"/>
                <w:color w:val="4D4D4F"/>
                <w:sz w:val="22"/>
                <w:lang w:eastAsia="en-AU"/>
              </w:rPr>
              <w:t>14% </w:t>
            </w:r>
          </w:p>
        </w:tc>
        <w:tc>
          <w:tcPr>
            <w:tcW w:w="1049" w:type="dxa"/>
            <w:tcBorders>
              <w:top w:val="nil"/>
              <w:left w:val="nil"/>
              <w:bottom w:val="single" w:sz="4" w:space="0" w:color="E0DCCB" w:themeColor="accent4" w:themeTint="66"/>
              <w:right w:val="single" w:sz="8" w:space="0" w:color="E0DCCB"/>
            </w:tcBorders>
            <w:noWrap/>
            <w:vAlign w:val="center"/>
            <w:hideMark/>
          </w:tcPr>
          <w:p w:rsidR="00FD259A" w:rsidRPr="0006319A" w:rsidRDefault="00FD259A" w:rsidP="002660B8">
            <w:pPr>
              <w:spacing w:line="240" w:lineRule="auto"/>
              <w:jc w:val="center"/>
              <w:rPr>
                <w:rFonts w:ascii="Arial" w:eastAsia="Times New Roman" w:hAnsi="Arial" w:cs="Arial"/>
                <w:color w:val="4D4D4F"/>
                <w:sz w:val="22"/>
                <w:lang w:eastAsia="en-AU"/>
              </w:rPr>
            </w:pPr>
            <w:r w:rsidRPr="0006319A">
              <w:rPr>
                <w:rFonts w:ascii="Arial" w:eastAsia="Times New Roman" w:hAnsi="Arial" w:cs="Arial"/>
                <w:color w:val="4D4D4F"/>
                <w:sz w:val="22"/>
                <w:lang w:eastAsia="en-AU"/>
              </w:rPr>
              <w:t>n/a </w:t>
            </w:r>
          </w:p>
        </w:tc>
      </w:tr>
    </w:tbl>
    <w:p w:rsidR="00FD259A" w:rsidRPr="003D0FF4" w:rsidRDefault="00FD259A" w:rsidP="00705837">
      <w:pPr>
        <w:pStyle w:val="Heading4"/>
      </w:pPr>
      <w:r w:rsidRPr="003D0FF4">
        <w:t>Explanatory Notes</w:t>
      </w:r>
    </w:p>
    <w:p w:rsidR="007C4984" w:rsidRPr="00184F1B" w:rsidRDefault="007C4984" w:rsidP="007C4984">
      <w:pPr>
        <w:pStyle w:val="Body"/>
      </w:pPr>
      <w:r w:rsidRPr="00184F1B">
        <w:t>In order to gauge the standard of assessment services provided by the OEPA to the EPA, the EPA rates the quality of the OEPA’s EIA services in comparison to principles of EIA best practice (currently, the International Association for Impact Assessment (IAIA)’s Principles of EIA Best Practice). This is done by means of a survey completed by each member of the EPA upon delivery and EPA endorsement of each assessment.</w:t>
      </w:r>
    </w:p>
    <w:p w:rsidR="007C4984" w:rsidRDefault="007C4984" w:rsidP="007C4984">
      <w:pPr>
        <w:pStyle w:val="Body"/>
      </w:pPr>
      <w:r>
        <w:t>Following the consideration of each EPA assessment report (18 for 2014–15), the EPA board members evaluate the assessment of the proposal undertaken by the Office of the Environmental Protection Authority with an 88% survey response rate. For calculation purposes the survey date is deemed as being the EPA Board meeting date.</w:t>
      </w:r>
    </w:p>
    <w:p w:rsidR="007C4984" w:rsidRDefault="007C4984" w:rsidP="007C4984">
      <w:pPr>
        <w:pStyle w:val="Body"/>
      </w:pPr>
      <w:r>
        <w:t>During 2014</w:t>
      </w:r>
      <w:r w:rsidR="00CB21CF">
        <w:t>–</w:t>
      </w:r>
      <w:r>
        <w:t>15 the EPA’s satisfaction with the OEPA services exceeded the target set.</w:t>
      </w:r>
    </w:p>
    <w:p w:rsidR="00AB3C74" w:rsidRDefault="007C4984" w:rsidP="007C4984">
      <w:pPr>
        <w:pStyle w:val="Body"/>
      </w:pPr>
      <w:r>
        <w:lastRenderedPageBreak/>
        <w:t>This is a new indicator which has not been previously measured. As such, there was not good information on which to base the target for the year. The level of satisfaction has been higher than forecast</w:t>
      </w:r>
      <w:r w:rsidR="00FD259A">
        <w:t>.</w:t>
      </w:r>
      <w:r>
        <w:t xml:space="preserve"> </w:t>
      </w:r>
    </w:p>
    <w:p w:rsidR="00FD259A" w:rsidRPr="0006319A" w:rsidRDefault="00FD259A" w:rsidP="00547DC7">
      <w:pPr>
        <w:pStyle w:val="KPIsubheading"/>
        <w:ind w:left="1560" w:hanging="426"/>
      </w:pPr>
      <w:bookmarkStart w:id="310" w:name="_Toc427745958"/>
      <w:bookmarkStart w:id="311" w:name="_Toc428270666"/>
      <w:r w:rsidRPr="0006319A">
        <w:t>Percentage of project-specific conditions which did not require significant change following the appeal process.</w:t>
      </w:r>
      <w:bookmarkEnd w:id="310"/>
      <w:bookmarkEnd w:id="311"/>
    </w:p>
    <w:tbl>
      <w:tblPr>
        <w:tblW w:w="8104" w:type="dxa"/>
        <w:tblInd w:w="1219" w:type="dxa"/>
        <w:tblLayout w:type="fixed"/>
        <w:tblCellMar>
          <w:top w:w="28" w:type="dxa"/>
          <w:left w:w="85" w:type="dxa"/>
          <w:bottom w:w="28" w:type="dxa"/>
          <w:right w:w="85" w:type="dxa"/>
        </w:tblCellMar>
        <w:tblLook w:val="04A0" w:firstRow="1" w:lastRow="0" w:firstColumn="1" w:lastColumn="0" w:noHBand="0" w:noVBand="1"/>
      </w:tblPr>
      <w:tblGrid>
        <w:gridCol w:w="3142"/>
        <w:gridCol w:w="992"/>
        <w:gridCol w:w="992"/>
        <w:gridCol w:w="993"/>
        <w:gridCol w:w="992"/>
        <w:gridCol w:w="993"/>
      </w:tblGrid>
      <w:tr w:rsidR="007C4984" w:rsidTr="003717E0">
        <w:trPr>
          <w:trHeight w:val="2011"/>
        </w:trPr>
        <w:tc>
          <w:tcPr>
            <w:tcW w:w="3142" w:type="dxa"/>
            <w:noWrap/>
            <w:vAlign w:val="bottom"/>
            <w:hideMark/>
          </w:tcPr>
          <w:p w:rsidR="007C4984" w:rsidRDefault="007C4984" w:rsidP="002660B8">
            <w:pPr>
              <w:rPr>
                <w:rFonts w:eastAsia="Calibri" w:cs="Times New Roman"/>
                <w:color w:val="auto"/>
                <w:sz w:val="22"/>
              </w:rPr>
            </w:pPr>
          </w:p>
        </w:tc>
        <w:tc>
          <w:tcPr>
            <w:tcW w:w="992" w:type="dxa"/>
            <w:tcBorders>
              <w:top w:val="nil"/>
              <w:left w:val="nil"/>
              <w:right w:val="single" w:sz="8" w:space="0" w:color="FFFFFF"/>
            </w:tcBorders>
            <w:shd w:val="clear" w:color="auto" w:fill="E0DCCB"/>
            <w:vAlign w:val="center"/>
            <w:hideMark/>
          </w:tcPr>
          <w:p w:rsidR="007C4984" w:rsidRDefault="007C4984"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2013-14</w:t>
            </w:r>
          </w:p>
          <w:p w:rsidR="007C4984" w:rsidRDefault="007C4984"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992" w:type="dxa"/>
            <w:tcBorders>
              <w:top w:val="nil"/>
              <w:left w:val="nil"/>
              <w:right w:val="single" w:sz="8" w:space="0" w:color="FFFFFF"/>
            </w:tcBorders>
            <w:shd w:val="clear" w:color="auto" w:fill="E0DCCB"/>
            <w:vAlign w:val="center"/>
            <w:hideMark/>
          </w:tcPr>
          <w:p w:rsidR="007C4984" w:rsidRDefault="007C4984"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p>
          <w:p w:rsidR="007C4984" w:rsidRDefault="007C4984"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Target</w:t>
            </w:r>
          </w:p>
        </w:tc>
        <w:tc>
          <w:tcPr>
            <w:tcW w:w="993" w:type="dxa"/>
            <w:tcBorders>
              <w:top w:val="nil"/>
              <w:left w:val="nil"/>
              <w:right w:val="single" w:sz="8" w:space="0" w:color="FFFFFF"/>
            </w:tcBorders>
            <w:shd w:val="clear" w:color="auto" w:fill="E0DCCB"/>
            <w:vAlign w:val="center"/>
            <w:hideMark/>
          </w:tcPr>
          <w:p w:rsidR="007C4984" w:rsidRDefault="007C4984"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p>
          <w:p w:rsidR="007C4984" w:rsidRDefault="007C4984"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992" w:type="dxa"/>
            <w:tcBorders>
              <w:top w:val="nil"/>
              <w:left w:val="nil"/>
              <w:right w:val="single" w:sz="8" w:space="0" w:color="FFFFFF"/>
            </w:tcBorders>
            <w:shd w:val="clear" w:color="auto" w:fill="E0DCCB"/>
            <w:vAlign w:val="center"/>
            <w:hideMark/>
          </w:tcPr>
          <w:p w:rsidR="007C4984" w:rsidRDefault="007C4984" w:rsidP="007C4984">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r>
              <w:rPr>
                <w:rFonts w:ascii="Calibri" w:eastAsia="Times New Roman" w:hAnsi="Calibri" w:cs="Arial"/>
                <w:b/>
                <w:bCs/>
                <w:color w:val="4D4D4F"/>
                <w:sz w:val="22"/>
                <w:lang w:eastAsia="en-AU"/>
              </w:rPr>
              <w:br/>
              <w:t>Variance of Target to Actual</w:t>
            </w:r>
          </w:p>
        </w:tc>
        <w:tc>
          <w:tcPr>
            <w:tcW w:w="993" w:type="dxa"/>
            <w:tcBorders>
              <w:top w:val="nil"/>
              <w:left w:val="nil"/>
              <w:right w:val="single" w:sz="8" w:space="0" w:color="FFFFFF"/>
            </w:tcBorders>
            <w:shd w:val="clear" w:color="auto" w:fill="E0DCCB"/>
            <w:vAlign w:val="center"/>
            <w:hideMark/>
          </w:tcPr>
          <w:p w:rsidR="007C4984" w:rsidRDefault="007C4984" w:rsidP="007C4984">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Variance of Actual</w:t>
            </w:r>
            <w:r>
              <w:rPr>
                <w:rFonts w:ascii="Calibri" w:eastAsia="Times New Roman" w:hAnsi="Calibri" w:cs="Arial"/>
                <w:b/>
                <w:bCs/>
                <w:color w:val="4D4D4F"/>
                <w:sz w:val="22"/>
                <w:lang w:eastAsia="en-AU"/>
              </w:rPr>
              <w:br/>
              <w:t xml:space="preserve">2013-14 and </w:t>
            </w:r>
            <w:r>
              <w:rPr>
                <w:rFonts w:ascii="Calibri" w:eastAsia="Times New Roman" w:hAnsi="Calibri" w:cs="Arial"/>
                <w:b/>
                <w:bCs/>
                <w:color w:val="4D4D4F"/>
                <w:sz w:val="22"/>
                <w:lang w:eastAsia="en-AU"/>
              </w:rPr>
              <w:br/>
              <w:t>2014-15</w:t>
            </w:r>
          </w:p>
        </w:tc>
      </w:tr>
      <w:tr w:rsidR="00FD259A" w:rsidTr="003717E0">
        <w:trPr>
          <w:trHeight w:val="660"/>
        </w:trPr>
        <w:tc>
          <w:tcPr>
            <w:tcW w:w="3142" w:type="dxa"/>
            <w:shd w:val="clear" w:color="auto" w:fill="E0DCCB"/>
            <w:vAlign w:val="center"/>
            <w:hideMark/>
          </w:tcPr>
          <w:p w:rsidR="00FD259A" w:rsidRDefault="00FD259A" w:rsidP="002660B8">
            <w:pPr>
              <w:spacing w:line="240" w:lineRule="auto"/>
              <w:rPr>
                <w:rFonts w:ascii="Arial" w:eastAsia="Times New Roman" w:hAnsi="Arial" w:cs="Arial"/>
                <w:color w:val="4D4D4F"/>
                <w:sz w:val="22"/>
                <w:lang w:eastAsia="en-AU"/>
              </w:rPr>
            </w:pPr>
            <w:r>
              <w:rPr>
                <w:rFonts w:ascii="Arial" w:eastAsia="Times New Roman" w:hAnsi="Arial" w:cs="Arial"/>
                <w:color w:val="4D4D4F"/>
                <w:sz w:val="22"/>
                <w:lang w:eastAsia="en-AU"/>
              </w:rPr>
              <w:t xml:space="preserve">Percentage of project-specific conditions which did not require significant change following the appeal process </w:t>
            </w:r>
          </w:p>
        </w:tc>
        <w:tc>
          <w:tcPr>
            <w:tcW w:w="992" w:type="dxa"/>
            <w:tcBorders>
              <w:top w:val="nil"/>
              <w:left w:val="nil"/>
              <w:bottom w:val="single" w:sz="4" w:space="0" w:color="E0DCCB" w:themeColor="accent4" w:themeTint="66"/>
              <w:right w:val="single" w:sz="8" w:space="0" w:color="E0DCCB"/>
            </w:tcBorders>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theme="minorHAnsi"/>
                <w:color w:val="4D4D4F"/>
                <w:sz w:val="22"/>
                <w:lang w:eastAsia="en-AU"/>
              </w:rPr>
              <w:t>n/a</w:t>
            </w:r>
          </w:p>
        </w:tc>
        <w:tc>
          <w:tcPr>
            <w:tcW w:w="992" w:type="dxa"/>
            <w:tcBorders>
              <w:top w:val="nil"/>
              <w:left w:val="nil"/>
              <w:bottom w:val="single" w:sz="4" w:space="0" w:color="E0DCCB" w:themeColor="accent4" w:themeTint="66"/>
              <w:right w:val="single" w:sz="8" w:space="0" w:color="E0DCCB"/>
            </w:tcBorders>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theme="minorHAnsi"/>
                <w:color w:val="4D4D4F"/>
                <w:sz w:val="22"/>
                <w:lang w:eastAsia="en-AU"/>
              </w:rPr>
              <w:t>75%</w:t>
            </w:r>
          </w:p>
        </w:tc>
        <w:tc>
          <w:tcPr>
            <w:tcW w:w="993" w:type="dxa"/>
            <w:tcBorders>
              <w:top w:val="nil"/>
              <w:left w:val="nil"/>
              <w:bottom w:val="single" w:sz="4" w:space="0" w:color="E0DCCB" w:themeColor="accent4" w:themeTint="66"/>
              <w:right w:val="single" w:sz="8" w:space="0" w:color="E0DCCB"/>
            </w:tcBorders>
            <w:shd w:val="clear" w:color="auto" w:fill="E0DCCB"/>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99% </w:t>
            </w:r>
          </w:p>
        </w:tc>
        <w:tc>
          <w:tcPr>
            <w:tcW w:w="992" w:type="dxa"/>
            <w:tcBorders>
              <w:top w:val="nil"/>
              <w:left w:val="nil"/>
              <w:bottom w:val="single" w:sz="4" w:space="0" w:color="E0DCCB" w:themeColor="accent4" w:themeTint="66"/>
              <w:right w:val="single" w:sz="8" w:space="0" w:color="E0DCCB"/>
            </w:tcBorders>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24% </w:t>
            </w:r>
          </w:p>
        </w:tc>
        <w:tc>
          <w:tcPr>
            <w:tcW w:w="993" w:type="dxa"/>
            <w:tcBorders>
              <w:top w:val="nil"/>
              <w:left w:val="nil"/>
              <w:bottom w:val="single" w:sz="4" w:space="0" w:color="E0DCCB" w:themeColor="accent4" w:themeTint="66"/>
              <w:right w:val="single" w:sz="8" w:space="0" w:color="E0DCCB"/>
            </w:tcBorders>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n/a </w:t>
            </w:r>
          </w:p>
        </w:tc>
      </w:tr>
    </w:tbl>
    <w:p w:rsidR="00FD259A" w:rsidRPr="003D0FF4" w:rsidRDefault="00FD259A" w:rsidP="00705837">
      <w:pPr>
        <w:pStyle w:val="Heading4"/>
      </w:pPr>
      <w:r w:rsidRPr="003D0FF4">
        <w:t>Explanatory Notes</w:t>
      </w:r>
    </w:p>
    <w:p w:rsidR="007C4984" w:rsidRDefault="007C4984" w:rsidP="007C4984">
      <w:pPr>
        <w:pStyle w:val="Body"/>
      </w:pPr>
      <w:r>
        <w:t>At the completion of an assessment of a significant proposal, the EPA publicly releases its report and recommended conditions to the Minister for Environment. The recommended conditions may subsequently be amended as a result of an appeal, the decision making authority consultation process, or by the Minister.</w:t>
      </w:r>
    </w:p>
    <w:p w:rsidR="007C4984" w:rsidRDefault="007C4984" w:rsidP="007C4984">
      <w:pPr>
        <w:pStyle w:val="Body"/>
      </w:pPr>
      <w:r>
        <w:t>This effectiveness indicator demonstrates the quality of the OEPA’s EIA advice to the EPA by examining the extent to which the OEPA has avoided the need for significant changes to project specific conditions.</w:t>
      </w:r>
    </w:p>
    <w:p w:rsidR="007C4984" w:rsidRPr="008065A6" w:rsidRDefault="007C4984" w:rsidP="007C4984">
      <w:pPr>
        <w:pStyle w:val="Body"/>
      </w:pPr>
      <w:r w:rsidRPr="008065A6">
        <w:t xml:space="preserve">Whether a change to a condition is a significant change is determined on a case by case basis but will generally involve one of the following: </w:t>
      </w:r>
    </w:p>
    <w:p w:rsidR="007C4984" w:rsidRDefault="007C4984" w:rsidP="005B5CBE">
      <w:pPr>
        <w:ind w:left="2160"/>
      </w:pPr>
      <w:r w:rsidRPr="002E59BE">
        <w:rPr>
          <w:i/>
        </w:rPr>
        <w:t>A substantial change to the form of a condition; The deletion of a condition or addition of a new condition; A substantial change to the outcome or objective specified in a condition; A substantial change to the specified requirements of an Environmental Management plan or environmental monitoring plan; or A substantial change to a prescribed action to be taken</w:t>
      </w:r>
      <w:r w:rsidRPr="008065A6">
        <w:t xml:space="preserve">. </w:t>
      </w:r>
    </w:p>
    <w:p w:rsidR="00FD259A" w:rsidRDefault="007C4984" w:rsidP="007C4984">
      <w:pPr>
        <w:pStyle w:val="Body"/>
      </w:pPr>
      <w:r>
        <w:t>During 2014–15 – of 13 ministerial statements (with 81 project specific conditions) one had a significant change to conditions required as a result of the above processes</w:t>
      </w:r>
      <w:r w:rsidR="00FD259A">
        <w:t>.</w:t>
      </w:r>
    </w:p>
    <w:p w:rsidR="005B5CBE" w:rsidRDefault="005B5CBE" w:rsidP="00426CCF">
      <w:pPr>
        <w:pStyle w:val="Heading3"/>
        <w:spacing w:before="240" w:after="240"/>
      </w:pPr>
      <w:r>
        <w:br w:type="page"/>
      </w:r>
    </w:p>
    <w:p w:rsidR="00FD259A" w:rsidRPr="00705837" w:rsidRDefault="00FD259A" w:rsidP="00547DC7">
      <w:pPr>
        <w:pStyle w:val="KPIsubheading"/>
        <w:ind w:left="1560" w:hanging="426"/>
      </w:pPr>
      <w:bookmarkStart w:id="312" w:name="_Toc427745959"/>
      <w:bookmarkStart w:id="313" w:name="_Toc428270667"/>
      <w:r w:rsidRPr="00705837">
        <w:lastRenderedPageBreak/>
        <w:t>Percentage of assessments that met agreed timelines</w:t>
      </w:r>
      <w:r w:rsidR="00E60989">
        <w:t>.</w:t>
      </w:r>
      <w:bookmarkEnd w:id="312"/>
      <w:bookmarkEnd w:id="313"/>
    </w:p>
    <w:tbl>
      <w:tblPr>
        <w:tblW w:w="8278" w:type="dxa"/>
        <w:tblInd w:w="1241" w:type="dxa"/>
        <w:tblLayout w:type="fixed"/>
        <w:tblCellMar>
          <w:top w:w="28" w:type="dxa"/>
          <w:left w:w="85" w:type="dxa"/>
          <w:bottom w:w="28" w:type="dxa"/>
          <w:right w:w="85" w:type="dxa"/>
        </w:tblCellMar>
        <w:tblLook w:val="04A0" w:firstRow="1" w:lastRow="0" w:firstColumn="1" w:lastColumn="0" w:noHBand="0" w:noVBand="1"/>
      </w:tblPr>
      <w:tblGrid>
        <w:gridCol w:w="1759"/>
        <w:gridCol w:w="907"/>
        <w:gridCol w:w="907"/>
        <w:gridCol w:w="907"/>
        <w:gridCol w:w="907"/>
        <w:gridCol w:w="907"/>
        <w:gridCol w:w="992"/>
        <w:gridCol w:w="992"/>
      </w:tblGrid>
      <w:tr w:rsidR="00F869DF" w:rsidTr="003717E0">
        <w:trPr>
          <w:trHeight w:val="2011"/>
        </w:trPr>
        <w:tc>
          <w:tcPr>
            <w:tcW w:w="1759" w:type="dxa"/>
            <w:noWrap/>
            <w:vAlign w:val="bottom"/>
            <w:hideMark/>
          </w:tcPr>
          <w:p w:rsidR="00F869DF" w:rsidRDefault="00F869DF" w:rsidP="002660B8">
            <w:pPr>
              <w:rPr>
                <w:rFonts w:eastAsia="Calibri" w:cs="Times New Roman"/>
                <w:color w:val="auto"/>
                <w:sz w:val="22"/>
              </w:rPr>
            </w:pPr>
          </w:p>
        </w:tc>
        <w:tc>
          <w:tcPr>
            <w:tcW w:w="907" w:type="dxa"/>
            <w:tcBorders>
              <w:right w:val="single" w:sz="4" w:space="0" w:color="FFFFFF" w:themeColor="background1"/>
            </w:tcBorders>
            <w:shd w:val="clear" w:color="auto" w:fill="E0DCCB"/>
            <w:vAlign w:val="center"/>
          </w:tcPr>
          <w:p w:rsidR="00F869DF" w:rsidRDefault="00F869DF" w:rsidP="005B5CBE">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2011-12</w:t>
            </w:r>
          </w:p>
          <w:p w:rsidR="00F869DF" w:rsidRDefault="00F869DF" w:rsidP="00F379BC">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907" w:type="dxa"/>
            <w:tcBorders>
              <w:left w:val="single" w:sz="4" w:space="0" w:color="FFFFFF" w:themeColor="background1"/>
              <w:right w:val="single" w:sz="4" w:space="0" w:color="FFFFFF" w:themeColor="background1"/>
            </w:tcBorders>
            <w:shd w:val="clear" w:color="auto" w:fill="E0DCCB"/>
            <w:vAlign w:val="center"/>
          </w:tcPr>
          <w:p w:rsidR="00F869DF" w:rsidRDefault="00F869DF" w:rsidP="005B5CBE">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2012-13</w:t>
            </w:r>
          </w:p>
          <w:p w:rsidR="00F869DF" w:rsidRDefault="00F869DF" w:rsidP="00F379BC">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907" w:type="dxa"/>
            <w:tcBorders>
              <w:top w:val="nil"/>
              <w:left w:val="single" w:sz="4" w:space="0" w:color="FFFFFF" w:themeColor="background1"/>
              <w:right w:val="single" w:sz="8" w:space="0" w:color="FFFFFF"/>
            </w:tcBorders>
            <w:shd w:val="clear" w:color="auto" w:fill="E0DCCB"/>
            <w:vAlign w:val="center"/>
            <w:hideMark/>
          </w:tcPr>
          <w:p w:rsidR="00F869DF" w:rsidRDefault="00F869DF"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2013-14</w:t>
            </w:r>
          </w:p>
          <w:p w:rsidR="00F869DF" w:rsidRDefault="00F869DF"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907" w:type="dxa"/>
            <w:tcBorders>
              <w:top w:val="nil"/>
              <w:left w:val="nil"/>
              <w:right w:val="single" w:sz="8" w:space="0" w:color="FFFFFF"/>
            </w:tcBorders>
            <w:shd w:val="clear" w:color="auto" w:fill="E0DCCB"/>
            <w:vAlign w:val="center"/>
            <w:hideMark/>
          </w:tcPr>
          <w:p w:rsidR="00F869DF" w:rsidRDefault="00F869DF"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p>
          <w:p w:rsidR="00F869DF" w:rsidRDefault="00F869DF"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Target</w:t>
            </w:r>
          </w:p>
        </w:tc>
        <w:tc>
          <w:tcPr>
            <w:tcW w:w="907" w:type="dxa"/>
            <w:tcBorders>
              <w:top w:val="nil"/>
              <w:left w:val="nil"/>
              <w:right w:val="single" w:sz="8" w:space="0" w:color="FFFFFF"/>
            </w:tcBorders>
            <w:shd w:val="clear" w:color="auto" w:fill="E0DCCB"/>
            <w:vAlign w:val="center"/>
            <w:hideMark/>
          </w:tcPr>
          <w:p w:rsidR="00F869DF" w:rsidRDefault="00F869DF"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p>
          <w:p w:rsidR="00F869DF" w:rsidRDefault="00F869DF"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992" w:type="dxa"/>
            <w:tcBorders>
              <w:top w:val="nil"/>
              <w:left w:val="nil"/>
              <w:right w:val="single" w:sz="8" w:space="0" w:color="FFFFFF"/>
            </w:tcBorders>
            <w:shd w:val="clear" w:color="auto" w:fill="E0DCCB"/>
            <w:vAlign w:val="center"/>
            <w:hideMark/>
          </w:tcPr>
          <w:p w:rsidR="00F869DF" w:rsidRDefault="00F869DF" w:rsidP="00F869DF">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r>
              <w:rPr>
                <w:rFonts w:ascii="Calibri" w:eastAsia="Times New Roman" w:hAnsi="Calibri" w:cs="Arial"/>
                <w:b/>
                <w:bCs/>
                <w:color w:val="4D4D4F"/>
                <w:sz w:val="22"/>
                <w:lang w:eastAsia="en-AU"/>
              </w:rPr>
              <w:br/>
              <w:t>Variance of Target to Actual</w:t>
            </w:r>
          </w:p>
        </w:tc>
        <w:tc>
          <w:tcPr>
            <w:tcW w:w="992" w:type="dxa"/>
            <w:tcBorders>
              <w:top w:val="nil"/>
              <w:left w:val="nil"/>
              <w:right w:val="single" w:sz="8" w:space="0" w:color="FFFFFF"/>
            </w:tcBorders>
            <w:shd w:val="clear" w:color="auto" w:fill="E0DCCB"/>
            <w:vAlign w:val="center"/>
            <w:hideMark/>
          </w:tcPr>
          <w:p w:rsidR="00F869DF" w:rsidRDefault="00F869DF" w:rsidP="00F869DF">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Variance of Actual</w:t>
            </w:r>
            <w:r>
              <w:rPr>
                <w:rFonts w:ascii="Calibri" w:eastAsia="Times New Roman" w:hAnsi="Calibri" w:cs="Arial"/>
                <w:b/>
                <w:bCs/>
                <w:color w:val="4D4D4F"/>
                <w:sz w:val="22"/>
                <w:lang w:eastAsia="en-AU"/>
              </w:rPr>
              <w:br/>
              <w:t xml:space="preserve">2013-14 and </w:t>
            </w:r>
            <w:r>
              <w:rPr>
                <w:rFonts w:ascii="Calibri" w:eastAsia="Times New Roman" w:hAnsi="Calibri" w:cs="Arial"/>
                <w:b/>
                <w:bCs/>
                <w:color w:val="4D4D4F"/>
                <w:sz w:val="22"/>
                <w:lang w:eastAsia="en-AU"/>
              </w:rPr>
              <w:br/>
              <w:t>2014-15</w:t>
            </w:r>
          </w:p>
        </w:tc>
      </w:tr>
      <w:tr w:rsidR="005B5CBE" w:rsidTr="003717E0">
        <w:trPr>
          <w:trHeight w:val="735"/>
        </w:trPr>
        <w:tc>
          <w:tcPr>
            <w:tcW w:w="1759" w:type="dxa"/>
            <w:shd w:val="clear" w:color="auto" w:fill="E0DCCB"/>
            <w:vAlign w:val="center"/>
            <w:hideMark/>
          </w:tcPr>
          <w:p w:rsidR="005B5CBE" w:rsidRDefault="005B5CBE" w:rsidP="002660B8">
            <w:pPr>
              <w:spacing w:line="240" w:lineRule="auto"/>
              <w:rPr>
                <w:rFonts w:ascii="Arial" w:eastAsia="Times New Roman" w:hAnsi="Arial" w:cs="Arial"/>
                <w:color w:val="4D4D4F"/>
                <w:sz w:val="22"/>
                <w:lang w:eastAsia="en-AU"/>
              </w:rPr>
            </w:pPr>
            <w:r>
              <w:rPr>
                <w:rFonts w:ascii="Arial" w:eastAsia="Times New Roman" w:hAnsi="Arial" w:cs="Arial"/>
                <w:color w:val="4D4D4F"/>
                <w:sz w:val="22"/>
                <w:lang w:eastAsia="en-AU"/>
              </w:rPr>
              <w:t xml:space="preserve">Percentage of assessments that met agreed timelines </w:t>
            </w:r>
          </w:p>
        </w:tc>
        <w:tc>
          <w:tcPr>
            <w:tcW w:w="907" w:type="dxa"/>
            <w:tcBorders>
              <w:bottom w:val="single" w:sz="4" w:space="0" w:color="E0DCCB" w:themeColor="accent4" w:themeTint="66"/>
              <w:right w:val="single" w:sz="4" w:space="0" w:color="E0DCCB" w:themeColor="accent4" w:themeTint="66"/>
            </w:tcBorders>
            <w:vAlign w:val="center"/>
          </w:tcPr>
          <w:p w:rsidR="005B5CBE" w:rsidRDefault="00F869DF" w:rsidP="00F869DF">
            <w:pPr>
              <w:spacing w:line="240" w:lineRule="auto"/>
              <w:jc w:val="center"/>
              <w:rPr>
                <w:rFonts w:ascii="Arial" w:eastAsia="Times New Roman" w:hAnsi="Arial" w:cstheme="minorHAnsi"/>
                <w:color w:val="4D4D4F"/>
                <w:sz w:val="22"/>
                <w:lang w:eastAsia="en-AU"/>
              </w:rPr>
            </w:pPr>
            <w:r>
              <w:rPr>
                <w:rFonts w:ascii="Arial" w:eastAsia="Times New Roman" w:hAnsi="Arial" w:cstheme="minorHAnsi"/>
                <w:color w:val="4D4D4F"/>
                <w:sz w:val="22"/>
                <w:lang w:eastAsia="en-AU"/>
              </w:rPr>
              <w:t>80%</w:t>
            </w:r>
          </w:p>
        </w:tc>
        <w:tc>
          <w:tcPr>
            <w:tcW w:w="907" w:type="dxa"/>
            <w:tcBorders>
              <w:left w:val="single" w:sz="4" w:space="0" w:color="E0DCCB" w:themeColor="accent4" w:themeTint="66"/>
              <w:bottom w:val="single" w:sz="4" w:space="0" w:color="E0DCCB" w:themeColor="accent4" w:themeTint="66"/>
              <w:right w:val="single" w:sz="4" w:space="0" w:color="E0DCCB" w:themeColor="accent4" w:themeTint="66"/>
            </w:tcBorders>
            <w:vAlign w:val="center"/>
          </w:tcPr>
          <w:p w:rsidR="005B5CBE" w:rsidRDefault="00F869DF" w:rsidP="00F869DF">
            <w:pPr>
              <w:spacing w:line="240" w:lineRule="auto"/>
              <w:jc w:val="center"/>
              <w:rPr>
                <w:rFonts w:ascii="Arial" w:eastAsia="Times New Roman" w:hAnsi="Arial" w:cstheme="minorHAnsi"/>
                <w:color w:val="4D4D4F"/>
                <w:sz w:val="22"/>
                <w:lang w:eastAsia="en-AU"/>
              </w:rPr>
            </w:pPr>
            <w:r>
              <w:rPr>
                <w:rFonts w:ascii="Arial" w:eastAsia="Times New Roman" w:hAnsi="Arial" w:cstheme="minorHAnsi"/>
                <w:color w:val="4D4D4F"/>
                <w:sz w:val="22"/>
                <w:lang w:eastAsia="en-AU"/>
              </w:rPr>
              <w:t>81%</w:t>
            </w:r>
          </w:p>
        </w:tc>
        <w:tc>
          <w:tcPr>
            <w:tcW w:w="907" w:type="dxa"/>
            <w:tcBorders>
              <w:top w:val="nil"/>
              <w:left w:val="single" w:sz="4" w:space="0" w:color="E0DCCB" w:themeColor="accent4" w:themeTint="66"/>
              <w:bottom w:val="single" w:sz="8" w:space="0" w:color="E0DCCB"/>
              <w:right w:val="single" w:sz="8" w:space="0" w:color="E0DCCB"/>
            </w:tcBorders>
            <w:noWrap/>
            <w:vAlign w:val="center"/>
            <w:hideMark/>
          </w:tcPr>
          <w:p w:rsidR="005B5CBE" w:rsidRDefault="005B5CBE" w:rsidP="00F869DF">
            <w:pPr>
              <w:spacing w:line="240" w:lineRule="auto"/>
              <w:jc w:val="center"/>
              <w:rPr>
                <w:rFonts w:ascii="Arial" w:eastAsia="Times New Roman" w:hAnsi="Arial" w:cs="Arial"/>
                <w:color w:val="4D4D4F"/>
                <w:sz w:val="22"/>
                <w:lang w:eastAsia="en-AU"/>
              </w:rPr>
            </w:pPr>
            <w:r>
              <w:rPr>
                <w:rFonts w:ascii="Arial" w:eastAsia="Times New Roman" w:hAnsi="Arial" w:cstheme="minorHAnsi"/>
                <w:color w:val="4D4D4F"/>
                <w:sz w:val="22"/>
                <w:lang w:eastAsia="en-AU"/>
              </w:rPr>
              <w:t>88%</w:t>
            </w:r>
          </w:p>
        </w:tc>
        <w:tc>
          <w:tcPr>
            <w:tcW w:w="907" w:type="dxa"/>
            <w:tcBorders>
              <w:top w:val="nil"/>
              <w:left w:val="nil"/>
              <w:bottom w:val="single" w:sz="8" w:space="0" w:color="E0DCCB"/>
              <w:right w:val="single" w:sz="8" w:space="0" w:color="E0DCCB"/>
            </w:tcBorders>
            <w:noWrap/>
            <w:vAlign w:val="center"/>
            <w:hideMark/>
          </w:tcPr>
          <w:p w:rsidR="005B5CBE" w:rsidRDefault="005B5CBE" w:rsidP="00F869DF">
            <w:pPr>
              <w:spacing w:line="240" w:lineRule="auto"/>
              <w:jc w:val="center"/>
              <w:rPr>
                <w:rFonts w:ascii="Arial" w:eastAsia="Times New Roman" w:hAnsi="Arial" w:cs="Arial"/>
                <w:color w:val="4D4D4F"/>
                <w:sz w:val="22"/>
                <w:lang w:eastAsia="en-AU"/>
              </w:rPr>
            </w:pPr>
            <w:r>
              <w:rPr>
                <w:rFonts w:ascii="Arial" w:eastAsia="Times New Roman" w:hAnsi="Arial" w:cstheme="minorHAnsi"/>
                <w:color w:val="4D4D4F"/>
                <w:sz w:val="22"/>
                <w:lang w:eastAsia="en-AU"/>
              </w:rPr>
              <w:t>80%</w:t>
            </w:r>
          </w:p>
        </w:tc>
        <w:tc>
          <w:tcPr>
            <w:tcW w:w="907" w:type="dxa"/>
            <w:tcBorders>
              <w:top w:val="nil"/>
              <w:left w:val="nil"/>
              <w:bottom w:val="single" w:sz="8" w:space="0" w:color="E0DCCB"/>
              <w:right w:val="single" w:sz="8" w:space="0" w:color="E0DCCB"/>
            </w:tcBorders>
            <w:shd w:val="clear" w:color="auto" w:fill="E0DCCB"/>
            <w:noWrap/>
            <w:vAlign w:val="center"/>
            <w:hideMark/>
          </w:tcPr>
          <w:p w:rsidR="005B5CBE" w:rsidRDefault="005B5CBE" w:rsidP="00F869DF">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100%</w:t>
            </w:r>
          </w:p>
        </w:tc>
        <w:tc>
          <w:tcPr>
            <w:tcW w:w="992" w:type="dxa"/>
            <w:tcBorders>
              <w:top w:val="nil"/>
              <w:left w:val="nil"/>
              <w:bottom w:val="single" w:sz="8" w:space="0" w:color="E0DCCB"/>
              <w:right w:val="single" w:sz="8" w:space="0" w:color="E0DCCB"/>
            </w:tcBorders>
            <w:noWrap/>
            <w:vAlign w:val="center"/>
            <w:hideMark/>
          </w:tcPr>
          <w:p w:rsidR="005B5CBE" w:rsidRDefault="005B5CBE" w:rsidP="00F869DF">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20%</w:t>
            </w:r>
          </w:p>
        </w:tc>
        <w:tc>
          <w:tcPr>
            <w:tcW w:w="992" w:type="dxa"/>
            <w:tcBorders>
              <w:top w:val="nil"/>
              <w:left w:val="nil"/>
              <w:bottom w:val="single" w:sz="8" w:space="0" w:color="E0DCCB"/>
              <w:right w:val="single" w:sz="8" w:space="0" w:color="E0DCCB"/>
            </w:tcBorders>
            <w:noWrap/>
            <w:vAlign w:val="center"/>
            <w:hideMark/>
          </w:tcPr>
          <w:p w:rsidR="005B5CBE" w:rsidRDefault="005B5CBE" w:rsidP="00F869DF">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12%</w:t>
            </w:r>
          </w:p>
        </w:tc>
      </w:tr>
    </w:tbl>
    <w:p w:rsidR="00FD259A" w:rsidRPr="00705837" w:rsidRDefault="00FD259A" w:rsidP="00705837">
      <w:pPr>
        <w:pStyle w:val="Heading4"/>
      </w:pPr>
      <w:r w:rsidRPr="00705837">
        <w:t>Explanatory Notes</w:t>
      </w:r>
    </w:p>
    <w:p w:rsidR="00F869DF" w:rsidRDefault="00F869DF" w:rsidP="00F869DF">
      <w:pPr>
        <w:pStyle w:val="Body"/>
      </w:pPr>
      <w:r>
        <w:t xml:space="preserve">Timelines for an assessment may vary according to the complexity of the project and are usually agreed with the proponent soon after the level of assessment is determined. </w:t>
      </w:r>
    </w:p>
    <w:p w:rsidR="00F869DF" w:rsidRDefault="00F869DF" w:rsidP="00F869DF">
      <w:pPr>
        <w:pStyle w:val="Body"/>
      </w:pPr>
      <w:r>
        <w:t>This KPI measures the OEPA’s effectiveness in completing the assessment advice to EPA in a timely manner.</w:t>
      </w:r>
    </w:p>
    <w:p w:rsidR="00F869DF" w:rsidRDefault="00F869DF" w:rsidP="00F869DF">
      <w:pPr>
        <w:pStyle w:val="Body"/>
      </w:pPr>
      <w:r>
        <w:t>The EPA has adopted a practice of publishing in its assessment report to the Minister whether EPA has met the timeline objective.</w:t>
      </w:r>
      <w:r w:rsidRPr="007A7E4D">
        <w:t xml:space="preserve"> </w:t>
      </w:r>
    </w:p>
    <w:p w:rsidR="00F869DF" w:rsidRDefault="00F869DF" w:rsidP="00F869DF">
      <w:pPr>
        <w:pStyle w:val="Body"/>
      </w:pPr>
      <w:r>
        <w:t>For calculation purposes the date of completion of the assessment is the date the EPA Chairman signs the report.</w:t>
      </w:r>
    </w:p>
    <w:p w:rsidR="00FD259A" w:rsidRDefault="00F869DF" w:rsidP="00F869DF">
      <w:pPr>
        <w:pStyle w:val="Body"/>
      </w:pPr>
      <w:r>
        <w:t>During 2014–15 – All 17 assessment agreed timelines were met in full</w:t>
      </w:r>
      <w:r w:rsidR="00FD259A">
        <w:t>.</w:t>
      </w:r>
    </w:p>
    <w:p w:rsidR="006F3284" w:rsidRDefault="006F3284" w:rsidP="00547DC7">
      <w:pPr>
        <w:pStyle w:val="KPIheading2"/>
      </w:pPr>
      <w:bookmarkStart w:id="314" w:name="_Toc427132259"/>
      <w:bookmarkStart w:id="315" w:name="_Toc427745960"/>
      <w:r>
        <w:t>Environmental management services to the EPA</w:t>
      </w:r>
      <w:bookmarkEnd w:id="314"/>
      <w:bookmarkEnd w:id="315"/>
    </w:p>
    <w:p w:rsidR="00FD259A" w:rsidRPr="00E60989" w:rsidRDefault="00FD259A" w:rsidP="00547DC7">
      <w:pPr>
        <w:pStyle w:val="KPIsubheading"/>
        <w:ind w:left="1560" w:hanging="426"/>
      </w:pPr>
      <w:bookmarkStart w:id="316" w:name="_Toc427745961"/>
      <w:bookmarkStart w:id="317" w:name="_Toc428270983"/>
      <w:r w:rsidRPr="00E60989">
        <w:t>The EPA’s satisfaction with the OEPA’s provision of environmental management services during the year</w:t>
      </w:r>
      <w:r w:rsidR="00E60989">
        <w:t>.</w:t>
      </w:r>
      <w:bookmarkEnd w:id="316"/>
      <w:bookmarkEnd w:id="317"/>
    </w:p>
    <w:tbl>
      <w:tblPr>
        <w:tblW w:w="8223" w:type="dxa"/>
        <w:tblInd w:w="1241" w:type="dxa"/>
        <w:tblLayout w:type="fixed"/>
        <w:tblCellMar>
          <w:top w:w="28" w:type="dxa"/>
          <w:left w:w="85" w:type="dxa"/>
          <w:bottom w:w="28" w:type="dxa"/>
          <w:right w:w="85" w:type="dxa"/>
        </w:tblCellMar>
        <w:tblLook w:val="04A0" w:firstRow="1" w:lastRow="0" w:firstColumn="1" w:lastColumn="0" w:noHBand="0" w:noVBand="1"/>
      </w:tblPr>
      <w:tblGrid>
        <w:gridCol w:w="3120"/>
        <w:gridCol w:w="992"/>
        <w:gridCol w:w="992"/>
        <w:gridCol w:w="993"/>
        <w:gridCol w:w="1134"/>
        <w:gridCol w:w="992"/>
      </w:tblGrid>
      <w:tr w:rsidR="00332258" w:rsidTr="003717E0">
        <w:trPr>
          <w:trHeight w:val="1799"/>
        </w:trPr>
        <w:tc>
          <w:tcPr>
            <w:tcW w:w="3120" w:type="dxa"/>
            <w:noWrap/>
            <w:vAlign w:val="bottom"/>
            <w:hideMark/>
          </w:tcPr>
          <w:p w:rsidR="00332258" w:rsidRDefault="00332258" w:rsidP="002660B8">
            <w:pPr>
              <w:rPr>
                <w:rFonts w:eastAsia="Calibri" w:cs="Times New Roman"/>
                <w:color w:val="auto"/>
                <w:sz w:val="22"/>
              </w:rPr>
            </w:pPr>
          </w:p>
        </w:tc>
        <w:tc>
          <w:tcPr>
            <w:tcW w:w="992" w:type="dxa"/>
            <w:tcBorders>
              <w:top w:val="nil"/>
              <w:left w:val="nil"/>
              <w:right w:val="single" w:sz="8" w:space="0" w:color="FFFFFF"/>
            </w:tcBorders>
            <w:shd w:val="clear" w:color="auto" w:fill="E0DCCB"/>
            <w:vAlign w:val="center"/>
            <w:hideMark/>
          </w:tcPr>
          <w:p w:rsidR="00332258" w:rsidRDefault="00332258"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2013-14</w:t>
            </w:r>
          </w:p>
          <w:p w:rsidR="00332258" w:rsidRDefault="00332258"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992" w:type="dxa"/>
            <w:tcBorders>
              <w:top w:val="nil"/>
              <w:left w:val="nil"/>
              <w:right w:val="single" w:sz="8" w:space="0" w:color="FFFFFF"/>
            </w:tcBorders>
            <w:shd w:val="clear" w:color="auto" w:fill="E0DCCB"/>
            <w:vAlign w:val="center"/>
            <w:hideMark/>
          </w:tcPr>
          <w:p w:rsidR="00332258" w:rsidRDefault="00332258"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p>
          <w:p w:rsidR="00332258" w:rsidRDefault="00332258"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Target</w:t>
            </w:r>
          </w:p>
        </w:tc>
        <w:tc>
          <w:tcPr>
            <w:tcW w:w="993" w:type="dxa"/>
            <w:tcBorders>
              <w:top w:val="nil"/>
              <w:left w:val="nil"/>
              <w:right w:val="single" w:sz="8" w:space="0" w:color="FFFFFF"/>
            </w:tcBorders>
            <w:shd w:val="clear" w:color="auto" w:fill="E0DCCB"/>
            <w:vAlign w:val="center"/>
            <w:hideMark/>
          </w:tcPr>
          <w:p w:rsidR="00332258" w:rsidRDefault="00332258"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p>
          <w:p w:rsidR="00332258" w:rsidRDefault="00332258"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1134" w:type="dxa"/>
            <w:tcBorders>
              <w:top w:val="nil"/>
              <w:left w:val="nil"/>
              <w:right w:val="single" w:sz="8" w:space="0" w:color="FFFFFF"/>
            </w:tcBorders>
            <w:shd w:val="clear" w:color="auto" w:fill="E0DCCB"/>
            <w:vAlign w:val="center"/>
            <w:hideMark/>
          </w:tcPr>
          <w:p w:rsidR="00332258" w:rsidRDefault="00332258" w:rsidP="0033225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r>
              <w:rPr>
                <w:rFonts w:ascii="Calibri" w:eastAsia="Times New Roman" w:hAnsi="Calibri" w:cs="Arial"/>
                <w:b/>
                <w:bCs/>
                <w:color w:val="4D4D4F"/>
                <w:sz w:val="22"/>
                <w:lang w:eastAsia="en-AU"/>
              </w:rPr>
              <w:br/>
              <w:t>Variance of Target to Actual</w:t>
            </w:r>
          </w:p>
        </w:tc>
        <w:tc>
          <w:tcPr>
            <w:tcW w:w="992" w:type="dxa"/>
            <w:tcBorders>
              <w:top w:val="nil"/>
              <w:left w:val="nil"/>
              <w:right w:val="single" w:sz="8" w:space="0" w:color="FFFFFF"/>
            </w:tcBorders>
            <w:shd w:val="clear" w:color="auto" w:fill="E0DCCB"/>
            <w:vAlign w:val="center"/>
            <w:hideMark/>
          </w:tcPr>
          <w:p w:rsidR="00332258" w:rsidRDefault="00332258" w:rsidP="0033225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Variance of Actual</w:t>
            </w:r>
            <w:r>
              <w:rPr>
                <w:rFonts w:ascii="Calibri" w:eastAsia="Times New Roman" w:hAnsi="Calibri" w:cs="Arial"/>
                <w:b/>
                <w:bCs/>
                <w:color w:val="4D4D4F"/>
                <w:sz w:val="22"/>
                <w:lang w:eastAsia="en-AU"/>
              </w:rPr>
              <w:br/>
              <w:t xml:space="preserve">2013-14 and </w:t>
            </w:r>
            <w:r>
              <w:rPr>
                <w:rFonts w:ascii="Calibri" w:eastAsia="Times New Roman" w:hAnsi="Calibri" w:cs="Arial"/>
                <w:b/>
                <w:bCs/>
                <w:color w:val="4D4D4F"/>
                <w:sz w:val="22"/>
                <w:lang w:eastAsia="en-AU"/>
              </w:rPr>
              <w:br/>
              <w:t>2014-15</w:t>
            </w:r>
          </w:p>
        </w:tc>
      </w:tr>
      <w:tr w:rsidR="00FD259A" w:rsidTr="003717E0">
        <w:trPr>
          <w:trHeight w:val="825"/>
        </w:trPr>
        <w:tc>
          <w:tcPr>
            <w:tcW w:w="3120" w:type="dxa"/>
            <w:shd w:val="clear" w:color="auto" w:fill="E0DCCB"/>
            <w:vAlign w:val="center"/>
            <w:hideMark/>
          </w:tcPr>
          <w:p w:rsidR="00FD259A" w:rsidRDefault="00FD259A" w:rsidP="002660B8">
            <w:pPr>
              <w:spacing w:line="240" w:lineRule="auto"/>
              <w:rPr>
                <w:rFonts w:ascii="Arial" w:eastAsia="Times New Roman" w:hAnsi="Arial" w:cs="Arial"/>
                <w:color w:val="4D4D4F"/>
                <w:sz w:val="22"/>
                <w:lang w:eastAsia="en-AU"/>
              </w:rPr>
            </w:pPr>
            <w:r>
              <w:rPr>
                <w:rFonts w:ascii="Arial" w:eastAsia="Times New Roman" w:hAnsi="Arial" w:cs="Arial"/>
                <w:color w:val="4D4D4F"/>
                <w:sz w:val="22"/>
                <w:lang w:eastAsia="en-AU"/>
              </w:rPr>
              <w:t xml:space="preserve">The EPA's satisfaction with the OEPA's provision of environmental management services during the year </w:t>
            </w:r>
          </w:p>
        </w:tc>
        <w:tc>
          <w:tcPr>
            <w:tcW w:w="992" w:type="dxa"/>
            <w:tcBorders>
              <w:top w:val="nil"/>
              <w:left w:val="nil"/>
              <w:bottom w:val="single" w:sz="4" w:space="0" w:color="E0DCCB" w:themeColor="accent4" w:themeTint="66"/>
              <w:right w:val="single" w:sz="8" w:space="0" w:color="E0DCCB"/>
            </w:tcBorders>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theme="minorHAnsi"/>
                <w:color w:val="4D4D4F"/>
                <w:sz w:val="22"/>
                <w:lang w:eastAsia="en-AU"/>
              </w:rPr>
              <w:t>n/a</w:t>
            </w:r>
          </w:p>
        </w:tc>
        <w:tc>
          <w:tcPr>
            <w:tcW w:w="992" w:type="dxa"/>
            <w:tcBorders>
              <w:top w:val="nil"/>
              <w:left w:val="nil"/>
              <w:bottom w:val="single" w:sz="4" w:space="0" w:color="E0DCCB" w:themeColor="accent4" w:themeTint="66"/>
              <w:right w:val="single" w:sz="8" w:space="0" w:color="E0DCCB"/>
            </w:tcBorders>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80%</w:t>
            </w:r>
          </w:p>
        </w:tc>
        <w:tc>
          <w:tcPr>
            <w:tcW w:w="993" w:type="dxa"/>
            <w:tcBorders>
              <w:top w:val="nil"/>
              <w:left w:val="nil"/>
              <w:bottom w:val="single" w:sz="4" w:space="0" w:color="E0DCCB" w:themeColor="accent4" w:themeTint="66"/>
              <w:right w:val="single" w:sz="8" w:space="0" w:color="E0DCCB"/>
            </w:tcBorders>
            <w:shd w:val="clear" w:color="auto" w:fill="E0DCCB"/>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92% </w:t>
            </w:r>
          </w:p>
        </w:tc>
        <w:tc>
          <w:tcPr>
            <w:tcW w:w="1134" w:type="dxa"/>
            <w:tcBorders>
              <w:top w:val="nil"/>
              <w:left w:val="nil"/>
              <w:bottom w:val="single" w:sz="4" w:space="0" w:color="E0DCCB" w:themeColor="accent4" w:themeTint="66"/>
              <w:right w:val="single" w:sz="8" w:space="0" w:color="E0DCCB"/>
            </w:tcBorders>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12% </w:t>
            </w:r>
          </w:p>
        </w:tc>
        <w:tc>
          <w:tcPr>
            <w:tcW w:w="992" w:type="dxa"/>
            <w:tcBorders>
              <w:top w:val="nil"/>
              <w:left w:val="nil"/>
              <w:bottom w:val="single" w:sz="4" w:space="0" w:color="E0DCCB" w:themeColor="accent4" w:themeTint="66"/>
              <w:right w:val="single" w:sz="8" w:space="0" w:color="E0DCCB"/>
            </w:tcBorders>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n/a </w:t>
            </w:r>
          </w:p>
        </w:tc>
      </w:tr>
    </w:tbl>
    <w:p w:rsidR="00FD259A" w:rsidRPr="00E60989" w:rsidRDefault="00FD259A" w:rsidP="00E60989">
      <w:pPr>
        <w:pStyle w:val="Heading4"/>
      </w:pPr>
      <w:r w:rsidRPr="00E60989">
        <w:lastRenderedPageBreak/>
        <w:t>Explanatory Notes</w:t>
      </w:r>
    </w:p>
    <w:p w:rsidR="006F3284" w:rsidRDefault="006F3284" w:rsidP="006F3284">
      <w:pPr>
        <w:pStyle w:val="Body"/>
      </w:pPr>
      <w:r>
        <w:t>The OEPA undertakes a range of environment management services to the EPA, including preparing policies, guidelines and strategic advice. The EPA determines the quality of the environmental management services provided by the OEPA by rating each product after it has been considered.</w:t>
      </w:r>
    </w:p>
    <w:p w:rsidR="006F3284" w:rsidRDefault="006F3284" w:rsidP="006F3284">
      <w:pPr>
        <w:pStyle w:val="Body"/>
      </w:pPr>
      <w:r>
        <w:t>This effectiveness indicator measures the EPA’s rating of the quality of the OEPA’s environmental management services in comparison with desirable underlying qualities.</w:t>
      </w:r>
    </w:p>
    <w:p w:rsidR="006F3284" w:rsidRDefault="006F3284" w:rsidP="006F3284">
      <w:pPr>
        <w:pStyle w:val="Body"/>
      </w:pPr>
      <w:r>
        <w:t xml:space="preserve">Each of the members of the EPA who participate in a decision rates the product on a scale of one to five (poor to excellent) and the scores of each member are averaged, combined and proportionally adjusted to a percentage. The final indicator is the average rating awarded to all environmental management services endorsed by the EPA during the period, representing its overall satisfaction with the environmental management services provided by the OEPA. </w:t>
      </w:r>
    </w:p>
    <w:p w:rsidR="00FD259A" w:rsidRDefault="006F3284" w:rsidP="006F3284">
      <w:pPr>
        <w:pStyle w:val="Body"/>
      </w:pPr>
      <w:r>
        <w:t>This is a new indicator which has not been previously measured. As such, there was not good information on which to base the target for the year. The level of satisfaction has been higher than forecast</w:t>
      </w:r>
      <w:r w:rsidR="00FD259A">
        <w:t>.</w:t>
      </w:r>
    </w:p>
    <w:p w:rsidR="006F3284" w:rsidRDefault="006F3284" w:rsidP="006F3284">
      <w:pPr>
        <w:pStyle w:val="Heading2"/>
      </w:pPr>
      <w:bookmarkStart w:id="318" w:name="_Toc427132260"/>
      <w:bookmarkStart w:id="319" w:name="_Toc427745962"/>
      <w:bookmarkStart w:id="320" w:name="_Toc428279217"/>
      <w:r>
        <w:t>Compliance monitoring services to the Minister</w:t>
      </w:r>
      <w:bookmarkEnd w:id="318"/>
      <w:bookmarkEnd w:id="319"/>
      <w:bookmarkEnd w:id="320"/>
    </w:p>
    <w:p w:rsidR="006F3284" w:rsidRDefault="006F3284" w:rsidP="006F3284">
      <w:pPr>
        <w:pStyle w:val="Body"/>
      </w:pPr>
      <w:r>
        <w:t xml:space="preserve">The OEPA’s provision of compliance services to the Minister under section 47 and 48 of the </w:t>
      </w:r>
      <w:r w:rsidRPr="00BA5152">
        <w:rPr>
          <w:i/>
        </w:rPr>
        <w:t>Environmental Protection (EP) Act</w:t>
      </w:r>
      <w:r>
        <w:rPr>
          <w:i/>
        </w:rPr>
        <w:t>.</w:t>
      </w:r>
      <w:r>
        <w:t xml:space="preserve"> </w:t>
      </w:r>
    </w:p>
    <w:p w:rsidR="00FD259A" w:rsidRDefault="006F3284" w:rsidP="006F3284">
      <w:pPr>
        <w:pStyle w:val="Body"/>
      </w:pPr>
      <w:r>
        <w:t>The OEPA monitors compliance with conditions and informs Minister when such conditions are no longer met.</w:t>
      </w:r>
    </w:p>
    <w:p w:rsidR="00FD259A" w:rsidRPr="00E60989" w:rsidRDefault="00FD259A" w:rsidP="00547DC7">
      <w:pPr>
        <w:pStyle w:val="KPIsubheading"/>
      </w:pPr>
      <w:bookmarkStart w:id="321" w:name="_Toc427745963"/>
      <w:bookmarkStart w:id="322" w:name="_Toc428270985"/>
      <w:r w:rsidRPr="00E60989">
        <w:t>Percentage of all projects that have been audited that are compliant with the Ministerial condi</w:t>
      </w:r>
      <w:r w:rsidR="00E60989">
        <w:t>tions.</w:t>
      </w:r>
      <w:bookmarkEnd w:id="321"/>
      <w:bookmarkEnd w:id="322"/>
    </w:p>
    <w:tbl>
      <w:tblPr>
        <w:tblW w:w="8357" w:type="dxa"/>
        <w:tblInd w:w="1219" w:type="dxa"/>
        <w:tblLayout w:type="fixed"/>
        <w:tblCellMar>
          <w:top w:w="28" w:type="dxa"/>
          <w:left w:w="85" w:type="dxa"/>
          <w:bottom w:w="28" w:type="dxa"/>
          <w:right w:w="85" w:type="dxa"/>
        </w:tblCellMar>
        <w:tblLook w:val="04A0" w:firstRow="1" w:lastRow="0" w:firstColumn="1" w:lastColumn="0" w:noHBand="0" w:noVBand="1"/>
      </w:tblPr>
      <w:tblGrid>
        <w:gridCol w:w="1838"/>
        <w:gridCol w:w="907"/>
        <w:gridCol w:w="907"/>
        <w:gridCol w:w="907"/>
        <w:gridCol w:w="907"/>
        <w:gridCol w:w="907"/>
        <w:gridCol w:w="992"/>
        <w:gridCol w:w="992"/>
      </w:tblGrid>
      <w:tr w:rsidR="00332258" w:rsidTr="003717E0">
        <w:trPr>
          <w:trHeight w:val="1799"/>
        </w:trPr>
        <w:tc>
          <w:tcPr>
            <w:tcW w:w="1838" w:type="dxa"/>
            <w:noWrap/>
            <w:vAlign w:val="center"/>
            <w:hideMark/>
          </w:tcPr>
          <w:p w:rsidR="00332258" w:rsidRDefault="00332258" w:rsidP="00332258">
            <w:pPr>
              <w:jc w:val="center"/>
              <w:rPr>
                <w:rFonts w:eastAsia="Calibri" w:cs="Times New Roman"/>
                <w:color w:val="auto"/>
                <w:sz w:val="22"/>
              </w:rPr>
            </w:pPr>
          </w:p>
        </w:tc>
        <w:tc>
          <w:tcPr>
            <w:tcW w:w="907" w:type="dxa"/>
            <w:tcBorders>
              <w:right w:val="single" w:sz="4" w:space="0" w:color="FFFFFF" w:themeColor="background1"/>
            </w:tcBorders>
            <w:shd w:val="clear" w:color="auto" w:fill="E0DCCB"/>
            <w:vAlign w:val="center"/>
          </w:tcPr>
          <w:p w:rsidR="00332258" w:rsidRPr="002A75EF" w:rsidRDefault="00332258" w:rsidP="00332258">
            <w:pPr>
              <w:spacing w:line="240" w:lineRule="auto"/>
              <w:jc w:val="center"/>
              <w:rPr>
                <w:rFonts w:ascii="Calibri" w:eastAsia="Times New Roman" w:hAnsi="Calibri" w:cs="Arial"/>
                <w:b/>
                <w:bCs/>
                <w:color w:val="4D4D4F"/>
              </w:rPr>
            </w:pPr>
            <w:r w:rsidRPr="002A75EF">
              <w:rPr>
                <w:rFonts w:ascii="Calibri" w:eastAsia="Times New Roman" w:hAnsi="Calibri" w:cs="Arial"/>
                <w:b/>
                <w:bCs/>
                <w:color w:val="4D4D4F"/>
                <w:sz w:val="22"/>
                <w:lang w:eastAsia="en-AU"/>
              </w:rPr>
              <w:t>201</w:t>
            </w:r>
            <w:r>
              <w:rPr>
                <w:rFonts w:ascii="Calibri" w:eastAsia="Times New Roman" w:hAnsi="Calibri" w:cs="Arial"/>
                <w:b/>
                <w:bCs/>
                <w:color w:val="4D4D4F"/>
                <w:sz w:val="22"/>
                <w:lang w:eastAsia="en-AU"/>
              </w:rPr>
              <w:t>1</w:t>
            </w:r>
            <w:r w:rsidRPr="002A75EF">
              <w:rPr>
                <w:rFonts w:ascii="Calibri" w:eastAsia="Times New Roman" w:hAnsi="Calibri" w:cs="Arial"/>
                <w:b/>
                <w:bCs/>
                <w:color w:val="4D4D4F"/>
                <w:sz w:val="22"/>
                <w:lang w:eastAsia="en-AU"/>
              </w:rPr>
              <w:t>-1</w:t>
            </w:r>
            <w:r>
              <w:rPr>
                <w:rFonts w:ascii="Calibri" w:eastAsia="Times New Roman" w:hAnsi="Calibri" w:cs="Arial"/>
                <w:b/>
                <w:bCs/>
                <w:color w:val="4D4D4F"/>
                <w:sz w:val="22"/>
                <w:lang w:eastAsia="en-AU"/>
              </w:rPr>
              <w:t>2</w:t>
            </w:r>
          </w:p>
          <w:p w:rsidR="00332258" w:rsidRPr="002A75EF" w:rsidRDefault="00332258" w:rsidP="00332258">
            <w:pPr>
              <w:jc w:val="center"/>
              <w:rPr>
                <w:rFonts w:ascii="Calibri" w:eastAsia="Times New Roman" w:hAnsi="Calibri" w:cs="Arial"/>
                <w:b/>
                <w:bCs/>
                <w:color w:val="4D4D4F"/>
              </w:rPr>
            </w:pPr>
            <w:r w:rsidRPr="002A75EF">
              <w:rPr>
                <w:rFonts w:ascii="Calibri" w:eastAsia="Times New Roman" w:hAnsi="Calibri" w:cs="Arial"/>
                <w:b/>
                <w:bCs/>
                <w:color w:val="4D4D4F"/>
                <w:sz w:val="22"/>
                <w:lang w:eastAsia="en-AU"/>
              </w:rPr>
              <w:t>Actual</w:t>
            </w:r>
          </w:p>
        </w:tc>
        <w:tc>
          <w:tcPr>
            <w:tcW w:w="907" w:type="dxa"/>
            <w:tcBorders>
              <w:left w:val="single" w:sz="4" w:space="0" w:color="FFFFFF" w:themeColor="background1"/>
              <w:right w:val="single" w:sz="4" w:space="0" w:color="FFFFFF" w:themeColor="background1"/>
            </w:tcBorders>
            <w:shd w:val="clear" w:color="auto" w:fill="E0DCCB"/>
            <w:vAlign w:val="center"/>
          </w:tcPr>
          <w:p w:rsidR="00332258" w:rsidRPr="00895A5E" w:rsidRDefault="00332258" w:rsidP="00332258">
            <w:pPr>
              <w:spacing w:line="240" w:lineRule="auto"/>
              <w:jc w:val="center"/>
              <w:rPr>
                <w:rFonts w:ascii="Calibri" w:eastAsia="Times New Roman" w:hAnsi="Calibri" w:cs="Arial"/>
                <w:b/>
                <w:bCs/>
                <w:color w:val="4D4D4F"/>
              </w:rPr>
            </w:pPr>
            <w:r w:rsidRPr="00895A5E">
              <w:rPr>
                <w:rFonts w:ascii="Calibri" w:eastAsia="Times New Roman" w:hAnsi="Calibri" w:cs="Arial"/>
                <w:b/>
                <w:bCs/>
                <w:color w:val="4D4D4F"/>
                <w:sz w:val="22"/>
                <w:lang w:eastAsia="en-AU"/>
              </w:rPr>
              <w:t>201</w:t>
            </w:r>
            <w:r>
              <w:rPr>
                <w:rFonts w:ascii="Calibri" w:eastAsia="Times New Roman" w:hAnsi="Calibri" w:cs="Arial"/>
                <w:b/>
                <w:bCs/>
                <w:color w:val="4D4D4F"/>
                <w:sz w:val="22"/>
                <w:lang w:eastAsia="en-AU"/>
              </w:rPr>
              <w:t>2</w:t>
            </w:r>
            <w:r w:rsidRPr="00895A5E">
              <w:rPr>
                <w:rFonts w:ascii="Calibri" w:eastAsia="Times New Roman" w:hAnsi="Calibri" w:cs="Arial"/>
                <w:b/>
                <w:bCs/>
                <w:color w:val="4D4D4F"/>
                <w:sz w:val="22"/>
                <w:lang w:eastAsia="en-AU"/>
              </w:rPr>
              <w:t>-1</w:t>
            </w:r>
            <w:r>
              <w:rPr>
                <w:rFonts w:ascii="Calibri" w:eastAsia="Times New Roman" w:hAnsi="Calibri" w:cs="Arial"/>
                <w:b/>
                <w:bCs/>
                <w:color w:val="4D4D4F"/>
                <w:sz w:val="22"/>
                <w:lang w:eastAsia="en-AU"/>
              </w:rPr>
              <w:t>3</w:t>
            </w:r>
          </w:p>
          <w:p w:rsidR="00332258" w:rsidRPr="00895A5E" w:rsidRDefault="00332258" w:rsidP="00332258">
            <w:pPr>
              <w:jc w:val="center"/>
              <w:rPr>
                <w:rFonts w:ascii="Calibri" w:eastAsia="Times New Roman" w:hAnsi="Calibri" w:cs="Arial"/>
                <w:b/>
                <w:bCs/>
                <w:color w:val="4D4D4F"/>
              </w:rPr>
            </w:pPr>
            <w:r w:rsidRPr="00895A5E">
              <w:rPr>
                <w:rFonts w:ascii="Calibri" w:eastAsia="Times New Roman" w:hAnsi="Calibri" w:cs="Arial"/>
                <w:b/>
                <w:bCs/>
                <w:color w:val="4D4D4F"/>
                <w:sz w:val="22"/>
                <w:lang w:eastAsia="en-AU"/>
              </w:rPr>
              <w:t>Actual</w:t>
            </w:r>
          </w:p>
        </w:tc>
        <w:tc>
          <w:tcPr>
            <w:tcW w:w="907" w:type="dxa"/>
            <w:tcBorders>
              <w:top w:val="nil"/>
              <w:left w:val="single" w:sz="4" w:space="0" w:color="FFFFFF" w:themeColor="background1"/>
              <w:right w:val="single" w:sz="8" w:space="0" w:color="FFFFFF"/>
            </w:tcBorders>
            <w:shd w:val="clear" w:color="auto" w:fill="E0DCCB"/>
            <w:vAlign w:val="center"/>
            <w:hideMark/>
          </w:tcPr>
          <w:p w:rsidR="00332258" w:rsidRDefault="00332258" w:rsidP="0033225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2013-14</w:t>
            </w:r>
          </w:p>
          <w:p w:rsidR="00332258" w:rsidRDefault="00332258" w:rsidP="0033225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907" w:type="dxa"/>
            <w:tcBorders>
              <w:top w:val="nil"/>
              <w:left w:val="nil"/>
              <w:right w:val="single" w:sz="8" w:space="0" w:color="FFFFFF"/>
            </w:tcBorders>
            <w:shd w:val="clear" w:color="auto" w:fill="E0DCCB"/>
            <w:vAlign w:val="center"/>
            <w:hideMark/>
          </w:tcPr>
          <w:p w:rsidR="00332258" w:rsidRDefault="00332258" w:rsidP="0033225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p>
          <w:p w:rsidR="00332258" w:rsidRDefault="00332258" w:rsidP="0033225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Target</w:t>
            </w:r>
          </w:p>
        </w:tc>
        <w:tc>
          <w:tcPr>
            <w:tcW w:w="907" w:type="dxa"/>
            <w:tcBorders>
              <w:top w:val="nil"/>
              <w:left w:val="nil"/>
              <w:right w:val="single" w:sz="8" w:space="0" w:color="FFFFFF"/>
            </w:tcBorders>
            <w:shd w:val="clear" w:color="auto" w:fill="E0DCCB"/>
            <w:vAlign w:val="center"/>
            <w:hideMark/>
          </w:tcPr>
          <w:p w:rsidR="00332258" w:rsidRDefault="00332258" w:rsidP="0033225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p>
          <w:p w:rsidR="00332258" w:rsidRDefault="00332258" w:rsidP="0033225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992" w:type="dxa"/>
            <w:tcBorders>
              <w:top w:val="nil"/>
              <w:left w:val="nil"/>
              <w:right w:val="single" w:sz="8" w:space="0" w:color="FFFFFF"/>
            </w:tcBorders>
            <w:shd w:val="clear" w:color="auto" w:fill="E0DCCB"/>
            <w:vAlign w:val="center"/>
            <w:hideMark/>
          </w:tcPr>
          <w:p w:rsidR="00332258" w:rsidRDefault="00332258" w:rsidP="0033225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r>
              <w:rPr>
                <w:rFonts w:ascii="Calibri" w:eastAsia="Times New Roman" w:hAnsi="Calibri" w:cs="Arial"/>
                <w:b/>
                <w:bCs/>
                <w:color w:val="4D4D4F"/>
                <w:sz w:val="22"/>
                <w:lang w:eastAsia="en-AU"/>
              </w:rPr>
              <w:br/>
              <w:t>Variance of Target to Actual</w:t>
            </w:r>
          </w:p>
        </w:tc>
        <w:tc>
          <w:tcPr>
            <w:tcW w:w="992" w:type="dxa"/>
            <w:tcBorders>
              <w:top w:val="nil"/>
              <w:left w:val="nil"/>
              <w:right w:val="single" w:sz="8" w:space="0" w:color="FFFFFF"/>
            </w:tcBorders>
            <w:shd w:val="clear" w:color="auto" w:fill="E0DCCB"/>
            <w:vAlign w:val="center"/>
            <w:hideMark/>
          </w:tcPr>
          <w:p w:rsidR="00332258" w:rsidRDefault="00332258" w:rsidP="0033225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Variance of Actual</w:t>
            </w:r>
            <w:r>
              <w:rPr>
                <w:rFonts w:ascii="Calibri" w:eastAsia="Times New Roman" w:hAnsi="Calibri" w:cs="Arial"/>
                <w:b/>
                <w:bCs/>
                <w:color w:val="4D4D4F"/>
                <w:sz w:val="22"/>
                <w:lang w:eastAsia="en-AU"/>
              </w:rPr>
              <w:br/>
              <w:t xml:space="preserve">2013-14 and </w:t>
            </w:r>
            <w:r>
              <w:rPr>
                <w:rFonts w:ascii="Calibri" w:eastAsia="Times New Roman" w:hAnsi="Calibri" w:cs="Arial"/>
                <w:b/>
                <w:bCs/>
                <w:color w:val="4D4D4F"/>
                <w:sz w:val="22"/>
                <w:lang w:eastAsia="en-AU"/>
              </w:rPr>
              <w:br/>
              <w:t>2014-15</w:t>
            </w:r>
          </w:p>
        </w:tc>
      </w:tr>
      <w:tr w:rsidR="006F3284" w:rsidTr="003717E0">
        <w:trPr>
          <w:trHeight w:val="780"/>
        </w:trPr>
        <w:tc>
          <w:tcPr>
            <w:tcW w:w="1838" w:type="dxa"/>
            <w:shd w:val="clear" w:color="auto" w:fill="E0DCCB"/>
            <w:vAlign w:val="center"/>
            <w:hideMark/>
          </w:tcPr>
          <w:p w:rsidR="006F3284" w:rsidRDefault="006F3284" w:rsidP="002660B8">
            <w:pPr>
              <w:spacing w:line="240" w:lineRule="auto"/>
              <w:rPr>
                <w:rFonts w:ascii="Arial" w:eastAsia="Times New Roman" w:hAnsi="Arial" w:cs="Arial"/>
                <w:color w:val="4D4D4F"/>
                <w:sz w:val="22"/>
                <w:lang w:eastAsia="en-AU"/>
              </w:rPr>
            </w:pPr>
            <w:r>
              <w:rPr>
                <w:rFonts w:ascii="Arial" w:eastAsia="Times New Roman" w:hAnsi="Arial" w:cs="Arial"/>
                <w:color w:val="4D4D4F"/>
                <w:sz w:val="22"/>
                <w:lang w:eastAsia="en-AU"/>
              </w:rPr>
              <w:t xml:space="preserve">Percentage of all projects that have been audited that are compliant with the Ministerial conditions </w:t>
            </w:r>
          </w:p>
        </w:tc>
        <w:tc>
          <w:tcPr>
            <w:tcW w:w="907" w:type="dxa"/>
            <w:tcBorders>
              <w:bottom w:val="single" w:sz="4" w:space="0" w:color="E0DCCB" w:themeColor="accent4" w:themeTint="66"/>
              <w:right w:val="single" w:sz="4" w:space="0" w:color="E0DCCB" w:themeColor="accent4" w:themeTint="66"/>
            </w:tcBorders>
            <w:vAlign w:val="center"/>
          </w:tcPr>
          <w:p w:rsidR="006F3284" w:rsidRDefault="007061D9" w:rsidP="007061D9">
            <w:pPr>
              <w:spacing w:line="240" w:lineRule="auto"/>
              <w:jc w:val="center"/>
              <w:rPr>
                <w:rFonts w:ascii="Arial" w:eastAsia="Times New Roman" w:hAnsi="Arial" w:cstheme="minorHAnsi"/>
                <w:color w:val="4D4D4F"/>
                <w:sz w:val="22"/>
                <w:lang w:eastAsia="en-AU"/>
              </w:rPr>
            </w:pPr>
            <w:r>
              <w:rPr>
                <w:rFonts w:ascii="Arial" w:eastAsia="Times New Roman" w:hAnsi="Arial" w:cstheme="minorHAnsi"/>
                <w:color w:val="4D4D4F"/>
                <w:sz w:val="22"/>
                <w:lang w:eastAsia="en-AU"/>
              </w:rPr>
              <w:t>87%</w:t>
            </w:r>
          </w:p>
        </w:tc>
        <w:tc>
          <w:tcPr>
            <w:tcW w:w="907" w:type="dxa"/>
            <w:tcBorders>
              <w:left w:val="single" w:sz="4" w:space="0" w:color="E0DCCB" w:themeColor="accent4" w:themeTint="66"/>
              <w:bottom w:val="single" w:sz="4" w:space="0" w:color="E0DCCB" w:themeColor="accent4" w:themeTint="66"/>
              <w:right w:val="single" w:sz="4" w:space="0" w:color="E0DCCB" w:themeColor="accent4" w:themeTint="66"/>
            </w:tcBorders>
            <w:vAlign w:val="center"/>
          </w:tcPr>
          <w:p w:rsidR="006F3284" w:rsidRDefault="007061D9" w:rsidP="007061D9">
            <w:pPr>
              <w:spacing w:line="240" w:lineRule="auto"/>
              <w:jc w:val="center"/>
              <w:rPr>
                <w:rFonts w:ascii="Arial" w:eastAsia="Times New Roman" w:hAnsi="Arial" w:cstheme="minorHAnsi"/>
                <w:color w:val="4D4D4F"/>
                <w:sz w:val="22"/>
                <w:lang w:eastAsia="en-AU"/>
              </w:rPr>
            </w:pPr>
            <w:r>
              <w:rPr>
                <w:rFonts w:ascii="Arial" w:eastAsia="Times New Roman" w:hAnsi="Arial" w:cstheme="minorHAnsi"/>
                <w:color w:val="4D4D4F"/>
                <w:sz w:val="22"/>
                <w:lang w:eastAsia="en-AU"/>
              </w:rPr>
              <w:t>84%</w:t>
            </w:r>
          </w:p>
        </w:tc>
        <w:tc>
          <w:tcPr>
            <w:tcW w:w="907" w:type="dxa"/>
            <w:tcBorders>
              <w:top w:val="nil"/>
              <w:left w:val="single" w:sz="4" w:space="0" w:color="E0DCCB" w:themeColor="accent4" w:themeTint="66"/>
              <w:bottom w:val="single" w:sz="4" w:space="0" w:color="E0DCCB" w:themeColor="accent4" w:themeTint="66"/>
              <w:right w:val="single" w:sz="8" w:space="0" w:color="E0DCCB"/>
            </w:tcBorders>
            <w:noWrap/>
            <w:vAlign w:val="center"/>
            <w:hideMark/>
          </w:tcPr>
          <w:p w:rsidR="006F3284" w:rsidRDefault="006F3284" w:rsidP="007061D9">
            <w:pPr>
              <w:spacing w:line="240" w:lineRule="auto"/>
              <w:jc w:val="center"/>
              <w:rPr>
                <w:rFonts w:ascii="Arial" w:eastAsia="Times New Roman" w:hAnsi="Arial" w:cs="Arial"/>
                <w:color w:val="4D4D4F"/>
                <w:sz w:val="22"/>
                <w:lang w:eastAsia="en-AU"/>
              </w:rPr>
            </w:pPr>
            <w:r>
              <w:rPr>
                <w:rFonts w:ascii="Arial" w:eastAsia="Times New Roman" w:hAnsi="Arial" w:cstheme="minorHAnsi"/>
                <w:color w:val="4D4D4F"/>
                <w:sz w:val="22"/>
                <w:lang w:eastAsia="en-AU"/>
              </w:rPr>
              <w:t>87%</w:t>
            </w:r>
          </w:p>
        </w:tc>
        <w:tc>
          <w:tcPr>
            <w:tcW w:w="907" w:type="dxa"/>
            <w:tcBorders>
              <w:top w:val="nil"/>
              <w:left w:val="nil"/>
              <w:bottom w:val="single" w:sz="4" w:space="0" w:color="E0DCCB" w:themeColor="accent4" w:themeTint="66"/>
              <w:right w:val="single" w:sz="8" w:space="0" w:color="E0DCCB"/>
            </w:tcBorders>
            <w:noWrap/>
            <w:vAlign w:val="center"/>
            <w:hideMark/>
          </w:tcPr>
          <w:p w:rsidR="006F3284" w:rsidRDefault="006F3284" w:rsidP="007061D9">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80%</w:t>
            </w:r>
          </w:p>
        </w:tc>
        <w:tc>
          <w:tcPr>
            <w:tcW w:w="907" w:type="dxa"/>
            <w:tcBorders>
              <w:top w:val="nil"/>
              <w:left w:val="nil"/>
              <w:bottom w:val="single" w:sz="4" w:space="0" w:color="E0DCCB" w:themeColor="accent4" w:themeTint="66"/>
              <w:right w:val="single" w:sz="8" w:space="0" w:color="E0DCCB"/>
            </w:tcBorders>
            <w:shd w:val="clear" w:color="auto" w:fill="E0DCCB"/>
            <w:noWrap/>
            <w:vAlign w:val="center"/>
            <w:hideMark/>
          </w:tcPr>
          <w:p w:rsidR="006F3284" w:rsidRDefault="006F3284" w:rsidP="007061D9">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97%</w:t>
            </w:r>
          </w:p>
        </w:tc>
        <w:tc>
          <w:tcPr>
            <w:tcW w:w="992" w:type="dxa"/>
            <w:tcBorders>
              <w:top w:val="nil"/>
              <w:left w:val="nil"/>
              <w:bottom w:val="single" w:sz="4" w:space="0" w:color="E0DCCB" w:themeColor="accent4" w:themeTint="66"/>
              <w:right w:val="single" w:sz="8" w:space="0" w:color="E0DCCB"/>
            </w:tcBorders>
            <w:noWrap/>
            <w:vAlign w:val="center"/>
            <w:hideMark/>
          </w:tcPr>
          <w:p w:rsidR="006F3284" w:rsidRDefault="006F3284" w:rsidP="007061D9">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15%</w:t>
            </w:r>
          </w:p>
        </w:tc>
        <w:tc>
          <w:tcPr>
            <w:tcW w:w="992" w:type="dxa"/>
            <w:tcBorders>
              <w:top w:val="nil"/>
              <w:left w:val="nil"/>
              <w:bottom w:val="single" w:sz="4" w:space="0" w:color="E0DCCB" w:themeColor="accent4" w:themeTint="66"/>
              <w:right w:val="single" w:sz="8" w:space="0" w:color="E0DCCB"/>
            </w:tcBorders>
            <w:noWrap/>
            <w:vAlign w:val="center"/>
            <w:hideMark/>
          </w:tcPr>
          <w:p w:rsidR="006F3284" w:rsidRDefault="006F3284" w:rsidP="007061D9">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8%</w:t>
            </w:r>
          </w:p>
        </w:tc>
      </w:tr>
    </w:tbl>
    <w:p w:rsidR="00FD259A" w:rsidRPr="00426CCF" w:rsidRDefault="00FD259A" w:rsidP="00426CCF">
      <w:pPr>
        <w:pStyle w:val="Heading4"/>
      </w:pPr>
      <w:r w:rsidRPr="00426CCF">
        <w:lastRenderedPageBreak/>
        <w:t>Explanatory Notes</w:t>
      </w:r>
    </w:p>
    <w:p w:rsidR="007061D9" w:rsidRDefault="007061D9" w:rsidP="007061D9">
      <w:pPr>
        <w:pStyle w:val="Body"/>
      </w:pPr>
      <w:r>
        <w:t>The Minister imposes conditions (Ministerial Conditions) on proposals in order to ensure that they are managed in an environmentally acceptable manner.</w:t>
      </w:r>
    </w:p>
    <w:p w:rsidR="007061D9" w:rsidRDefault="007061D9" w:rsidP="007061D9">
      <w:pPr>
        <w:pStyle w:val="Body"/>
      </w:pPr>
      <w:r>
        <w:t xml:space="preserve">A compliance management program is developed annually and using a priority matrix identifies sixty (60) Ministerial Statements to be audited. </w:t>
      </w:r>
    </w:p>
    <w:p w:rsidR="007061D9" w:rsidRDefault="007061D9" w:rsidP="007061D9">
      <w:pPr>
        <w:pStyle w:val="Body"/>
      </w:pPr>
      <w:r>
        <w:t xml:space="preserve">In 2013–2014 – Fifty two projects (87%) </w:t>
      </w:r>
      <w:r w:rsidRPr="00D11120">
        <w:t xml:space="preserve">were identified </w:t>
      </w:r>
      <w:r>
        <w:t>to be in compliance through the audit program.</w:t>
      </w:r>
    </w:p>
    <w:p w:rsidR="007061D9" w:rsidRDefault="007061D9" w:rsidP="007061D9">
      <w:pPr>
        <w:pStyle w:val="Body"/>
      </w:pPr>
      <w:r>
        <w:t xml:space="preserve">In 2014–2015 – Fifty eight projects (97%) </w:t>
      </w:r>
      <w:r w:rsidRPr="00D11120">
        <w:t xml:space="preserve">were identified </w:t>
      </w:r>
      <w:r>
        <w:t>to be in compliance through the audit program.</w:t>
      </w:r>
    </w:p>
    <w:p w:rsidR="00FD259A" w:rsidRDefault="007061D9" w:rsidP="007061D9">
      <w:pPr>
        <w:pStyle w:val="Body"/>
      </w:pPr>
      <w:r>
        <w:t>This indicator measures the effectiveness of the compliance management program in ensuring proponents comply with the ministerial conditions imposed on proposal. Overtime stakeholders will be able to see how effective the program has been in ensuring proponents comply with ministerial conditions imposed</w:t>
      </w:r>
      <w:r w:rsidR="00FD259A">
        <w:t>.</w:t>
      </w:r>
    </w:p>
    <w:p w:rsidR="00FD259A" w:rsidRPr="00426CCF" w:rsidRDefault="00FD259A" w:rsidP="00547DC7">
      <w:pPr>
        <w:pStyle w:val="KPIsubheading"/>
      </w:pPr>
      <w:bookmarkStart w:id="323" w:name="_Toc427745964"/>
      <w:bookmarkStart w:id="324" w:name="_Toc428270986"/>
      <w:r w:rsidRPr="00426CCF">
        <w:t>Percentage of non-compliances where remedial action has been taken by the proponent within the time specified in the Notice of Non-Compliance.</w:t>
      </w:r>
      <w:bookmarkEnd w:id="323"/>
      <w:bookmarkEnd w:id="324"/>
    </w:p>
    <w:tbl>
      <w:tblPr>
        <w:tblW w:w="8223" w:type="dxa"/>
        <w:tblInd w:w="1241" w:type="dxa"/>
        <w:tblLayout w:type="fixed"/>
        <w:tblCellMar>
          <w:top w:w="28" w:type="dxa"/>
          <w:left w:w="85" w:type="dxa"/>
          <w:bottom w:w="28" w:type="dxa"/>
          <w:right w:w="85" w:type="dxa"/>
        </w:tblCellMar>
        <w:tblLook w:val="04A0" w:firstRow="1" w:lastRow="0" w:firstColumn="1" w:lastColumn="0" w:noHBand="0" w:noVBand="1"/>
      </w:tblPr>
      <w:tblGrid>
        <w:gridCol w:w="3120"/>
        <w:gridCol w:w="992"/>
        <w:gridCol w:w="992"/>
        <w:gridCol w:w="993"/>
        <w:gridCol w:w="1134"/>
        <w:gridCol w:w="992"/>
      </w:tblGrid>
      <w:tr w:rsidR="007061D9" w:rsidTr="003717E0">
        <w:trPr>
          <w:trHeight w:val="1743"/>
        </w:trPr>
        <w:tc>
          <w:tcPr>
            <w:tcW w:w="3120" w:type="dxa"/>
            <w:noWrap/>
            <w:vAlign w:val="bottom"/>
            <w:hideMark/>
          </w:tcPr>
          <w:p w:rsidR="007061D9" w:rsidRDefault="007061D9" w:rsidP="002660B8">
            <w:pPr>
              <w:rPr>
                <w:rFonts w:eastAsia="Calibri" w:cs="Times New Roman"/>
                <w:color w:val="auto"/>
                <w:sz w:val="22"/>
              </w:rPr>
            </w:pPr>
          </w:p>
        </w:tc>
        <w:tc>
          <w:tcPr>
            <w:tcW w:w="992" w:type="dxa"/>
            <w:tcBorders>
              <w:top w:val="nil"/>
              <w:left w:val="nil"/>
              <w:right w:val="single" w:sz="8" w:space="0" w:color="FFFFFF"/>
            </w:tcBorders>
            <w:shd w:val="clear" w:color="auto" w:fill="E0DCCB"/>
            <w:vAlign w:val="center"/>
            <w:hideMark/>
          </w:tcPr>
          <w:p w:rsidR="007061D9" w:rsidRDefault="007061D9"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2013-14</w:t>
            </w:r>
          </w:p>
          <w:p w:rsidR="007061D9" w:rsidRDefault="007061D9"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992" w:type="dxa"/>
            <w:tcBorders>
              <w:top w:val="nil"/>
              <w:left w:val="nil"/>
              <w:right w:val="single" w:sz="8" w:space="0" w:color="FFFFFF"/>
            </w:tcBorders>
            <w:shd w:val="clear" w:color="auto" w:fill="E0DCCB"/>
            <w:vAlign w:val="center"/>
            <w:hideMark/>
          </w:tcPr>
          <w:p w:rsidR="007061D9" w:rsidRDefault="007061D9"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p>
          <w:p w:rsidR="007061D9" w:rsidRDefault="007061D9"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Target</w:t>
            </w:r>
          </w:p>
        </w:tc>
        <w:tc>
          <w:tcPr>
            <w:tcW w:w="993" w:type="dxa"/>
            <w:tcBorders>
              <w:top w:val="nil"/>
              <w:left w:val="nil"/>
              <w:right w:val="single" w:sz="8" w:space="0" w:color="FFFFFF"/>
            </w:tcBorders>
            <w:shd w:val="clear" w:color="auto" w:fill="E0DCCB"/>
            <w:vAlign w:val="center"/>
            <w:hideMark/>
          </w:tcPr>
          <w:p w:rsidR="007061D9" w:rsidRDefault="007061D9"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p>
          <w:p w:rsidR="007061D9" w:rsidRDefault="007061D9" w:rsidP="002660B8">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Actual</w:t>
            </w:r>
          </w:p>
        </w:tc>
        <w:tc>
          <w:tcPr>
            <w:tcW w:w="1134" w:type="dxa"/>
            <w:tcBorders>
              <w:top w:val="nil"/>
              <w:left w:val="nil"/>
              <w:right w:val="single" w:sz="8" w:space="0" w:color="FFFFFF"/>
            </w:tcBorders>
            <w:shd w:val="clear" w:color="auto" w:fill="E0DCCB"/>
            <w:vAlign w:val="center"/>
            <w:hideMark/>
          </w:tcPr>
          <w:p w:rsidR="007061D9" w:rsidRDefault="007061D9" w:rsidP="00C243D3">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2014-15</w:t>
            </w:r>
            <w:r w:rsidR="00C243D3">
              <w:rPr>
                <w:rFonts w:ascii="Calibri" w:eastAsia="Times New Roman" w:hAnsi="Calibri" w:cs="Arial"/>
                <w:b/>
                <w:bCs/>
                <w:color w:val="4D4D4F"/>
                <w:sz w:val="22"/>
                <w:lang w:eastAsia="en-AU"/>
              </w:rPr>
              <w:br/>
            </w:r>
            <w:r>
              <w:rPr>
                <w:rFonts w:ascii="Calibri" w:eastAsia="Times New Roman" w:hAnsi="Calibri" w:cs="Arial"/>
                <w:b/>
                <w:bCs/>
                <w:color w:val="4D4D4F"/>
                <w:sz w:val="22"/>
                <w:lang w:eastAsia="en-AU"/>
              </w:rPr>
              <w:t>Variance of Target to Actual</w:t>
            </w:r>
          </w:p>
        </w:tc>
        <w:tc>
          <w:tcPr>
            <w:tcW w:w="992" w:type="dxa"/>
            <w:tcBorders>
              <w:top w:val="nil"/>
              <w:left w:val="nil"/>
              <w:right w:val="single" w:sz="8" w:space="0" w:color="FFFFFF"/>
            </w:tcBorders>
            <w:shd w:val="clear" w:color="auto" w:fill="E0DCCB"/>
            <w:vAlign w:val="center"/>
            <w:hideMark/>
          </w:tcPr>
          <w:p w:rsidR="007061D9" w:rsidRDefault="007061D9" w:rsidP="00C243D3">
            <w:pPr>
              <w:spacing w:line="240" w:lineRule="auto"/>
              <w:jc w:val="center"/>
              <w:rPr>
                <w:rFonts w:ascii="Calibri" w:eastAsia="Times New Roman" w:hAnsi="Calibri" w:cs="Arial"/>
                <w:b/>
                <w:bCs/>
                <w:color w:val="4D4D4F"/>
                <w:sz w:val="22"/>
                <w:lang w:eastAsia="en-AU"/>
              </w:rPr>
            </w:pPr>
            <w:r>
              <w:rPr>
                <w:rFonts w:ascii="Calibri" w:eastAsia="Times New Roman" w:hAnsi="Calibri" w:cs="Arial"/>
                <w:b/>
                <w:bCs/>
                <w:color w:val="4D4D4F"/>
                <w:sz w:val="22"/>
                <w:lang w:eastAsia="en-AU"/>
              </w:rPr>
              <w:t>Variance of Actual</w:t>
            </w:r>
            <w:r w:rsidR="00C243D3">
              <w:rPr>
                <w:rFonts w:ascii="Calibri" w:eastAsia="Times New Roman" w:hAnsi="Calibri" w:cs="Arial"/>
                <w:b/>
                <w:bCs/>
                <w:color w:val="4D4D4F"/>
                <w:sz w:val="22"/>
                <w:lang w:eastAsia="en-AU"/>
              </w:rPr>
              <w:br/>
            </w:r>
            <w:r>
              <w:rPr>
                <w:rFonts w:ascii="Calibri" w:eastAsia="Times New Roman" w:hAnsi="Calibri" w:cs="Arial"/>
                <w:b/>
                <w:bCs/>
                <w:color w:val="4D4D4F"/>
                <w:sz w:val="22"/>
                <w:lang w:eastAsia="en-AU"/>
              </w:rPr>
              <w:t xml:space="preserve">2013-14 and </w:t>
            </w:r>
            <w:r>
              <w:rPr>
                <w:rFonts w:ascii="Calibri" w:eastAsia="Times New Roman" w:hAnsi="Calibri" w:cs="Arial"/>
                <w:b/>
                <w:bCs/>
                <w:color w:val="4D4D4F"/>
                <w:sz w:val="22"/>
                <w:lang w:eastAsia="en-AU"/>
              </w:rPr>
              <w:br/>
              <w:t>2014-15</w:t>
            </w:r>
          </w:p>
        </w:tc>
      </w:tr>
      <w:tr w:rsidR="00FD259A" w:rsidTr="003717E0">
        <w:trPr>
          <w:trHeight w:val="945"/>
        </w:trPr>
        <w:tc>
          <w:tcPr>
            <w:tcW w:w="3120" w:type="dxa"/>
            <w:shd w:val="clear" w:color="auto" w:fill="E0DCCB"/>
            <w:vAlign w:val="center"/>
            <w:hideMark/>
          </w:tcPr>
          <w:p w:rsidR="00FD259A" w:rsidRDefault="00FD259A" w:rsidP="002660B8">
            <w:pPr>
              <w:spacing w:line="240" w:lineRule="auto"/>
              <w:rPr>
                <w:rFonts w:ascii="Arial" w:eastAsia="Times New Roman" w:hAnsi="Arial" w:cs="Arial"/>
                <w:color w:val="4D4D4F"/>
                <w:sz w:val="22"/>
                <w:lang w:eastAsia="en-AU"/>
              </w:rPr>
            </w:pPr>
            <w:r>
              <w:rPr>
                <w:rFonts w:ascii="Arial" w:eastAsia="Times New Roman" w:hAnsi="Arial" w:cs="Arial"/>
                <w:color w:val="4D4D4F"/>
                <w:sz w:val="22"/>
                <w:lang w:eastAsia="en-AU"/>
              </w:rPr>
              <w:t xml:space="preserve">Percentage of non-compliances where remedial action has been taken by the proponent within the time specified in the Notice of Non-Compliance </w:t>
            </w:r>
          </w:p>
        </w:tc>
        <w:tc>
          <w:tcPr>
            <w:tcW w:w="992" w:type="dxa"/>
            <w:tcBorders>
              <w:top w:val="nil"/>
              <w:left w:val="nil"/>
              <w:bottom w:val="single" w:sz="4" w:space="0" w:color="E0DCCB" w:themeColor="accent4" w:themeTint="66"/>
              <w:right w:val="single" w:sz="8" w:space="0" w:color="E0DCCB"/>
            </w:tcBorders>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theme="minorHAnsi"/>
                <w:color w:val="4D4D4F"/>
                <w:sz w:val="22"/>
                <w:lang w:eastAsia="en-AU"/>
              </w:rPr>
              <w:t>n/a</w:t>
            </w:r>
          </w:p>
        </w:tc>
        <w:tc>
          <w:tcPr>
            <w:tcW w:w="992" w:type="dxa"/>
            <w:tcBorders>
              <w:top w:val="nil"/>
              <w:left w:val="nil"/>
              <w:bottom w:val="single" w:sz="4" w:space="0" w:color="E0DCCB" w:themeColor="accent4" w:themeTint="66"/>
              <w:right w:val="single" w:sz="8" w:space="0" w:color="E0DCCB"/>
            </w:tcBorders>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80%</w:t>
            </w:r>
          </w:p>
        </w:tc>
        <w:tc>
          <w:tcPr>
            <w:tcW w:w="993" w:type="dxa"/>
            <w:tcBorders>
              <w:top w:val="nil"/>
              <w:left w:val="nil"/>
              <w:bottom w:val="single" w:sz="4" w:space="0" w:color="E0DCCB" w:themeColor="accent4" w:themeTint="66"/>
              <w:right w:val="single" w:sz="8" w:space="0" w:color="E0DCCB"/>
            </w:tcBorders>
            <w:shd w:val="clear" w:color="auto" w:fill="E0DCCB"/>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100% </w:t>
            </w:r>
          </w:p>
        </w:tc>
        <w:tc>
          <w:tcPr>
            <w:tcW w:w="1134" w:type="dxa"/>
            <w:tcBorders>
              <w:top w:val="nil"/>
              <w:left w:val="nil"/>
              <w:bottom w:val="single" w:sz="4" w:space="0" w:color="E0DCCB" w:themeColor="accent4" w:themeTint="66"/>
              <w:right w:val="single" w:sz="8" w:space="0" w:color="E0DCCB"/>
            </w:tcBorders>
            <w:noWrap/>
            <w:vAlign w:val="center"/>
            <w:hideMark/>
          </w:tcPr>
          <w:p w:rsidR="00FD259A" w:rsidRDefault="00FD259A" w:rsidP="002660B8">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20% </w:t>
            </w:r>
          </w:p>
        </w:tc>
        <w:tc>
          <w:tcPr>
            <w:tcW w:w="992" w:type="dxa"/>
            <w:tcBorders>
              <w:top w:val="nil"/>
              <w:left w:val="nil"/>
              <w:bottom w:val="single" w:sz="4" w:space="0" w:color="E0DCCB" w:themeColor="accent4" w:themeTint="66"/>
              <w:right w:val="single" w:sz="8" w:space="0" w:color="E0DCCB"/>
            </w:tcBorders>
            <w:noWrap/>
            <w:vAlign w:val="center"/>
            <w:hideMark/>
          </w:tcPr>
          <w:p w:rsidR="00FD259A" w:rsidRDefault="00C243D3" w:rsidP="002660B8">
            <w:pPr>
              <w:spacing w:line="240" w:lineRule="auto"/>
              <w:jc w:val="center"/>
              <w:rPr>
                <w:rFonts w:ascii="Arial" w:eastAsia="Times New Roman" w:hAnsi="Arial" w:cs="Arial"/>
                <w:color w:val="4D4D4F"/>
                <w:sz w:val="22"/>
                <w:lang w:eastAsia="en-AU"/>
              </w:rPr>
            </w:pPr>
            <w:r>
              <w:rPr>
                <w:rFonts w:ascii="Arial" w:eastAsia="Times New Roman" w:hAnsi="Arial" w:cs="Arial"/>
                <w:color w:val="4D4D4F"/>
                <w:sz w:val="22"/>
                <w:lang w:eastAsia="en-AU"/>
              </w:rPr>
              <w:t>n</w:t>
            </w:r>
            <w:r w:rsidR="00FD259A">
              <w:rPr>
                <w:rFonts w:ascii="Arial" w:eastAsia="Times New Roman" w:hAnsi="Arial" w:cs="Arial"/>
                <w:color w:val="4D4D4F"/>
                <w:sz w:val="22"/>
                <w:lang w:eastAsia="en-AU"/>
              </w:rPr>
              <w:t>/a </w:t>
            </w:r>
          </w:p>
        </w:tc>
      </w:tr>
    </w:tbl>
    <w:p w:rsidR="00FD259A" w:rsidRDefault="00FD259A" w:rsidP="00FD259A">
      <w:pPr>
        <w:spacing w:line="240" w:lineRule="auto"/>
      </w:pPr>
    </w:p>
    <w:p w:rsidR="00FD259A" w:rsidRPr="00B06032" w:rsidRDefault="00FD259A" w:rsidP="00B06032">
      <w:pPr>
        <w:pStyle w:val="Heading4"/>
      </w:pPr>
      <w:r w:rsidRPr="00B06032">
        <w:t xml:space="preserve">Explanatory Notes </w:t>
      </w:r>
    </w:p>
    <w:p w:rsidR="007061D9" w:rsidRDefault="007061D9" w:rsidP="007061D9">
      <w:pPr>
        <w:pStyle w:val="Body"/>
      </w:pPr>
      <w:r>
        <w:t>A Notice of Non-compliance generally requires the proponent to undertake an action to rectify the non-compliance within a specified timeframe appropriate to the complexity of the non-compliance.</w:t>
      </w:r>
    </w:p>
    <w:p w:rsidR="007061D9" w:rsidRDefault="007061D9" w:rsidP="007061D9">
      <w:pPr>
        <w:pStyle w:val="Body"/>
      </w:pPr>
      <w:r>
        <w:t>During 2014</w:t>
      </w:r>
      <w:r w:rsidR="00C243D3">
        <w:t>–</w:t>
      </w:r>
      <w:r>
        <w:t>15 – 8 notices were issued with all remedial actions undertaken in the time specified in the notice.</w:t>
      </w:r>
    </w:p>
    <w:p w:rsidR="007061D9" w:rsidRDefault="007061D9" w:rsidP="007061D9">
      <w:pPr>
        <w:pStyle w:val="Body"/>
        <w:rPr>
          <w:color w:val="auto"/>
        </w:rPr>
      </w:pPr>
      <w:r>
        <w:t>The 2014</w:t>
      </w:r>
      <w:r w:rsidR="00C243D3">
        <w:t>–</w:t>
      </w:r>
      <w:r>
        <w:t>15 t</w:t>
      </w:r>
      <w:r w:rsidRPr="00AB626E">
        <w:t>arget while conservative is considered appropriate in monitoring timely responses by proponents to issues identified</w:t>
      </w:r>
      <w:r w:rsidRPr="00AB626E">
        <w:rPr>
          <w:color w:val="auto"/>
        </w:rPr>
        <w:t>.</w:t>
      </w:r>
    </w:p>
    <w:p w:rsidR="00FD259A" w:rsidRDefault="007061D9" w:rsidP="007061D9">
      <w:pPr>
        <w:pStyle w:val="Body"/>
        <w:rPr>
          <w:rFonts w:eastAsia="Times New Roman"/>
          <w:lang w:eastAsia="en-AU"/>
        </w:rPr>
      </w:pPr>
      <w:r w:rsidRPr="00921BE8">
        <w:lastRenderedPageBreak/>
        <w:t xml:space="preserve">This effectiveness indicator demonstrates the extent to which compliance action has been effective in bringing the proponent </w:t>
      </w:r>
      <w:r>
        <w:t xml:space="preserve">back </w:t>
      </w:r>
      <w:r w:rsidRPr="00921BE8">
        <w:t>into compliance</w:t>
      </w:r>
      <w:r>
        <w:t xml:space="preserve">. </w:t>
      </w:r>
    </w:p>
    <w:p w:rsidR="00FD259A" w:rsidRPr="00B06032" w:rsidRDefault="00FD259A" w:rsidP="00B06032">
      <w:pPr>
        <w:pStyle w:val="Heading2"/>
      </w:pPr>
      <w:bookmarkStart w:id="325" w:name="_Toc424651331"/>
      <w:bookmarkStart w:id="326" w:name="_Toc427745965"/>
      <w:bookmarkStart w:id="327" w:name="_Toc428279218"/>
      <w:r w:rsidRPr="00B06032">
        <w:t>Services and Key Efficiency Indicators</w:t>
      </w:r>
      <w:bookmarkEnd w:id="302"/>
      <w:bookmarkEnd w:id="325"/>
      <w:bookmarkEnd w:id="326"/>
      <w:bookmarkEnd w:id="327"/>
    </w:p>
    <w:p w:rsidR="00FD259A" w:rsidRPr="00B06032" w:rsidRDefault="00FD259A" w:rsidP="00B06032">
      <w:pPr>
        <w:pStyle w:val="Heading3"/>
      </w:pPr>
      <w:bookmarkStart w:id="328" w:name="_Toc427745966"/>
      <w:bookmarkStart w:id="329" w:name="_Toc428279219"/>
      <w:r w:rsidRPr="00B06032">
        <w:t>Service 1: Environmental Impact Assessment Services to the EPA</w:t>
      </w:r>
      <w:bookmarkEnd w:id="328"/>
      <w:bookmarkEnd w:id="329"/>
      <w:r w:rsidRPr="00B06032">
        <w:t xml:space="preserve"> </w:t>
      </w:r>
    </w:p>
    <w:p w:rsidR="00FD259A" w:rsidRPr="00725C1B" w:rsidRDefault="00FD259A" w:rsidP="00B06032">
      <w:pPr>
        <w:pStyle w:val="Body"/>
        <w:rPr>
          <w:lang w:eastAsia="en-AU"/>
        </w:rPr>
      </w:pPr>
      <w:r w:rsidRPr="00F379BC">
        <w:rPr>
          <w:lang w:eastAsia="en-AU"/>
        </w:rPr>
        <w:t>Conduct, for the EPA, environmental impact assessment of significant proposals and schemes.</w:t>
      </w:r>
    </w:p>
    <w:p w:rsidR="00FD259A" w:rsidRPr="00B06032" w:rsidRDefault="00F37F46" w:rsidP="00B06032">
      <w:pPr>
        <w:pStyle w:val="Heading4"/>
      </w:pPr>
      <w:r>
        <w:t xml:space="preserve">1.1 </w:t>
      </w:r>
      <w:r w:rsidR="00FD259A" w:rsidRPr="00B06032">
        <w:t>Cost per standardised unit of assessment output</w:t>
      </w:r>
    </w:p>
    <w:p w:rsidR="00FD259A" w:rsidRDefault="00FD259A" w:rsidP="00FD259A">
      <w:pPr>
        <w:rPr>
          <w:lang w:eastAsia="en-AU"/>
        </w:rPr>
      </w:pPr>
    </w:p>
    <w:tbl>
      <w:tblPr>
        <w:tblW w:w="8391" w:type="dxa"/>
        <w:tblInd w:w="1242" w:type="dxa"/>
        <w:tblBorders>
          <w:bottom w:val="dotted" w:sz="8" w:space="0" w:color="5F5839" w:themeColor="accent4" w:themeShade="80"/>
          <w:insideH w:val="dotted" w:sz="8" w:space="0" w:color="5F5839" w:themeColor="accent4" w:themeShade="80"/>
        </w:tblBorders>
        <w:tblLayout w:type="fixed"/>
        <w:tblLook w:val="04A0" w:firstRow="1" w:lastRow="0" w:firstColumn="1" w:lastColumn="0" w:noHBand="0" w:noVBand="1"/>
      </w:tblPr>
      <w:tblGrid>
        <w:gridCol w:w="3061"/>
        <w:gridCol w:w="1134"/>
        <w:gridCol w:w="1134"/>
        <w:gridCol w:w="1134"/>
        <w:gridCol w:w="1134"/>
        <w:gridCol w:w="794"/>
      </w:tblGrid>
      <w:tr w:rsidR="0036383B" w:rsidRPr="007043E4" w:rsidTr="003717E0">
        <w:trPr>
          <w:trHeight w:val="255"/>
          <w:tblHeader/>
        </w:trPr>
        <w:tc>
          <w:tcPr>
            <w:tcW w:w="3061" w:type="dxa"/>
            <w:tcBorders>
              <w:top w:val="single" w:sz="4" w:space="0" w:color="E0DCCB" w:themeColor="accent4" w:themeTint="66"/>
              <w:bottom w:val="single" w:sz="4" w:space="0" w:color="E0DCCB" w:themeColor="accent4" w:themeTint="66"/>
            </w:tcBorders>
            <w:shd w:val="clear" w:color="auto" w:fill="E0DCCB" w:themeFill="accent4" w:themeFillTint="66"/>
            <w:vAlign w:val="center"/>
            <w:hideMark/>
          </w:tcPr>
          <w:p w:rsidR="00613F62" w:rsidRPr="007043E4" w:rsidRDefault="00613F62" w:rsidP="0036383B">
            <w:pPr>
              <w:spacing w:line="240" w:lineRule="auto"/>
              <w:jc w:val="center"/>
              <w:rPr>
                <w:rFonts w:ascii="Arial" w:eastAsia="Times New Roman" w:hAnsi="Arial" w:cs="Arial"/>
                <w:sz w:val="20"/>
                <w:szCs w:val="20"/>
                <w:lang w:eastAsia="en-AU"/>
              </w:rPr>
            </w:pPr>
          </w:p>
        </w:tc>
        <w:tc>
          <w:tcPr>
            <w:tcW w:w="1134"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613F62" w:rsidRPr="007043E4" w:rsidRDefault="00613F62" w:rsidP="0036383B">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2013-14 Actual</w:t>
            </w:r>
            <w:r>
              <w:rPr>
                <w:rFonts w:ascii="Arial" w:eastAsia="Times New Roman" w:hAnsi="Arial" w:cs="Arial"/>
                <w:b/>
                <w:bCs/>
                <w:sz w:val="20"/>
                <w:szCs w:val="20"/>
                <w:lang w:eastAsia="en-AU"/>
              </w:rPr>
              <w:br/>
              <w:t>$</w:t>
            </w:r>
          </w:p>
        </w:tc>
        <w:tc>
          <w:tcPr>
            <w:tcW w:w="1134"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613F62" w:rsidRPr="007043E4" w:rsidRDefault="00613F62" w:rsidP="0036383B">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2014-15</w:t>
            </w:r>
            <w:r>
              <w:rPr>
                <w:rFonts w:ascii="Arial" w:eastAsia="Times New Roman" w:hAnsi="Arial" w:cs="Arial"/>
                <w:b/>
                <w:bCs/>
                <w:sz w:val="20"/>
                <w:szCs w:val="20"/>
                <w:lang w:eastAsia="en-AU"/>
              </w:rPr>
              <w:br/>
              <w:t>Target</w:t>
            </w:r>
            <w:r>
              <w:rPr>
                <w:rFonts w:ascii="Arial" w:eastAsia="Times New Roman" w:hAnsi="Arial" w:cs="Arial"/>
                <w:b/>
                <w:bCs/>
                <w:sz w:val="20"/>
                <w:szCs w:val="20"/>
                <w:lang w:eastAsia="en-AU"/>
              </w:rPr>
              <w:br/>
              <w:t>$</w:t>
            </w:r>
          </w:p>
        </w:tc>
        <w:tc>
          <w:tcPr>
            <w:tcW w:w="1134" w:type="dxa"/>
            <w:tcBorders>
              <w:top w:val="single" w:sz="4" w:space="0" w:color="E0DCCB" w:themeColor="accent4" w:themeTint="66"/>
              <w:bottom w:val="single" w:sz="4" w:space="0" w:color="E0DCCB" w:themeColor="accent4" w:themeTint="66"/>
            </w:tcBorders>
            <w:shd w:val="clear" w:color="auto" w:fill="E0DCCB" w:themeFill="accent4" w:themeFillTint="66"/>
            <w:vAlign w:val="center"/>
            <w:hideMark/>
          </w:tcPr>
          <w:p w:rsidR="00613F62" w:rsidRPr="007043E4" w:rsidRDefault="00613F62" w:rsidP="0036383B">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2014-15</w:t>
            </w:r>
            <w:r>
              <w:rPr>
                <w:rFonts w:ascii="Arial" w:eastAsia="Times New Roman" w:hAnsi="Arial" w:cs="Arial"/>
                <w:b/>
                <w:bCs/>
                <w:sz w:val="20"/>
                <w:szCs w:val="20"/>
                <w:lang w:eastAsia="en-AU"/>
              </w:rPr>
              <w:br/>
              <w:t>Actual</w:t>
            </w:r>
            <w:r>
              <w:rPr>
                <w:rFonts w:ascii="Arial" w:eastAsia="Times New Roman" w:hAnsi="Arial" w:cs="Arial"/>
                <w:b/>
                <w:bCs/>
                <w:sz w:val="20"/>
                <w:szCs w:val="20"/>
                <w:lang w:eastAsia="en-AU"/>
              </w:rPr>
              <w:br/>
              <w:t>$</w:t>
            </w:r>
          </w:p>
        </w:tc>
        <w:tc>
          <w:tcPr>
            <w:tcW w:w="1134"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613F62" w:rsidRPr="007043E4" w:rsidRDefault="00613F62" w:rsidP="0036383B">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 xml:space="preserve">2014-15 </w:t>
            </w:r>
            <w:r w:rsidRPr="004B546B">
              <w:rPr>
                <w:rFonts w:ascii="Arial" w:eastAsia="Times New Roman" w:hAnsi="Arial" w:cs="Arial"/>
                <w:b/>
                <w:bCs/>
                <w:sz w:val="20"/>
                <w:szCs w:val="20"/>
                <w:lang w:eastAsia="en-AU"/>
              </w:rPr>
              <w:t>Variance Of Target To Actual</w:t>
            </w:r>
            <w:r>
              <w:rPr>
                <w:rFonts w:ascii="Arial" w:eastAsia="Times New Roman" w:hAnsi="Arial" w:cs="Arial"/>
                <w:b/>
                <w:bCs/>
                <w:sz w:val="20"/>
                <w:szCs w:val="20"/>
                <w:lang w:eastAsia="en-AU"/>
              </w:rPr>
              <w:t>$</w:t>
            </w:r>
          </w:p>
        </w:tc>
        <w:tc>
          <w:tcPr>
            <w:tcW w:w="794"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613F62" w:rsidRDefault="0036383B" w:rsidP="0036383B">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w:t>
            </w:r>
          </w:p>
        </w:tc>
      </w:tr>
      <w:tr w:rsidR="0036383B" w:rsidRPr="009F12BE" w:rsidTr="003717E0">
        <w:trPr>
          <w:trHeight w:val="270"/>
        </w:trPr>
        <w:tc>
          <w:tcPr>
            <w:tcW w:w="3061" w:type="dxa"/>
            <w:tcBorders>
              <w:top w:val="single" w:sz="4" w:space="0" w:color="E0DCCB" w:themeColor="accent4" w:themeTint="66"/>
              <w:bottom w:val="nil"/>
              <w:right w:val="single" w:sz="4" w:space="0" w:color="E0DCCB" w:themeColor="accent4" w:themeTint="66"/>
            </w:tcBorders>
            <w:shd w:val="clear" w:color="auto" w:fill="E0DCCB" w:themeFill="accent4" w:themeFillTint="66"/>
            <w:vAlign w:val="center"/>
          </w:tcPr>
          <w:p w:rsidR="00613F62" w:rsidRPr="00BD2E12" w:rsidRDefault="00613F62" w:rsidP="002660B8">
            <w:pPr>
              <w:rPr>
                <w:rFonts w:eastAsia="HelveticaNeueLT Com 56 It" w:cstheme="minorHAnsi"/>
                <w:spacing w:val="1"/>
                <w:sz w:val="22"/>
              </w:rPr>
            </w:pPr>
            <w:r w:rsidRPr="00AE37FC">
              <w:rPr>
                <w:rFonts w:eastAsia="HelveticaNeueLT Com 56 It" w:cstheme="minorHAnsi"/>
                <w:spacing w:val="1"/>
                <w:sz w:val="22"/>
              </w:rPr>
              <w:t>Cost per standardised unit of Assessment Output</w:t>
            </w:r>
          </w:p>
        </w:tc>
        <w:tc>
          <w:tcPr>
            <w:tcW w:w="1134"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vAlign w:val="center"/>
          </w:tcPr>
          <w:p w:rsidR="00613F62" w:rsidRPr="009F12BE" w:rsidRDefault="00613F62" w:rsidP="0036383B">
            <w:pPr>
              <w:jc w:val="right"/>
              <w:rPr>
                <w:sz w:val="22"/>
                <w:lang w:eastAsia="en-AU"/>
              </w:rPr>
            </w:pPr>
            <w:r>
              <w:rPr>
                <w:sz w:val="22"/>
                <w:lang w:eastAsia="en-AU"/>
              </w:rPr>
              <w:t>n/a</w:t>
            </w:r>
          </w:p>
        </w:tc>
        <w:tc>
          <w:tcPr>
            <w:tcW w:w="1134" w:type="dxa"/>
            <w:tcBorders>
              <w:top w:val="single" w:sz="4" w:space="0" w:color="E0DCCB" w:themeColor="accent4" w:themeTint="66"/>
              <w:left w:val="single" w:sz="4" w:space="0" w:color="E0DCCB" w:themeColor="accent4" w:themeTint="66"/>
              <w:bottom w:val="single" w:sz="4" w:space="0" w:color="E0DCCB" w:themeColor="accent4" w:themeTint="66"/>
            </w:tcBorders>
            <w:shd w:val="clear" w:color="auto" w:fill="auto"/>
            <w:vAlign w:val="center"/>
          </w:tcPr>
          <w:p w:rsidR="00613F62" w:rsidRPr="009F12BE" w:rsidRDefault="00613F62" w:rsidP="0036383B">
            <w:pPr>
              <w:jc w:val="right"/>
              <w:rPr>
                <w:sz w:val="22"/>
                <w:lang w:eastAsia="en-AU"/>
              </w:rPr>
            </w:pPr>
            <w:r>
              <w:rPr>
                <w:sz w:val="22"/>
                <w:lang w:eastAsia="en-AU"/>
              </w:rPr>
              <w:t>28,094</w:t>
            </w:r>
            <w:r w:rsidRPr="00613F62">
              <w:rPr>
                <w:sz w:val="22"/>
                <w:vertAlign w:val="superscript"/>
                <w:lang w:eastAsia="en-AU"/>
              </w:rPr>
              <w:t>(a)</w:t>
            </w:r>
          </w:p>
        </w:tc>
        <w:tc>
          <w:tcPr>
            <w:tcW w:w="1134"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613F62" w:rsidRPr="009F12BE" w:rsidRDefault="00613F62" w:rsidP="0036383B">
            <w:pPr>
              <w:jc w:val="right"/>
              <w:rPr>
                <w:sz w:val="22"/>
                <w:lang w:eastAsia="en-AU"/>
              </w:rPr>
            </w:pPr>
            <w:r>
              <w:rPr>
                <w:sz w:val="22"/>
                <w:lang w:eastAsia="en-AU"/>
              </w:rPr>
              <w:t>33,867</w:t>
            </w:r>
          </w:p>
        </w:tc>
        <w:tc>
          <w:tcPr>
            <w:tcW w:w="1134" w:type="dxa"/>
            <w:tcBorders>
              <w:top w:val="single" w:sz="4" w:space="0" w:color="E0DCCB" w:themeColor="accent4" w:themeTint="66"/>
              <w:bottom w:val="single" w:sz="4" w:space="0" w:color="E0DCCB" w:themeColor="accent4" w:themeTint="66"/>
              <w:right w:val="single" w:sz="4" w:space="0" w:color="E0DCCB" w:themeColor="accent4" w:themeTint="66"/>
            </w:tcBorders>
            <w:vAlign w:val="center"/>
          </w:tcPr>
          <w:p w:rsidR="00613F62" w:rsidRPr="009F12BE" w:rsidRDefault="00613F62" w:rsidP="0036383B">
            <w:pPr>
              <w:jc w:val="right"/>
              <w:rPr>
                <w:sz w:val="22"/>
                <w:lang w:eastAsia="en-AU"/>
              </w:rPr>
            </w:pPr>
            <w:r>
              <w:rPr>
                <w:sz w:val="22"/>
                <w:lang w:eastAsia="en-AU"/>
              </w:rPr>
              <w:t>5,773</w:t>
            </w:r>
          </w:p>
        </w:tc>
        <w:tc>
          <w:tcPr>
            <w:tcW w:w="794" w:type="dxa"/>
            <w:tcBorders>
              <w:top w:val="single" w:sz="4" w:space="0" w:color="E0DCCB" w:themeColor="accent4" w:themeTint="66"/>
              <w:bottom w:val="single" w:sz="4" w:space="0" w:color="E0DCCB" w:themeColor="accent4" w:themeTint="66"/>
              <w:right w:val="single" w:sz="4" w:space="0" w:color="E0DCCB" w:themeColor="accent4" w:themeTint="66"/>
            </w:tcBorders>
            <w:vAlign w:val="center"/>
          </w:tcPr>
          <w:p w:rsidR="00613F62" w:rsidRDefault="0036383B" w:rsidP="0036383B">
            <w:pPr>
              <w:jc w:val="center"/>
              <w:rPr>
                <w:sz w:val="22"/>
                <w:lang w:eastAsia="en-AU"/>
              </w:rPr>
            </w:pPr>
            <w:r>
              <w:rPr>
                <w:sz w:val="22"/>
                <w:lang w:eastAsia="en-AU"/>
              </w:rPr>
              <w:t>20%</w:t>
            </w:r>
          </w:p>
        </w:tc>
      </w:tr>
    </w:tbl>
    <w:p w:rsidR="00FD259A" w:rsidRDefault="00FD259A" w:rsidP="0036383B">
      <w:pPr>
        <w:pStyle w:val="Financialnotes"/>
        <w:spacing w:after="0"/>
        <w:ind w:left="0"/>
      </w:pPr>
    </w:p>
    <w:p w:rsidR="0036383B" w:rsidRPr="0036383B" w:rsidRDefault="0036383B" w:rsidP="008D4CEC">
      <w:pPr>
        <w:pStyle w:val="Financialnotes"/>
        <w:numPr>
          <w:ilvl w:val="0"/>
          <w:numId w:val="37"/>
        </w:numPr>
        <w:spacing w:after="240"/>
        <w:ind w:left="1560" w:hanging="426"/>
        <w:rPr>
          <w:sz w:val="20"/>
          <w:szCs w:val="20"/>
        </w:rPr>
      </w:pPr>
      <w:r w:rsidRPr="0036383B">
        <w:rPr>
          <w:sz w:val="20"/>
          <w:szCs w:val="20"/>
        </w:rPr>
        <w:t>Figure has been updated compared to the published budget due to an error in calculating the initial budget figure.</w:t>
      </w:r>
    </w:p>
    <w:p w:rsidR="00FD259A" w:rsidRPr="00A87176" w:rsidRDefault="00FD259A" w:rsidP="00A87176">
      <w:pPr>
        <w:pStyle w:val="Body"/>
        <w:rPr>
          <w:i/>
        </w:rPr>
      </w:pPr>
      <w:r w:rsidRPr="00A87176">
        <w:rPr>
          <w:i/>
        </w:rPr>
        <w:t>How the indicator is calculated:</w:t>
      </w:r>
    </w:p>
    <w:p w:rsidR="00BC66AC" w:rsidRPr="00BC66AC" w:rsidRDefault="00BC66AC" w:rsidP="00BC66AC">
      <w:pPr>
        <w:pStyle w:val="Body"/>
      </w:pPr>
      <w:r w:rsidRPr="00BC66AC">
        <w:t>The cost per standardised unit of assessment output is calculated by dividing the total cost of assessments (including an allocation of post approval costs and a portion of costs for policy and administrative support) by the total complexity weighting of assessments completed during the financial year.</w:t>
      </w:r>
    </w:p>
    <w:p w:rsidR="00BC66AC" w:rsidRPr="00BC66AC" w:rsidRDefault="00BC66AC" w:rsidP="00BC66AC">
      <w:pPr>
        <w:pStyle w:val="Body"/>
      </w:pPr>
      <w:r w:rsidRPr="00BC66AC">
        <w:t>While the variation in assessment complexity is reflected in the level of assessment set, a number of other factors affect how complex a proposal is to assess. To account for this range in difficulty, each assessment completed is assigned a weighting according to a matrix.</w:t>
      </w:r>
    </w:p>
    <w:p w:rsidR="00FD259A" w:rsidRPr="00BC66AC" w:rsidRDefault="00BC66AC" w:rsidP="00BC66AC">
      <w:pPr>
        <w:pStyle w:val="Body"/>
      </w:pPr>
      <w:r w:rsidRPr="00BC66AC">
        <w:t>It should be noted that, while the difficulty often influences the amount of time spent dealing with a proposal, the complexity weightings were allocated and trialled, in consultation with experienced officers, according to inherent proposal characteristics that cause a proposal to be more difficult rather than what causes an assessment to take more time to complete. This ensures that the indicator measures the efficiency of the OEPA’s provision of EIA advice to the EPA rather than the OEPA’s cost per hour</w:t>
      </w:r>
      <w:r w:rsidR="00FD259A" w:rsidRPr="00BC66AC">
        <w:t>.</w:t>
      </w:r>
    </w:p>
    <w:p w:rsidR="00FD259A" w:rsidRPr="00A87176" w:rsidRDefault="00FD259A" w:rsidP="00A87176">
      <w:pPr>
        <w:pStyle w:val="Heading4"/>
      </w:pPr>
      <w:r w:rsidRPr="00A87176">
        <w:t>Explanatory notes:</w:t>
      </w:r>
    </w:p>
    <w:p w:rsidR="00FD259A" w:rsidRPr="00A87176" w:rsidRDefault="00BC66AC" w:rsidP="00A87176">
      <w:pPr>
        <w:pStyle w:val="Body"/>
      </w:pPr>
      <w:r w:rsidRPr="005D6BC7">
        <w:t xml:space="preserve">There can be significant variation in time taken and resources expended on individual proposals depending on a variety of factors (scale, experience of the </w:t>
      </w:r>
      <w:r w:rsidRPr="005D6BC7">
        <w:lastRenderedPageBreak/>
        <w:t xml:space="preserve">proponent, sensitivity of the receiving environment, degree of public interest). </w:t>
      </w:r>
      <w:r>
        <w:t>This will cause a variance between budget estimates and actual cost per unit</w:t>
      </w:r>
      <w:r w:rsidR="00FD259A" w:rsidRPr="00A87176">
        <w:t>.</w:t>
      </w:r>
    </w:p>
    <w:p w:rsidR="00FD259A" w:rsidRPr="00A87176" w:rsidRDefault="00FD259A" w:rsidP="00A87176">
      <w:pPr>
        <w:pStyle w:val="Heading3"/>
      </w:pPr>
      <w:bookmarkStart w:id="330" w:name="_Toc427745967"/>
      <w:bookmarkStart w:id="331" w:name="_Toc428279220"/>
      <w:r w:rsidRPr="00A87176">
        <w:t>Service 2: Environmental management services to the EPA</w:t>
      </w:r>
      <w:bookmarkEnd w:id="330"/>
      <w:bookmarkEnd w:id="331"/>
    </w:p>
    <w:p w:rsidR="00FD259A" w:rsidRDefault="00FD259A" w:rsidP="00A87176">
      <w:pPr>
        <w:pStyle w:val="Body"/>
        <w:rPr>
          <w:lang w:eastAsia="en-AU"/>
        </w:rPr>
      </w:pPr>
      <w:r w:rsidRPr="00DD339D">
        <w:rPr>
          <w:lang w:eastAsia="en-AU"/>
        </w:rPr>
        <w:t>Develop, for the EPA, statutory policies, guidelines and strategic advice to manage environmental impacts and protect the environment</w:t>
      </w:r>
      <w:r>
        <w:rPr>
          <w:lang w:eastAsia="en-AU"/>
        </w:rPr>
        <w:t>.</w:t>
      </w:r>
    </w:p>
    <w:p w:rsidR="00FD259A" w:rsidRPr="00A87176" w:rsidRDefault="00BC66AC" w:rsidP="00A87176">
      <w:pPr>
        <w:pStyle w:val="Heading4"/>
      </w:pPr>
      <w:r>
        <w:t xml:space="preserve">2.1 </w:t>
      </w:r>
      <w:r w:rsidR="00FD259A" w:rsidRPr="00A87176">
        <w:t>Cost per standardised unit of environmental management output</w:t>
      </w:r>
    </w:p>
    <w:p w:rsidR="00FD259A" w:rsidRPr="00F85AAB" w:rsidRDefault="00FD259A" w:rsidP="00FD259A">
      <w:pPr>
        <w:rPr>
          <w:lang w:eastAsia="en-AU"/>
        </w:rPr>
      </w:pPr>
    </w:p>
    <w:tbl>
      <w:tblPr>
        <w:tblW w:w="8362" w:type="dxa"/>
        <w:tblInd w:w="1241" w:type="dxa"/>
        <w:tblBorders>
          <w:bottom w:val="dotted" w:sz="8" w:space="0" w:color="5F5839" w:themeColor="accent4" w:themeShade="80"/>
          <w:insideH w:val="dotted" w:sz="8" w:space="0" w:color="5F5839" w:themeColor="accent4" w:themeShade="80"/>
        </w:tblBorders>
        <w:tblLayout w:type="fixed"/>
        <w:tblCellMar>
          <w:top w:w="28" w:type="dxa"/>
          <w:left w:w="85" w:type="dxa"/>
          <w:bottom w:w="28" w:type="dxa"/>
          <w:right w:w="85" w:type="dxa"/>
        </w:tblCellMar>
        <w:tblLook w:val="04A0" w:firstRow="1" w:lastRow="0" w:firstColumn="1" w:lastColumn="0" w:noHBand="0" w:noVBand="1"/>
      </w:tblPr>
      <w:tblGrid>
        <w:gridCol w:w="2891"/>
        <w:gridCol w:w="1134"/>
        <w:gridCol w:w="1134"/>
        <w:gridCol w:w="1134"/>
        <w:gridCol w:w="1134"/>
        <w:gridCol w:w="935"/>
      </w:tblGrid>
      <w:tr w:rsidR="00BC66AC" w:rsidRPr="007043E4" w:rsidTr="00261799">
        <w:trPr>
          <w:trHeight w:val="255"/>
          <w:tblHeader/>
        </w:trPr>
        <w:tc>
          <w:tcPr>
            <w:tcW w:w="2891" w:type="dxa"/>
            <w:tcBorders>
              <w:top w:val="single" w:sz="4" w:space="0" w:color="E0DCCB" w:themeColor="accent4" w:themeTint="66"/>
              <w:bottom w:val="single" w:sz="4" w:space="0" w:color="E0DCCB" w:themeColor="accent4" w:themeTint="66"/>
            </w:tcBorders>
            <w:shd w:val="clear" w:color="auto" w:fill="E0DCCB" w:themeFill="accent4" w:themeFillTint="66"/>
            <w:vAlign w:val="center"/>
            <w:hideMark/>
          </w:tcPr>
          <w:p w:rsidR="00BC66AC" w:rsidRPr="007043E4" w:rsidRDefault="00BC66AC" w:rsidP="002660B8">
            <w:pPr>
              <w:spacing w:line="240" w:lineRule="auto"/>
              <w:rPr>
                <w:rFonts w:ascii="Arial" w:eastAsia="Times New Roman" w:hAnsi="Arial" w:cs="Arial"/>
                <w:sz w:val="20"/>
                <w:szCs w:val="20"/>
                <w:lang w:eastAsia="en-AU"/>
              </w:rPr>
            </w:pPr>
          </w:p>
        </w:tc>
        <w:tc>
          <w:tcPr>
            <w:tcW w:w="1134" w:type="dxa"/>
            <w:tcBorders>
              <w:top w:val="single" w:sz="4" w:space="0" w:color="E0DCCB" w:themeColor="accent4" w:themeTint="66"/>
              <w:bottom w:val="single" w:sz="4" w:space="0" w:color="E0DCCB" w:themeColor="accent4" w:themeTint="66"/>
            </w:tcBorders>
            <w:shd w:val="clear" w:color="auto" w:fill="E0DCCB" w:themeFill="accent4" w:themeFillTint="66"/>
          </w:tcPr>
          <w:p w:rsidR="00BC66AC" w:rsidRPr="007043E4" w:rsidRDefault="00BC66AC" w:rsidP="002660B8">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2013-14 Actual</w:t>
            </w:r>
            <w:r>
              <w:rPr>
                <w:rFonts w:ascii="Arial" w:eastAsia="Times New Roman" w:hAnsi="Arial" w:cs="Arial"/>
                <w:b/>
                <w:bCs/>
                <w:sz w:val="20"/>
                <w:szCs w:val="20"/>
                <w:lang w:eastAsia="en-AU"/>
              </w:rPr>
              <w:br/>
              <w:t>$</w:t>
            </w:r>
          </w:p>
        </w:tc>
        <w:tc>
          <w:tcPr>
            <w:tcW w:w="1134" w:type="dxa"/>
            <w:tcBorders>
              <w:top w:val="single" w:sz="4" w:space="0" w:color="E0DCCB" w:themeColor="accent4" w:themeTint="66"/>
              <w:bottom w:val="single" w:sz="4" w:space="0" w:color="E0DCCB" w:themeColor="accent4" w:themeTint="66"/>
            </w:tcBorders>
            <w:shd w:val="clear" w:color="auto" w:fill="E0DCCB" w:themeFill="accent4" w:themeFillTint="66"/>
          </w:tcPr>
          <w:p w:rsidR="00BC66AC" w:rsidRPr="007043E4" w:rsidRDefault="00BC66AC" w:rsidP="002660B8">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2014-15</w:t>
            </w:r>
            <w:r>
              <w:rPr>
                <w:rFonts w:ascii="Arial" w:eastAsia="Times New Roman" w:hAnsi="Arial" w:cs="Arial"/>
                <w:b/>
                <w:bCs/>
                <w:sz w:val="20"/>
                <w:szCs w:val="20"/>
                <w:lang w:eastAsia="en-AU"/>
              </w:rPr>
              <w:br/>
              <w:t>Target</w:t>
            </w:r>
            <w:r>
              <w:rPr>
                <w:rFonts w:ascii="Arial" w:eastAsia="Times New Roman" w:hAnsi="Arial" w:cs="Arial"/>
                <w:b/>
                <w:bCs/>
                <w:sz w:val="20"/>
                <w:szCs w:val="20"/>
                <w:lang w:eastAsia="en-AU"/>
              </w:rPr>
              <w:br/>
              <w:t>$</w:t>
            </w:r>
          </w:p>
        </w:tc>
        <w:tc>
          <w:tcPr>
            <w:tcW w:w="1134" w:type="dxa"/>
            <w:tcBorders>
              <w:top w:val="single" w:sz="4" w:space="0" w:color="E0DCCB" w:themeColor="accent4" w:themeTint="66"/>
              <w:bottom w:val="single" w:sz="4" w:space="0" w:color="E0DCCB" w:themeColor="accent4" w:themeTint="66"/>
            </w:tcBorders>
            <w:shd w:val="clear" w:color="auto" w:fill="E0DCCB" w:themeFill="accent4" w:themeFillTint="66"/>
            <w:hideMark/>
          </w:tcPr>
          <w:p w:rsidR="00BC66AC" w:rsidRPr="007043E4" w:rsidRDefault="00BC66AC" w:rsidP="002660B8">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2014-15</w:t>
            </w:r>
            <w:r>
              <w:rPr>
                <w:rFonts w:ascii="Arial" w:eastAsia="Times New Roman" w:hAnsi="Arial" w:cs="Arial"/>
                <w:b/>
                <w:bCs/>
                <w:sz w:val="20"/>
                <w:szCs w:val="20"/>
                <w:lang w:eastAsia="en-AU"/>
              </w:rPr>
              <w:br/>
              <w:t>Actual</w:t>
            </w:r>
            <w:r>
              <w:rPr>
                <w:rFonts w:ascii="Arial" w:eastAsia="Times New Roman" w:hAnsi="Arial" w:cs="Arial"/>
                <w:b/>
                <w:bCs/>
                <w:sz w:val="20"/>
                <w:szCs w:val="20"/>
                <w:lang w:eastAsia="en-AU"/>
              </w:rPr>
              <w:br/>
              <w:t>$</w:t>
            </w:r>
          </w:p>
        </w:tc>
        <w:tc>
          <w:tcPr>
            <w:tcW w:w="1134" w:type="dxa"/>
            <w:tcBorders>
              <w:top w:val="single" w:sz="4" w:space="0" w:color="E0DCCB" w:themeColor="accent4" w:themeTint="66"/>
              <w:bottom w:val="single" w:sz="4" w:space="0" w:color="E0DCCB" w:themeColor="accent4" w:themeTint="66"/>
            </w:tcBorders>
            <w:shd w:val="clear" w:color="auto" w:fill="E0DCCB" w:themeFill="accent4" w:themeFillTint="66"/>
          </w:tcPr>
          <w:p w:rsidR="00BC66AC" w:rsidRPr="007043E4" w:rsidRDefault="00BC66AC" w:rsidP="002660B8">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 xml:space="preserve">2014-15 </w:t>
            </w:r>
            <w:r w:rsidRPr="004B546B">
              <w:rPr>
                <w:rFonts w:ascii="Arial" w:eastAsia="Times New Roman" w:hAnsi="Arial" w:cs="Arial"/>
                <w:b/>
                <w:bCs/>
                <w:sz w:val="20"/>
                <w:szCs w:val="20"/>
                <w:lang w:eastAsia="en-AU"/>
              </w:rPr>
              <w:t>Variance Of Target To Actual</w:t>
            </w:r>
            <w:r>
              <w:rPr>
                <w:rFonts w:ascii="Arial" w:eastAsia="Times New Roman" w:hAnsi="Arial" w:cs="Arial"/>
                <w:b/>
                <w:bCs/>
                <w:sz w:val="20"/>
                <w:szCs w:val="20"/>
                <w:lang w:eastAsia="en-AU"/>
              </w:rPr>
              <w:t>$</w:t>
            </w:r>
          </w:p>
        </w:tc>
        <w:tc>
          <w:tcPr>
            <w:tcW w:w="935" w:type="dxa"/>
            <w:tcBorders>
              <w:top w:val="single" w:sz="4" w:space="0" w:color="E0DCCB" w:themeColor="accent4" w:themeTint="66"/>
              <w:bottom w:val="single" w:sz="4" w:space="0" w:color="E0DCCB" w:themeColor="accent4" w:themeTint="66"/>
            </w:tcBorders>
            <w:shd w:val="clear" w:color="auto" w:fill="E0DCCB" w:themeFill="accent4" w:themeFillTint="66"/>
          </w:tcPr>
          <w:p w:rsidR="00BC66AC" w:rsidRDefault="00BC66AC" w:rsidP="002660B8">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w:t>
            </w:r>
          </w:p>
        </w:tc>
      </w:tr>
      <w:tr w:rsidR="00BC66AC" w:rsidRPr="009F12BE" w:rsidTr="00261799">
        <w:trPr>
          <w:trHeight w:val="1149"/>
        </w:trPr>
        <w:tc>
          <w:tcPr>
            <w:tcW w:w="2891" w:type="dxa"/>
            <w:tcBorders>
              <w:top w:val="single" w:sz="4" w:space="0" w:color="E0DCCB" w:themeColor="accent4" w:themeTint="66"/>
              <w:bottom w:val="nil"/>
            </w:tcBorders>
            <w:shd w:val="clear" w:color="auto" w:fill="E0DCCB" w:themeFill="accent4" w:themeFillTint="66"/>
            <w:vAlign w:val="center"/>
          </w:tcPr>
          <w:p w:rsidR="00BC66AC" w:rsidRPr="00BD2E12" w:rsidRDefault="00BC66AC" w:rsidP="000D7F37">
            <w:pPr>
              <w:spacing w:after="0"/>
              <w:rPr>
                <w:rFonts w:eastAsia="HelveticaNeueLT Com 56 It" w:cstheme="minorHAnsi"/>
                <w:spacing w:val="1"/>
                <w:sz w:val="22"/>
              </w:rPr>
            </w:pPr>
            <w:r w:rsidRPr="00AE37FC">
              <w:rPr>
                <w:rFonts w:eastAsia="HelveticaNeueLT Com 56 It" w:cstheme="minorHAnsi"/>
                <w:spacing w:val="1"/>
                <w:sz w:val="22"/>
              </w:rPr>
              <w:t xml:space="preserve">Cost per standardised unit of </w:t>
            </w:r>
            <w:r>
              <w:rPr>
                <w:rFonts w:eastAsia="HelveticaNeueLT Com 56 It" w:cstheme="minorHAnsi"/>
                <w:spacing w:val="1"/>
                <w:sz w:val="22"/>
              </w:rPr>
              <w:t>environmental management services</w:t>
            </w:r>
            <w:r w:rsidRPr="00AE37FC">
              <w:rPr>
                <w:rFonts w:eastAsia="HelveticaNeueLT Com 56 It" w:cstheme="minorHAnsi"/>
                <w:spacing w:val="1"/>
                <w:sz w:val="22"/>
              </w:rPr>
              <w:t xml:space="preserve"> </w:t>
            </w:r>
            <w:r>
              <w:rPr>
                <w:rFonts w:eastAsia="HelveticaNeueLT Com 56 It" w:cstheme="minorHAnsi"/>
                <w:spacing w:val="1"/>
                <w:sz w:val="22"/>
              </w:rPr>
              <w:t>o</w:t>
            </w:r>
            <w:r w:rsidRPr="00AE37FC">
              <w:rPr>
                <w:rFonts w:eastAsia="HelveticaNeueLT Com 56 It" w:cstheme="minorHAnsi"/>
                <w:spacing w:val="1"/>
                <w:sz w:val="22"/>
              </w:rPr>
              <w:t>utput</w:t>
            </w:r>
          </w:p>
        </w:tc>
        <w:tc>
          <w:tcPr>
            <w:tcW w:w="1134" w:type="dxa"/>
            <w:tcBorders>
              <w:top w:val="single" w:sz="4" w:space="0" w:color="E0DCCB" w:themeColor="accent4" w:themeTint="66"/>
              <w:bottom w:val="single" w:sz="4" w:space="0" w:color="E0DCCB" w:themeColor="accent4" w:themeTint="66"/>
              <w:right w:val="single" w:sz="4" w:space="0" w:color="E0DCCB" w:themeColor="accent4" w:themeTint="66"/>
            </w:tcBorders>
            <w:vAlign w:val="center"/>
          </w:tcPr>
          <w:p w:rsidR="00BC66AC" w:rsidRPr="009F12BE" w:rsidRDefault="00BC66AC" w:rsidP="00BC66AC">
            <w:pPr>
              <w:spacing w:after="0"/>
              <w:jc w:val="right"/>
              <w:rPr>
                <w:sz w:val="22"/>
                <w:lang w:eastAsia="en-AU"/>
              </w:rPr>
            </w:pPr>
            <w:r>
              <w:rPr>
                <w:sz w:val="22"/>
                <w:lang w:eastAsia="en-AU"/>
              </w:rPr>
              <w:t>n/a</w:t>
            </w:r>
          </w:p>
        </w:tc>
        <w:tc>
          <w:tcPr>
            <w:tcW w:w="1134" w:type="dxa"/>
            <w:tcBorders>
              <w:top w:val="single" w:sz="4" w:space="0" w:color="E0DCCB" w:themeColor="accent4" w:themeTint="66"/>
              <w:left w:val="single" w:sz="4" w:space="0" w:color="E0DCCB" w:themeColor="accent4" w:themeTint="66"/>
              <w:bottom w:val="single" w:sz="4" w:space="0" w:color="E0DCCB" w:themeColor="accent4" w:themeTint="66"/>
            </w:tcBorders>
            <w:shd w:val="clear" w:color="auto" w:fill="auto"/>
            <w:vAlign w:val="center"/>
          </w:tcPr>
          <w:p w:rsidR="00BC66AC" w:rsidRPr="009F12BE" w:rsidRDefault="00BC66AC" w:rsidP="00BC66AC">
            <w:pPr>
              <w:spacing w:after="0"/>
              <w:jc w:val="right"/>
              <w:rPr>
                <w:sz w:val="22"/>
                <w:lang w:eastAsia="en-AU"/>
              </w:rPr>
            </w:pPr>
            <w:r>
              <w:rPr>
                <w:sz w:val="22"/>
                <w:lang w:eastAsia="en-AU"/>
              </w:rPr>
              <w:t>39,136</w:t>
            </w:r>
          </w:p>
        </w:tc>
        <w:tc>
          <w:tcPr>
            <w:tcW w:w="1134"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BC66AC" w:rsidRPr="009F12BE" w:rsidRDefault="00BC66AC" w:rsidP="00BC66AC">
            <w:pPr>
              <w:spacing w:after="0"/>
              <w:jc w:val="right"/>
              <w:rPr>
                <w:sz w:val="22"/>
                <w:lang w:eastAsia="en-AU"/>
              </w:rPr>
            </w:pPr>
            <w:r>
              <w:rPr>
                <w:sz w:val="22"/>
                <w:lang w:eastAsia="en-AU"/>
              </w:rPr>
              <w:t>18,762</w:t>
            </w:r>
          </w:p>
        </w:tc>
        <w:tc>
          <w:tcPr>
            <w:tcW w:w="1134" w:type="dxa"/>
            <w:tcBorders>
              <w:top w:val="single" w:sz="4" w:space="0" w:color="E0DCCB" w:themeColor="accent4" w:themeTint="66"/>
              <w:bottom w:val="single" w:sz="4" w:space="0" w:color="E0DCCB" w:themeColor="accent4" w:themeTint="66"/>
              <w:right w:val="single" w:sz="4" w:space="0" w:color="E0DCCB" w:themeColor="accent4" w:themeTint="66"/>
            </w:tcBorders>
            <w:vAlign w:val="center"/>
          </w:tcPr>
          <w:p w:rsidR="00BC66AC" w:rsidRPr="009F12BE" w:rsidRDefault="00BC66AC" w:rsidP="00BC66AC">
            <w:pPr>
              <w:spacing w:after="0"/>
              <w:jc w:val="right"/>
              <w:rPr>
                <w:sz w:val="22"/>
                <w:lang w:eastAsia="en-AU"/>
              </w:rPr>
            </w:pPr>
            <w:r>
              <w:rPr>
                <w:sz w:val="22"/>
                <w:lang w:eastAsia="en-AU"/>
              </w:rPr>
              <w:t>(20,374)</w:t>
            </w:r>
          </w:p>
        </w:tc>
        <w:tc>
          <w:tcPr>
            <w:tcW w:w="935" w:type="dxa"/>
            <w:tcBorders>
              <w:top w:val="single" w:sz="4" w:space="0" w:color="E0DCCB" w:themeColor="accent4" w:themeTint="66"/>
              <w:bottom w:val="single" w:sz="4" w:space="0" w:color="E0DCCB" w:themeColor="accent4" w:themeTint="66"/>
              <w:right w:val="single" w:sz="4" w:space="0" w:color="E0DCCB" w:themeColor="accent4" w:themeTint="66"/>
            </w:tcBorders>
            <w:vAlign w:val="center"/>
          </w:tcPr>
          <w:p w:rsidR="00BC66AC" w:rsidRDefault="00BC66AC" w:rsidP="00BC66AC">
            <w:pPr>
              <w:spacing w:after="0"/>
              <w:jc w:val="center"/>
              <w:rPr>
                <w:sz w:val="22"/>
                <w:lang w:eastAsia="en-AU"/>
              </w:rPr>
            </w:pPr>
            <w:r>
              <w:rPr>
                <w:sz w:val="22"/>
                <w:lang w:eastAsia="en-AU"/>
              </w:rPr>
              <w:t>(52%)</w:t>
            </w:r>
          </w:p>
        </w:tc>
      </w:tr>
      <w:tr w:rsidR="00BC66AC" w:rsidRPr="00365475" w:rsidTr="00261799">
        <w:trPr>
          <w:trHeight w:val="80"/>
        </w:trPr>
        <w:tc>
          <w:tcPr>
            <w:tcW w:w="2891" w:type="dxa"/>
            <w:tcBorders>
              <w:top w:val="nil"/>
              <w:bottom w:val="nil"/>
            </w:tcBorders>
            <w:shd w:val="clear" w:color="auto" w:fill="FFFFFF" w:themeFill="background1"/>
            <w:vAlign w:val="center"/>
          </w:tcPr>
          <w:p w:rsidR="00BC66AC" w:rsidRPr="00365475" w:rsidRDefault="00BC66AC" w:rsidP="002660B8">
            <w:pPr>
              <w:rPr>
                <w:rFonts w:eastAsia="HelveticaNeueLT Com 56 It" w:cstheme="minorHAnsi"/>
                <w:spacing w:val="1"/>
                <w:sz w:val="16"/>
                <w:szCs w:val="16"/>
              </w:rPr>
            </w:pPr>
          </w:p>
        </w:tc>
        <w:tc>
          <w:tcPr>
            <w:tcW w:w="1134" w:type="dxa"/>
            <w:tcBorders>
              <w:top w:val="single" w:sz="4" w:space="0" w:color="E0DCCB" w:themeColor="accent4" w:themeTint="66"/>
              <w:bottom w:val="nil"/>
            </w:tcBorders>
            <w:shd w:val="clear" w:color="auto" w:fill="FFFFFF" w:themeFill="background1"/>
          </w:tcPr>
          <w:p w:rsidR="00BC66AC" w:rsidRPr="00365475" w:rsidRDefault="00BC66AC" w:rsidP="002660B8">
            <w:pPr>
              <w:jc w:val="right"/>
              <w:rPr>
                <w:sz w:val="16"/>
                <w:szCs w:val="16"/>
                <w:lang w:eastAsia="en-AU"/>
              </w:rPr>
            </w:pPr>
          </w:p>
        </w:tc>
        <w:tc>
          <w:tcPr>
            <w:tcW w:w="1134" w:type="dxa"/>
            <w:tcBorders>
              <w:top w:val="single" w:sz="4" w:space="0" w:color="E0DCCB" w:themeColor="accent4" w:themeTint="66"/>
              <w:bottom w:val="nil"/>
            </w:tcBorders>
            <w:shd w:val="clear" w:color="auto" w:fill="FFFFFF" w:themeFill="background1"/>
          </w:tcPr>
          <w:p w:rsidR="00BC66AC" w:rsidRPr="00365475" w:rsidRDefault="00BC66AC" w:rsidP="002660B8">
            <w:pPr>
              <w:jc w:val="right"/>
              <w:rPr>
                <w:sz w:val="16"/>
                <w:szCs w:val="16"/>
                <w:lang w:eastAsia="en-AU"/>
              </w:rPr>
            </w:pPr>
          </w:p>
        </w:tc>
        <w:tc>
          <w:tcPr>
            <w:tcW w:w="1134" w:type="dxa"/>
            <w:tcBorders>
              <w:top w:val="single" w:sz="4" w:space="0" w:color="E0DCCB" w:themeColor="accent4" w:themeTint="66"/>
              <w:bottom w:val="nil"/>
            </w:tcBorders>
            <w:shd w:val="clear" w:color="auto" w:fill="FFFFFF" w:themeFill="background1"/>
          </w:tcPr>
          <w:p w:rsidR="00BC66AC" w:rsidRPr="00365475" w:rsidRDefault="00BC66AC" w:rsidP="002660B8">
            <w:pPr>
              <w:jc w:val="right"/>
              <w:rPr>
                <w:sz w:val="16"/>
                <w:szCs w:val="16"/>
                <w:lang w:eastAsia="en-AU"/>
              </w:rPr>
            </w:pPr>
          </w:p>
        </w:tc>
        <w:tc>
          <w:tcPr>
            <w:tcW w:w="1134" w:type="dxa"/>
            <w:tcBorders>
              <w:top w:val="single" w:sz="4" w:space="0" w:color="E0DCCB" w:themeColor="accent4" w:themeTint="66"/>
              <w:bottom w:val="nil"/>
            </w:tcBorders>
            <w:shd w:val="clear" w:color="auto" w:fill="FFFFFF" w:themeFill="background1"/>
          </w:tcPr>
          <w:p w:rsidR="00BC66AC" w:rsidRPr="00365475" w:rsidRDefault="00BC66AC" w:rsidP="002660B8">
            <w:pPr>
              <w:jc w:val="right"/>
              <w:rPr>
                <w:sz w:val="16"/>
                <w:szCs w:val="16"/>
                <w:lang w:eastAsia="en-AU"/>
              </w:rPr>
            </w:pPr>
          </w:p>
        </w:tc>
        <w:tc>
          <w:tcPr>
            <w:tcW w:w="935" w:type="dxa"/>
            <w:tcBorders>
              <w:top w:val="single" w:sz="4" w:space="0" w:color="E0DCCB" w:themeColor="accent4" w:themeTint="66"/>
              <w:bottom w:val="nil"/>
            </w:tcBorders>
            <w:shd w:val="clear" w:color="auto" w:fill="FFFFFF" w:themeFill="background1"/>
          </w:tcPr>
          <w:p w:rsidR="00BC66AC" w:rsidRPr="00365475" w:rsidRDefault="00BC66AC" w:rsidP="002660B8">
            <w:pPr>
              <w:jc w:val="right"/>
              <w:rPr>
                <w:sz w:val="16"/>
                <w:szCs w:val="16"/>
                <w:lang w:eastAsia="en-AU"/>
              </w:rPr>
            </w:pPr>
          </w:p>
        </w:tc>
      </w:tr>
    </w:tbl>
    <w:p w:rsidR="00FD259A" w:rsidRPr="00307C0A" w:rsidRDefault="00FD259A" w:rsidP="00307C0A">
      <w:pPr>
        <w:pStyle w:val="Body"/>
        <w:rPr>
          <w:i/>
        </w:rPr>
      </w:pPr>
      <w:r w:rsidRPr="00307C0A">
        <w:rPr>
          <w:i/>
        </w:rPr>
        <w:t>How the indicator is calculated:</w:t>
      </w:r>
    </w:p>
    <w:p w:rsidR="00EA356F" w:rsidRPr="00EA356F" w:rsidRDefault="00EA356F" w:rsidP="00EA356F">
      <w:pPr>
        <w:pStyle w:val="Body"/>
      </w:pPr>
      <w:r w:rsidRPr="00EA356F">
        <w:t xml:space="preserve">The cost per standardised unit of Environmental Management services output is calculated by dividing the total cost of Environmental Management services (including an allocation of administrative support) by the total complexity weighting of Environmental Management services endorsed during the period. </w:t>
      </w:r>
    </w:p>
    <w:p w:rsidR="00EA356F" w:rsidRPr="00EA356F" w:rsidRDefault="00EA356F" w:rsidP="00EA356F">
      <w:pPr>
        <w:pStyle w:val="Body"/>
      </w:pPr>
      <w:r w:rsidRPr="00EA356F">
        <w:t>Because of the great variation in complexity of Environmental Management services provided, an average cost per piece of advice provided would not fairly represent the OEPA’s efficiency in providing such advice to the EPA. In fact, such a measure could provide a perverse incentive to produce many straightforward pieces of advice rather than tackling more complex issues that are more difficult to investigate. To account for this range in difficulty, each assessment completed is assigned a weighting according to a matrix.</w:t>
      </w:r>
    </w:p>
    <w:p w:rsidR="00FD259A" w:rsidRPr="00EA356F" w:rsidRDefault="00EA356F" w:rsidP="00EA356F">
      <w:pPr>
        <w:pStyle w:val="Body"/>
      </w:pPr>
      <w:r w:rsidRPr="00EA356F">
        <w:t>It should be noted that, while the difficulty often influences the amount of time spent investigating a matter, the complexity weightings were allocated, in consultation with experienced officers, according to inherent characteristics that cause a piece of Environmental Management advice to be more difficult rather than what causes it to take more time to complete. This ensures that the indicator measures the efficiency of the OEPA’s provision of Environmental Management advice to the EPA rather than the OEPA’s cost per hour.</w:t>
      </w:r>
    </w:p>
    <w:p w:rsidR="00FD259A" w:rsidRPr="00307C0A" w:rsidRDefault="00FD259A" w:rsidP="00307C0A">
      <w:pPr>
        <w:pStyle w:val="Heading4"/>
      </w:pPr>
      <w:r w:rsidRPr="00307C0A">
        <w:t>Explanatory notes</w:t>
      </w:r>
    </w:p>
    <w:p w:rsidR="00EA356F" w:rsidRPr="00EA356F" w:rsidRDefault="00EA356F" w:rsidP="00EA356F">
      <w:pPr>
        <w:pStyle w:val="Body"/>
      </w:pPr>
      <w:r w:rsidRPr="00EA356F">
        <w:t xml:space="preserve">The complexity weighting given to each product consider whether it is a draft or final version, the extent of its likely influence, the extent of alignment </w:t>
      </w:r>
      <w:r w:rsidRPr="00EA356F">
        <w:lastRenderedPageBreak/>
        <w:t xml:space="preserve">required with other agency policies, the approval process required (such as Cabinet for Environmental Protection policies), and the extent to which additional research is required to inform its development. </w:t>
      </w:r>
    </w:p>
    <w:p w:rsidR="00EA356F" w:rsidRPr="00EA356F" w:rsidRDefault="00EA356F" w:rsidP="00EA356F">
      <w:pPr>
        <w:pStyle w:val="Body"/>
      </w:pPr>
      <w:r w:rsidRPr="00EA356F">
        <w:t>This is a new indicator which, while bearing similarity to the previous indicator of ‘average cost per policy development’, is calculated in a different way with different complexity weightings which more accurately represent complexity rather than time taken. Therefore the outcome for 2014</w:t>
      </w:r>
      <w:r w:rsidR="00B7406D">
        <w:t>–</w:t>
      </w:r>
      <w:r w:rsidRPr="00EA356F">
        <w:t xml:space="preserve">15 cannot be compared to the outcomes of previous reporting periods. </w:t>
      </w:r>
    </w:p>
    <w:p w:rsidR="00FD259A" w:rsidRPr="00EA356F" w:rsidRDefault="00EA356F" w:rsidP="00EA356F">
      <w:pPr>
        <w:pStyle w:val="Body"/>
      </w:pPr>
      <w:r w:rsidRPr="00EA356F">
        <w:t>As a new indicator, the OEPA estimated the target without previous experience in applying this indicator. The cost per unit is significantly less than that predicted, which reflects the lack of experience to setting the target</w:t>
      </w:r>
      <w:r>
        <w:t>.</w:t>
      </w:r>
    </w:p>
    <w:p w:rsidR="00FD259A" w:rsidRPr="00307C0A" w:rsidRDefault="00FD259A" w:rsidP="00307C0A">
      <w:pPr>
        <w:pStyle w:val="Heading3"/>
      </w:pPr>
      <w:bookmarkStart w:id="332" w:name="_Toc427745968"/>
      <w:bookmarkStart w:id="333" w:name="_Toc428279221"/>
      <w:r w:rsidRPr="00307C0A">
        <w:t>Service 3: Compliance monitoring services to the Minister</w:t>
      </w:r>
      <w:bookmarkEnd w:id="332"/>
      <w:bookmarkEnd w:id="333"/>
    </w:p>
    <w:p w:rsidR="00FD259A" w:rsidRPr="000B75C3" w:rsidRDefault="00FD259A" w:rsidP="00307C0A">
      <w:pPr>
        <w:pStyle w:val="Body"/>
        <w:rPr>
          <w:lang w:eastAsia="en-AU"/>
        </w:rPr>
      </w:pPr>
      <w:r w:rsidRPr="000B75C3">
        <w:rPr>
          <w:lang w:eastAsia="en-AU"/>
        </w:rPr>
        <w:t>Audit the compliance with conditions set under Ministerial approvals and undertake enforcement action as appropriate.</w:t>
      </w:r>
    </w:p>
    <w:p w:rsidR="00FD259A" w:rsidRPr="00307C0A" w:rsidRDefault="00B7406D" w:rsidP="00124982">
      <w:pPr>
        <w:pStyle w:val="Heading4"/>
        <w:spacing w:before="240" w:after="240"/>
      </w:pPr>
      <w:r>
        <w:t xml:space="preserve">3.1 </w:t>
      </w:r>
      <w:r w:rsidR="00FD259A" w:rsidRPr="00307C0A">
        <w:t>Average cost per environmental audit completed</w:t>
      </w:r>
    </w:p>
    <w:tbl>
      <w:tblPr>
        <w:tblW w:w="8391" w:type="dxa"/>
        <w:tblInd w:w="1242" w:type="dxa"/>
        <w:tblBorders>
          <w:bottom w:val="dotted" w:sz="8" w:space="0" w:color="5F5839" w:themeColor="accent4" w:themeShade="80"/>
          <w:insideH w:val="dotted" w:sz="8" w:space="0" w:color="5F5839" w:themeColor="accent4" w:themeShade="80"/>
        </w:tblBorders>
        <w:tblLayout w:type="fixed"/>
        <w:tblLook w:val="04A0" w:firstRow="1" w:lastRow="0" w:firstColumn="1" w:lastColumn="0" w:noHBand="0" w:noVBand="1"/>
      </w:tblPr>
      <w:tblGrid>
        <w:gridCol w:w="1814"/>
        <w:gridCol w:w="964"/>
        <w:gridCol w:w="964"/>
        <w:gridCol w:w="964"/>
        <w:gridCol w:w="964"/>
        <w:gridCol w:w="964"/>
        <w:gridCol w:w="1077"/>
        <w:gridCol w:w="680"/>
      </w:tblGrid>
      <w:tr w:rsidR="00B7406D" w:rsidRPr="007043E4" w:rsidTr="00261799">
        <w:trPr>
          <w:trHeight w:val="255"/>
          <w:tblHeader/>
        </w:trPr>
        <w:tc>
          <w:tcPr>
            <w:tcW w:w="1814" w:type="dxa"/>
            <w:tcBorders>
              <w:top w:val="single" w:sz="4" w:space="0" w:color="E0DCCB" w:themeColor="accent4" w:themeTint="66"/>
              <w:bottom w:val="single" w:sz="4" w:space="0" w:color="E0DCCB" w:themeColor="accent4" w:themeTint="66"/>
            </w:tcBorders>
            <w:shd w:val="clear" w:color="auto" w:fill="E0DCCB" w:themeFill="accent4" w:themeFillTint="66"/>
            <w:vAlign w:val="center"/>
            <w:hideMark/>
          </w:tcPr>
          <w:p w:rsidR="00B7406D" w:rsidRPr="007043E4" w:rsidRDefault="00B7406D" w:rsidP="00A04017">
            <w:pPr>
              <w:spacing w:line="240" w:lineRule="auto"/>
              <w:jc w:val="center"/>
              <w:rPr>
                <w:rFonts w:ascii="Arial" w:eastAsia="Times New Roman" w:hAnsi="Arial" w:cs="Arial"/>
                <w:sz w:val="20"/>
                <w:szCs w:val="20"/>
                <w:lang w:eastAsia="en-AU"/>
              </w:rPr>
            </w:pPr>
          </w:p>
        </w:tc>
        <w:tc>
          <w:tcPr>
            <w:tcW w:w="964"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B7406D" w:rsidRDefault="008B3D5C" w:rsidP="008B3D5C">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2011-12 Actual</w:t>
            </w:r>
            <w:r>
              <w:rPr>
                <w:rFonts w:ascii="Arial" w:eastAsia="Times New Roman" w:hAnsi="Arial" w:cs="Arial"/>
                <w:b/>
                <w:bCs/>
                <w:sz w:val="20"/>
                <w:szCs w:val="20"/>
                <w:lang w:eastAsia="en-AU"/>
              </w:rPr>
              <w:br/>
              <w:t>$</w:t>
            </w:r>
          </w:p>
        </w:tc>
        <w:tc>
          <w:tcPr>
            <w:tcW w:w="964"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B7406D" w:rsidRDefault="008B3D5C" w:rsidP="008B3D5C">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2012-13 Actual</w:t>
            </w:r>
            <w:r>
              <w:rPr>
                <w:rFonts w:ascii="Arial" w:eastAsia="Times New Roman" w:hAnsi="Arial" w:cs="Arial"/>
                <w:b/>
                <w:bCs/>
                <w:sz w:val="20"/>
                <w:szCs w:val="20"/>
                <w:lang w:eastAsia="en-AU"/>
              </w:rPr>
              <w:br/>
              <w:t>$</w:t>
            </w:r>
          </w:p>
        </w:tc>
        <w:tc>
          <w:tcPr>
            <w:tcW w:w="964"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B7406D" w:rsidRPr="007043E4" w:rsidRDefault="00B7406D" w:rsidP="00A04017">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2013-14 Actual</w:t>
            </w:r>
            <w:r>
              <w:rPr>
                <w:rFonts w:ascii="Arial" w:eastAsia="Times New Roman" w:hAnsi="Arial" w:cs="Arial"/>
                <w:b/>
                <w:bCs/>
                <w:sz w:val="20"/>
                <w:szCs w:val="20"/>
                <w:lang w:eastAsia="en-AU"/>
              </w:rPr>
              <w:br/>
              <w:t>$</w:t>
            </w:r>
          </w:p>
        </w:tc>
        <w:tc>
          <w:tcPr>
            <w:tcW w:w="964"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B7406D" w:rsidRPr="007043E4" w:rsidRDefault="00B7406D" w:rsidP="00A04017">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2014-15</w:t>
            </w:r>
            <w:r>
              <w:rPr>
                <w:rFonts w:ascii="Arial" w:eastAsia="Times New Roman" w:hAnsi="Arial" w:cs="Arial"/>
                <w:b/>
                <w:bCs/>
                <w:sz w:val="20"/>
                <w:szCs w:val="20"/>
                <w:lang w:eastAsia="en-AU"/>
              </w:rPr>
              <w:br/>
              <w:t>Target</w:t>
            </w:r>
            <w:r>
              <w:rPr>
                <w:rFonts w:ascii="Arial" w:eastAsia="Times New Roman" w:hAnsi="Arial" w:cs="Arial"/>
                <w:b/>
                <w:bCs/>
                <w:sz w:val="20"/>
                <w:szCs w:val="20"/>
                <w:lang w:eastAsia="en-AU"/>
              </w:rPr>
              <w:br/>
              <w:t>$</w:t>
            </w:r>
          </w:p>
        </w:tc>
        <w:tc>
          <w:tcPr>
            <w:tcW w:w="964" w:type="dxa"/>
            <w:tcBorders>
              <w:top w:val="single" w:sz="4" w:space="0" w:color="E0DCCB" w:themeColor="accent4" w:themeTint="66"/>
              <w:bottom w:val="single" w:sz="4" w:space="0" w:color="E0DCCB" w:themeColor="accent4" w:themeTint="66"/>
            </w:tcBorders>
            <w:shd w:val="clear" w:color="auto" w:fill="E0DCCB" w:themeFill="accent4" w:themeFillTint="66"/>
            <w:vAlign w:val="center"/>
            <w:hideMark/>
          </w:tcPr>
          <w:p w:rsidR="00B7406D" w:rsidRPr="007043E4" w:rsidRDefault="00B7406D" w:rsidP="00A04017">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2014-15</w:t>
            </w:r>
            <w:r>
              <w:rPr>
                <w:rFonts w:ascii="Arial" w:eastAsia="Times New Roman" w:hAnsi="Arial" w:cs="Arial"/>
                <w:b/>
                <w:bCs/>
                <w:sz w:val="20"/>
                <w:szCs w:val="20"/>
                <w:lang w:eastAsia="en-AU"/>
              </w:rPr>
              <w:br/>
              <w:t>Actual</w:t>
            </w:r>
            <w:r>
              <w:rPr>
                <w:rFonts w:ascii="Arial" w:eastAsia="Times New Roman" w:hAnsi="Arial" w:cs="Arial"/>
                <w:b/>
                <w:bCs/>
                <w:sz w:val="20"/>
                <w:szCs w:val="20"/>
                <w:lang w:eastAsia="en-AU"/>
              </w:rPr>
              <w:br/>
              <w:t>$</w:t>
            </w:r>
          </w:p>
        </w:tc>
        <w:tc>
          <w:tcPr>
            <w:tcW w:w="1077"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B7406D" w:rsidRPr="007043E4" w:rsidRDefault="00B7406D" w:rsidP="00A04017">
            <w:pPr>
              <w:spacing w:after="0"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 xml:space="preserve">2014-15 </w:t>
            </w:r>
            <w:r w:rsidRPr="004B546B">
              <w:rPr>
                <w:rFonts w:ascii="Arial" w:eastAsia="Times New Roman" w:hAnsi="Arial" w:cs="Arial"/>
                <w:b/>
                <w:bCs/>
                <w:sz w:val="20"/>
                <w:szCs w:val="20"/>
                <w:lang w:eastAsia="en-AU"/>
              </w:rPr>
              <w:t>Variance Of Target To Actual</w:t>
            </w:r>
            <w:r>
              <w:rPr>
                <w:rFonts w:ascii="Arial" w:eastAsia="Times New Roman" w:hAnsi="Arial" w:cs="Arial"/>
                <w:b/>
                <w:bCs/>
                <w:sz w:val="20"/>
                <w:szCs w:val="20"/>
                <w:lang w:eastAsia="en-AU"/>
              </w:rPr>
              <w:br/>
              <w:t>$</w:t>
            </w:r>
          </w:p>
        </w:tc>
        <w:tc>
          <w:tcPr>
            <w:tcW w:w="680"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B7406D" w:rsidRDefault="00A04017" w:rsidP="00A04017">
            <w:pPr>
              <w:spacing w:line="240" w:lineRule="auto"/>
              <w:jc w:val="center"/>
              <w:rPr>
                <w:rFonts w:ascii="Arial" w:eastAsia="Times New Roman" w:hAnsi="Arial" w:cs="Arial"/>
                <w:b/>
                <w:bCs/>
                <w:sz w:val="20"/>
                <w:szCs w:val="20"/>
                <w:lang w:eastAsia="en-AU"/>
              </w:rPr>
            </w:pPr>
            <w:r>
              <w:rPr>
                <w:rFonts w:ascii="Arial" w:eastAsia="Times New Roman" w:hAnsi="Arial" w:cs="Arial"/>
                <w:b/>
                <w:bCs/>
                <w:sz w:val="20"/>
                <w:szCs w:val="20"/>
                <w:lang w:eastAsia="en-AU"/>
              </w:rPr>
              <w:t>%</w:t>
            </w:r>
          </w:p>
        </w:tc>
      </w:tr>
      <w:tr w:rsidR="00B7406D" w:rsidRPr="009F12BE" w:rsidTr="00261799">
        <w:trPr>
          <w:trHeight w:val="270"/>
        </w:trPr>
        <w:tc>
          <w:tcPr>
            <w:tcW w:w="1814" w:type="dxa"/>
            <w:tcBorders>
              <w:top w:val="single" w:sz="4" w:space="0" w:color="E0DCCB" w:themeColor="accent4" w:themeTint="66"/>
              <w:bottom w:val="nil"/>
            </w:tcBorders>
            <w:shd w:val="clear" w:color="auto" w:fill="E0DCCB" w:themeFill="accent4" w:themeFillTint="66"/>
            <w:vAlign w:val="center"/>
          </w:tcPr>
          <w:p w:rsidR="00B7406D" w:rsidRPr="00BD2E12" w:rsidRDefault="00B7406D" w:rsidP="002660B8">
            <w:pPr>
              <w:rPr>
                <w:rFonts w:eastAsia="HelveticaNeueLT Com 56 It" w:cstheme="minorHAnsi"/>
                <w:spacing w:val="1"/>
                <w:sz w:val="22"/>
              </w:rPr>
            </w:pPr>
            <w:r>
              <w:rPr>
                <w:rFonts w:eastAsia="HelveticaNeueLT Com 56 It" w:cstheme="minorHAnsi"/>
                <w:spacing w:val="1"/>
                <w:sz w:val="22"/>
              </w:rPr>
              <w:t>Average cost per environmental audit completed</w:t>
            </w:r>
          </w:p>
        </w:tc>
        <w:tc>
          <w:tcPr>
            <w:tcW w:w="964" w:type="dxa"/>
            <w:tcBorders>
              <w:top w:val="single" w:sz="4" w:space="0" w:color="E0DCCB" w:themeColor="accent4" w:themeTint="66"/>
              <w:bottom w:val="single" w:sz="4" w:space="0" w:color="E0DCCB" w:themeColor="accent4" w:themeTint="66"/>
              <w:right w:val="single" w:sz="4" w:space="0" w:color="E0DCCB" w:themeColor="accent4" w:themeTint="66"/>
            </w:tcBorders>
            <w:vAlign w:val="center"/>
          </w:tcPr>
          <w:p w:rsidR="00B7406D" w:rsidRDefault="00A04017" w:rsidP="00A04017">
            <w:pPr>
              <w:jc w:val="right"/>
              <w:rPr>
                <w:sz w:val="22"/>
                <w:lang w:eastAsia="en-AU"/>
              </w:rPr>
            </w:pPr>
            <w:r>
              <w:rPr>
                <w:sz w:val="22"/>
                <w:lang w:eastAsia="en-AU"/>
              </w:rPr>
              <w:t>27,594</w:t>
            </w:r>
          </w:p>
        </w:tc>
        <w:tc>
          <w:tcPr>
            <w:tcW w:w="964"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vAlign w:val="center"/>
          </w:tcPr>
          <w:p w:rsidR="00B7406D" w:rsidRDefault="00A04017" w:rsidP="00A04017">
            <w:pPr>
              <w:jc w:val="right"/>
              <w:rPr>
                <w:sz w:val="22"/>
                <w:lang w:eastAsia="en-AU"/>
              </w:rPr>
            </w:pPr>
            <w:r>
              <w:rPr>
                <w:sz w:val="22"/>
                <w:lang w:eastAsia="en-AU"/>
              </w:rPr>
              <w:t>34,908</w:t>
            </w:r>
          </w:p>
        </w:tc>
        <w:tc>
          <w:tcPr>
            <w:tcW w:w="964" w:type="dxa"/>
            <w:tcBorders>
              <w:top w:val="single" w:sz="4" w:space="0" w:color="E0DCCB" w:themeColor="accent4" w:themeTint="66"/>
              <w:left w:val="single" w:sz="4" w:space="0" w:color="E0DCCB" w:themeColor="accent4" w:themeTint="66"/>
              <w:bottom w:val="single" w:sz="4" w:space="0" w:color="E0DCCB" w:themeColor="accent4" w:themeTint="66"/>
              <w:right w:val="single" w:sz="4" w:space="0" w:color="E0DCCB" w:themeColor="accent4" w:themeTint="66"/>
            </w:tcBorders>
            <w:vAlign w:val="center"/>
          </w:tcPr>
          <w:p w:rsidR="00B7406D" w:rsidRPr="009F12BE" w:rsidRDefault="00B7406D" w:rsidP="00A04017">
            <w:pPr>
              <w:jc w:val="right"/>
              <w:rPr>
                <w:sz w:val="22"/>
                <w:lang w:eastAsia="en-AU"/>
              </w:rPr>
            </w:pPr>
            <w:r>
              <w:rPr>
                <w:sz w:val="22"/>
                <w:lang w:eastAsia="en-AU"/>
              </w:rPr>
              <w:t>32,198</w:t>
            </w:r>
          </w:p>
        </w:tc>
        <w:tc>
          <w:tcPr>
            <w:tcW w:w="964" w:type="dxa"/>
            <w:tcBorders>
              <w:top w:val="single" w:sz="4" w:space="0" w:color="E0DCCB" w:themeColor="accent4" w:themeTint="66"/>
              <w:left w:val="single" w:sz="4" w:space="0" w:color="E0DCCB" w:themeColor="accent4" w:themeTint="66"/>
              <w:bottom w:val="single" w:sz="4" w:space="0" w:color="E0DCCB" w:themeColor="accent4" w:themeTint="66"/>
            </w:tcBorders>
            <w:shd w:val="clear" w:color="auto" w:fill="auto"/>
            <w:vAlign w:val="center"/>
          </w:tcPr>
          <w:p w:rsidR="00B7406D" w:rsidRPr="009F12BE" w:rsidRDefault="00B7406D" w:rsidP="00A04017">
            <w:pPr>
              <w:jc w:val="right"/>
              <w:rPr>
                <w:sz w:val="22"/>
                <w:lang w:eastAsia="en-AU"/>
              </w:rPr>
            </w:pPr>
            <w:r>
              <w:rPr>
                <w:sz w:val="22"/>
                <w:lang w:eastAsia="en-AU"/>
              </w:rPr>
              <w:t>34,462</w:t>
            </w:r>
          </w:p>
        </w:tc>
        <w:tc>
          <w:tcPr>
            <w:tcW w:w="964" w:type="dxa"/>
            <w:tcBorders>
              <w:top w:val="single" w:sz="4" w:space="0" w:color="E0DCCB" w:themeColor="accent4" w:themeTint="66"/>
              <w:bottom w:val="single" w:sz="4" w:space="0" w:color="E0DCCB" w:themeColor="accent4" w:themeTint="66"/>
            </w:tcBorders>
            <w:shd w:val="clear" w:color="auto" w:fill="E0DCCB" w:themeFill="accent4" w:themeFillTint="66"/>
            <w:vAlign w:val="center"/>
          </w:tcPr>
          <w:p w:rsidR="00B7406D" w:rsidRPr="009F12BE" w:rsidRDefault="00B7406D" w:rsidP="00A04017">
            <w:pPr>
              <w:jc w:val="right"/>
              <w:rPr>
                <w:sz w:val="22"/>
                <w:lang w:eastAsia="en-AU"/>
              </w:rPr>
            </w:pPr>
            <w:r>
              <w:rPr>
                <w:sz w:val="22"/>
                <w:lang w:eastAsia="en-AU"/>
              </w:rPr>
              <w:t>31,859</w:t>
            </w:r>
          </w:p>
        </w:tc>
        <w:tc>
          <w:tcPr>
            <w:tcW w:w="1077" w:type="dxa"/>
            <w:tcBorders>
              <w:top w:val="single" w:sz="4" w:space="0" w:color="E0DCCB" w:themeColor="accent4" w:themeTint="66"/>
              <w:bottom w:val="single" w:sz="4" w:space="0" w:color="E0DCCB" w:themeColor="accent4" w:themeTint="66"/>
              <w:right w:val="single" w:sz="4" w:space="0" w:color="E0DCCB" w:themeColor="accent4" w:themeTint="66"/>
            </w:tcBorders>
            <w:vAlign w:val="center"/>
          </w:tcPr>
          <w:p w:rsidR="00B7406D" w:rsidRPr="009F12BE" w:rsidRDefault="00A04017" w:rsidP="00A04017">
            <w:pPr>
              <w:jc w:val="right"/>
              <w:rPr>
                <w:sz w:val="22"/>
                <w:lang w:eastAsia="en-AU"/>
              </w:rPr>
            </w:pPr>
            <w:r>
              <w:rPr>
                <w:sz w:val="22"/>
                <w:lang w:eastAsia="en-AU"/>
              </w:rPr>
              <w:t>(</w:t>
            </w:r>
            <w:r w:rsidR="00B7406D">
              <w:rPr>
                <w:sz w:val="22"/>
                <w:lang w:eastAsia="en-AU"/>
              </w:rPr>
              <w:t>2,603</w:t>
            </w:r>
            <w:r>
              <w:rPr>
                <w:sz w:val="22"/>
                <w:lang w:eastAsia="en-AU"/>
              </w:rPr>
              <w:t>)</w:t>
            </w:r>
          </w:p>
        </w:tc>
        <w:tc>
          <w:tcPr>
            <w:tcW w:w="680" w:type="dxa"/>
            <w:tcBorders>
              <w:top w:val="single" w:sz="4" w:space="0" w:color="E0DCCB" w:themeColor="accent4" w:themeTint="66"/>
              <w:bottom w:val="single" w:sz="4" w:space="0" w:color="E0DCCB" w:themeColor="accent4" w:themeTint="66"/>
              <w:right w:val="single" w:sz="4" w:space="0" w:color="E0DCCB" w:themeColor="accent4" w:themeTint="66"/>
            </w:tcBorders>
            <w:vAlign w:val="center"/>
          </w:tcPr>
          <w:p w:rsidR="00B7406D" w:rsidRDefault="00A04017" w:rsidP="00A04017">
            <w:pPr>
              <w:jc w:val="right"/>
              <w:rPr>
                <w:sz w:val="22"/>
                <w:lang w:eastAsia="en-AU"/>
              </w:rPr>
            </w:pPr>
            <w:r>
              <w:rPr>
                <w:sz w:val="22"/>
                <w:lang w:eastAsia="en-AU"/>
              </w:rPr>
              <w:t>(7.5)</w:t>
            </w:r>
          </w:p>
        </w:tc>
      </w:tr>
    </w:tbl>
    <w:p w:rsidR="00FD259A" w:rsidRPr="00F85AAB" w:rsidRDefault="00FD259A" w:rsidP="00FD259A">
      <w:pPr>
        <w:rPr>
          <w:lang w:eastAsia="en-AU"/>
        </w:rPr>
      </w:pPr>
    </w:p>
    <w:p w:rsidR="00FD259A" w:rsidRPr="00124982" w:rsidRDefault="00FD259A" w:rsidP="00124982">
      <w:pPr>
        <w:pStyle w:val="Body"/>
        <w:rPr>
          <w:i/>
        </w:rPr>
      </w:pPr>
      <w:r w:rsidRPr="00124982">
        <w:rPr>
          <w:i/>
        </w:rPr>
        <w:t xml:space="preserve">How the indicator is calculated: </w:t>
      </w:r>
    </w:p>
    <w:p w:rsidR="00FD259A" w:rsidRPr="00E22596" w:rsidRDefault="00FD259A" w:rsidP="00124982">
      <w:pPr>
        <w:pStyle w:val="Body"/>
      </w:pPr>
      <w:r w:rsidRPr="00E22596">
        <w:t xml:space="preserve">Division of the total cost (including an allocation of administrative overheads) allocated to compliance monitoring services by the total number of audits (not including desktop scans) completed during the period. </w:t>
      </w:r>
    </w:p>
    <w:p w:rsidR="00FD259A" w:rsidRPr="00124982" w:rsidRDefault="00FD259A" w:rsidP="00124982">
      <w:pPr>
        <w:pStyle w:val="Heading4"/>
      </w:pPr>
      <w:r w:rsidRPr="00124982">
        <w:t>Explanatory notes</w:t>
      </w:r>
    </w:p>
    <w:p w:rsidR="00FD259A" w:rsidRPr="00124982" w:rsidRDefault="008B3D5C" w:rsidP="00124982">
      <w:pPr>
        <w:pStyle w:val="Body"/>
      </w:pPr>
      <w:r>
        <w:t>The actual cost of service is less than budgeted decreasing the unit cost</w:t>
      </w:r>
      <w:r w:rsidR="00FD259A" w:rsidRPr="00124982">
        <w:t>.</w:t>
      </w:r>
    </w:p>
    <w:p w:rsidR="00E2543D" w:rsidRDefault="00E2543D">
      <w:r>
        <w:br w:type="page"/>
      </w:r>
    </w:p>
    <w:bookmarkStart w:id="334" w:name="_Toc427745969"/>
    <w:p w:rsidR="00B00996" w:rsidRDefault="007A28DB" w:rsidP="00E8295B">
      <w:r>
        <w:rPr>
          <w:noProof/>
          <w:lang w:eastAsia="en-AU"/>
        </w:rPr>
        <w:lastRenderedPageBreak/>
        <mc:AlternateContent>
          <mc:Choice Requires="wpg">
            <w:drawing>
              <wp:anchor distT="0" distB="0" distL="114300" distR="114300" simplePos="0" relativeHeight="251695104" behindDoc="0" locked="0" layoutInCell="1" allowOverlap="1" wp14:anchorId="171DF2F0" wp14:editId="72FDAD63">
                <wp:simplePos x="0" y="0"/>
                <wp:positionH relativeFrom="column">
                  <wp:posOffset>-914400</wp:posOffset>
                </wp:positionH>
                <wp:positionV relativeFrom="paragraph">
                  <wp:posOffset>0</wp:posOffset>
                </wp:positionV>
                <wp:extent cx="7562850" cy="923925"/>
                <wp:effectExtent l="0" t="0" r="0" b="9525"/>
                <wp:wrapNone/>
                <wp:docPr id="33" name="Group 33"/>
                <wp:cNvGraphicFramePr/>
                <a:graphic xmlns:a="http://schemas.openxmlformats.org/drawingml/2006/main">
                  <a:graphicData uri="http://schemas.microsoft.com/office/word/2010/wordprocessingGroup">
                    <wpg:wgp>
                      <wpg:cNvGrpSpPr/>
                      <wpg:grpSpPr>
                        <a:xfrm>
                          <a:off x="0" y="0"/>
                          <a:ext cx="7562850" cy="923925"/>
                          <a:chOff x="0" y="0"/>
                          <a:chExt cx="7562850" cy="923925"/>
                        </a:xfrm>
                      </wpg:grpSpPr>
                      <pic:pic xmlns:pic="http://schemas.openxmlformats.org/drawingml/2006/picture">
                        <pic:nvPicPr>
                          <pic:cNvPr id="30" name="Picture 30"/>
                          <pic:cNvPicPr>
                            <a:picLocks noChangeAspect="1"/>
                          </pic:cNvPicPr>
                        </pic:nvPicPr>
                        <pic:blipFill>
                          <a:blip r:embed="rId70" cstate="print">
                            <a:extLst>
                              <a:ext uri="{28A0092B-C50C-407E-A947-70E740481C1C}">
                                <a14:useLocalDpi xmlns:a14="http://schemas.microsoft.com/office/drawing/2010/main" val="0"/>
                              </a:ext>
                            </a:extLst>
                          </a:blip>
                          <a:stretch>
                            <a:fillRect/>
                          </a:stretch>
                        </pic:blipFill>
                        <pic:spPr>
                          <a:xfrm>
                            <a:off x="0" y="0"/>
                            <a:ext cx="7562850" cy="914400"/>
                          </a:xfrm>
                          <a:prstGeom prst="rect">
                            <a:avLst/>
                          </a:prstGeom>
                        </pic:spPr>
                      </pic:pic>
                      <wps:wsp>
                        <wps:cNvPr id="31" name="Text Box 31"/>
                        <wps:cNvSpPr txBox="1"/>
                        <wps:spPr>
                          <a:xfrm>
                            <a:off x="1743075" y="600075"/>
                            <a:ext cx="3219450" cy="323850"/>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E621C6" w:rsidRDefault="00E621C6" w:rsidP="00834F76">
                              <w:pPr>
                                <w:pStyle w:val="Heading1"/>
                              </w:pPr>
                              <w:bookmarkStart w:id="335" w:name="_Toc428279222"/>
                              <w:r>
                                <w:t>Other disclosures</w:t>
                              </w:r>
                              <w:bookmarkEnd w:id="335"/>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id="Group 33" o:spid="_x0000_s1040" style="position:absolute;margin-left:-1in;margin-top:0;width:595.5pt;height:72.75pt;z-index:251695104" coordsize="75628,92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">
                <v:shape id="Picture 30" o:spid="_x0000_s1041" type="#_x0000_t75" style="position:absolute;width:75628;height:914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jsaPvCAAAA2wAAAA8AAABkcnMvZG93bnJldi54bWxET1trwjAUfh/4H8IR9jbTbWxIZ5QxEEWQ&#10;sSqCb4fmrCltTkqSXvz35mGwx4/vvtpMthUD+VA7VvC8yEAQl07XXCk4n7ZPSxAhImtsHZOCGwXY&#10;rGcPK8y1G/mHhiJWIoVwyFGBibHLpQylIYth4TrixP06bzEm6CupPY4p3LbyJcvepcWaU4PBjr4M&#10;lU3RWwVDf7n117dDsyu/j9vKm2xsjmelHufT5weISFP8F/+591rBa1qfvqQfINd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47Gj7wgAAANsAAAAPAAAAAAAAAAAAAAAAAJ8C&#10;AABkcnMvZG93bnJldi54bWxQSwUGAAAAAAQABAD3AAAAjgMAAAAA&#10;">
                  <v:imagedata r:id="rId71" o:title=""/>
                  <v:path arrowok="t"/>
                </v:shape>
                <v:shape id="Text Box 31" o:spid="_x0000_s1042" type="#_x0000_t202" style="position:absolute;left:17430;top:6000;width:32195;height:32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q+I8UA&#10;AADbAAAADwAAAGRycy9kb3ducmV2LnhtbESPT2vCQBTE74LfYXlCL6IbG9pKdJVS+ke8abTF2yP7&#10;TILZtyG7TdJv7xYEj8PM/IZZrntTiZYaV1pWMJtGIIgzq0vOFRzSj8kchPPIGivLpOCPHKxXw8ES&#10;E2073lG797kIEHYJKii8rxMpXVaQQTe1NXHwzrYx6INscqkb7ALcVPIxip6lwZLDQoE1vRWUXfa/&#10;RsFpnP9sXf957OKnuH7/atOXb50q9TDqXxcgPPX+Hr61N1pBPIP/L+EHyNU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qGr4jxQAAANsAAAAPAAAAAAAAAAAAAAAAAJgCAABkcnMv&#10;ZG93bnJldi54bWxQSwUGAAAAAAQABAD1AAAAigMAAAAA&#10;" fillcolor="white [3201]" stroked="f" strokeweight=".5pt">
                  <v:textbox>
                    <w:txbxContent>
                      <w:p w:rsidR="00E621C6" w:rsidRDefault="00E621C6" w:rsidP="00834F76">
                        <w:pPr>
                          <w:pStyle w:val="Heading1"/>
                        </w:pPr>
                        <w:bookmarkStart w:id="342" w:name="_Toc428279222"/>
                        <w:r>
                          <w:t>Other disclosures</w:t>
                        </w:r>
                        <w:bookmarkEnd w:id="342"/>
                      </w:p>
                    </w:txbxContent>
                  </v:textbox>
                </v:shape>
              </v:group>
            </w:pict>
          </mc:Fallback>
        </mc:AlternateContent>
      </w:r>
      <w:bookmarkEnd w:id="334"/>
    </w:p>
    <w:p w:rsidR="00B00996" w:rsidRDefault="00B00996" w:rsidP="00E8295B"/>
    <w:p w:rsidR="00B00996" w:rsidRDefault="00B00996" w:rsidP="00E8295B"/>
    <w:p w:rsidR="00087037" w:rsidRDefault="00087037" w:rsidP="00087037">
      <w:pPr>
        <w:pStyle w:val="Heading2"/>
        <w:rPr>
          <w:rFonts w:eastAsia="Times New Roman"/>
        </w:rPr>
      </w:pPr>
      <w:bookmarkStart w:id="336" w:name="_Toc428279223"/>
      <w:r>
        <w:rPr>
          <w:rFonts w:eastAsia="Times New Roman"/>
        </w:rPr>
        <w:t>Ministerial directives</w:t>
      </w:r>
      <w:bookmarkEnd w:id="336"/>
    </w:p>
    <w:p w:rsidR="00087037" w:rsidRDefault="00087037" w:rsidP="00087037">
      <w:pPr>
        <w:pStyle w:val="Body"/>
      </w:pPr>
      <w:r>
        <w:t>No</w:t>
      </w:r>
      <w:r>
        <w:rPr>
          <w:spacing w:val="2"/>
        </w:rPr>
        <w:t xml:space="preserve"> </w:t>
      </w:r>
      <w:r>
        <w:t>Ministerial</w:t>
      </w:r>
      <w:r>
        <w:rPr>
          <w:spacing w:val="2"/>
        </w:rPr>
        <w:t xml:space="preserve"> </w:t>
      </w:r>
      <w:r>
        <w:t>Di</w:t>
      </w:r>
      <w:r>
        <w:rPr>
          <w:spacing w:val="-3"/>
        </w:rPr>
        <w:t>r</w:t>
      </w:r>
      <w:r>
        <w:t>ectives</w:t>
      </w:r>
      <w:r>
        <w:rPr>
          <w:spacing w:val="2"/>
        </w:rPr>
        <w:t xml:space="preserve"> </w:t>
      </w:r>
      <w:r>
        <w:t>we</w:t>
      </w:r>
      <w:r>
        <w:rPr>
          <w:spacing w:val="-3"/>
        </w:rPr>
        <w:t>r</w:t>
      </w:r>
      <w:r>
        <w:t>e</w:t>
      </w:r>
      <w:r>
        <w:rPr>
          <w:spacing w:val="2"/>
        </w:rPr>
        <w:t xml:space="preserve"> </w:t>
      </w:r>
      <w:r>
        <w:rPr>
          <w:spacing w:val="-3"/>
        </w:rPr>
        <w:t>r</w:t>
      </w:r>
      <w:r>
        <w:t>eceived</w:t>
      </w:r>
      <w:r>
        <w:rPr>
          <w:spacing w:val="2"/>
        </w:rPr>
        <w:t xml:space="preserve"> </w:t>
      </w:r>
      <w:r>
        <w:t>during</w:t>
      </w:r>
      <w:r>
        <w:rPr>
          <w:spacing w:val="2"/>
        </w:rPr>
        <w:t xml:space="preserve"> </w:t>
      </w:r>
      <w:r>
        <w:t>the</w:t>
      </w:r>
      <w:r>
        <w:rPr>
          <w:spacing w:val="2"/>
        </w:rPr>
        <w:t xml:space="preserve"> </w:t>
      </w:r>
      <w:r>
        <w:t>2014–15 financial</w:t>
      </w:r>
      <w:r>
        <w:rPr>
          <w:spacing w:val="2"/>
        </w:rPr>
        <w:t xml:space="preserve"> </w:t>
      </w:r>
      <w:r>
        <w:t>yea</w:t>
      </w:r>
      <w:r>
        <w:rPr>
          <w:spacing w:val="-19"/>
        </w:rPr>
        <w:t>r</w:t>
      </w:r>
      <w:r>
        <w:t>.</w:t>
      </w:r>
    </w:p>
    <w:p w:rsidR="00087037" w:rsidRDefault="00087037" w:rsidP="00087037">
      <w:pPr>
        <w:pStyle w:val="Heading2"/>
        <w:rPr>
          <w:rFonts w:eastAsia="Times New Roman"/>
        </w:rPr>
      </w:pPr>
      <w:bookmarkStart w:id="337" w:name="_Toc428279224"/>
      <w:r>
        <w:rPr>
          <w:rFonts w:eastAsia="Times New Roman"/>
        </w:rPr>
        <w:t>Other financial disclosures (TI 903)</w:t>
      </w:r>
      <w:bookmarkEnd w:id="337"/>
    </w:p>
    <w:p w:rsidR="00087037" w:rsidRDefault="00087037" w:rsidP="00087037">
      <w:pPr>
        <w:pStyle w:val="Heading3"/>
        <w:rPr>
          <w:rFonts w:eastAsia="Times New Roman"/>
          <w:szCs w:val="24"/>
        </w:rPr>
      </w:pPr>
      <w:bookmarkStart w:id="338" w:name="_Toc427745973"/>
      <w:bookmarkStart w:id="339" w:name="_Toc428279225"/>
      <w:r>
        <w:rPr>
          <w:rFonts w:eastAsia="Times New Roman"/>
        </w:rPr>
        <w:t>Pricing</w:t>
      </w:r>
      <w:r>
        <w:rPr>
          <w:rFonts w:eastAsia="Times New Roman"/>
          <w:spacing w:val="11"/>
        </w:rPr>
        <w:t xml:space="preserve"> </w:t>
      </w:r>
      <w:r>
        <w:rPr>
          <w:rFonts w:eastAsia="Times New Roman"/>
        </w:rPr>
        <w:t>policies</w:t>
      </w:r>
      <w:r>
        <w:rPr>
          <w:rFonts w:eastAsia="Times New Roman"/>
          <w:spacing w:val="12"/>
        </w:rPr>
        <w:t xml:space="preserve"> </w:t>
      </w:r>
      <w:r>
        <w:rPr>
          <w:rFonts w:eastAsia="Times New Roman"/>
        </w:rPr>
        <w:t>of</w:t>
      </w:r>
      <w:r>
        <w:rPr>
          <w:rFonts w:eastAsia="Times New Roman"/>
          <w:spacing w:val="12"/>
        </w:rPr>
        <w:t xml:space="preserve"> </w:t>
      </w:r>
      <w:r>
        <w:rPr>
          <w:rFonts w:eastAsia="Times New Roman"/>
        </w:rPr>
        <w:t>se</w:t>
      </w:r>
      <w:r>
        <w:rPr>
          <w:rFonts w:eastAsia="Times New Roman"/>
          <w:spacing w:val="6"/>
        </w:rPr>
        <w:t>r</w:t>
      </w:r>
      <w:r>
        <w:rPr>
          <w:rFonts w:eastAsia="Times New Roman"/>
        </w:rPr>
        <w:t>vices</w:t>
      </w:r>
      <w:r>
        <w:rPr>
          <w:rFonts w:eastAsia="Times New Roman"/>
          <w:spacing w:val="-14"/>
        </w:rPr>
        <w:t xml:space="preserve"> </w:t>
      </w:r>
      <w:r>
        <w:rPr>
          <w:rFonts w:eastAsia="Times New Roman"/>
        </w:rPr>
        <w:t>provided</w:t>
      </w:r>
      <w:bookmarkEnd w:id="338"/>
      <w:bookmarkEnd w:id="339"/>
    </w:p>
    <w:p w:rsidR="00087037" w:rsidRDefault="00087037" w:rsidP="00087037">
      <w:pPr>
        <w:pStyle w:val="Body"/>
        <w:rPr>
          <w:szCs w:val="24"/>
        </w:rPr>
      </w:pPr>
      <w:r>
        <w:t>The department is fully funded from appropriations and does not charge any fee for service.</w:t>
      </w:r>
    </w:p>
    <w:p w:rsidR="00087037" w:rsidRDefault="00087037" w:rsidP="00B1161C">
      <w:pPr>
        <w:pStyle w:val="Heading2"/>
        <w:rPr>
          <w:rFonts w:eastAsia="Times New Roman"/>
          <w:szCs w:val="24"/>
        </w:rPr>
      </w:pPr>
      <w:bookmarkStart w:id="340" w:name="_Toc428279226"/>
      <w:r>
        <w:rPr>
          <w:rFonts w:eastAsia="Times New Roman"/>
        </w:rPr>
        <w:t>Gove</w:t>
      </w:r>
      <w:r>
        <w:rPr>
          <w:rFonts w:eastAsia="Times New Roman"/>
          <w:spacing w:val="6"/>
        </w:rPr>
        <w:t>r</w:t>
      </w:r>
      <w:r>
        <w:rPr>
          <w:rFonts w:eastAsia="Times New Roman"/>
        </w:rPr>
        <w:t>nance</w:t>
      </w:r>
      <w:r>
        <w:rPr>
          <w:rFonts w:eastAsia="Times New Roman"/>
          <w:spacing w:val="-10"/>
        </w:rPr>
        <w:t xml:space="preserve"> </w:t>
      </w:r>
      <w:r>
        <w:rPr>
          <w:rFonts w:eastAsia="Times New Roman"/>
        </w:rPr>
        <w:t>disclosu</w:t>
      </w:r>
      <w:r>
        <w:rPr>
          <w:rFonts w:eastAsia="Times New Roman"/>
          <w:spacing w:val="-3"/>
        </w:rPr>
        <w:t>r</w:t>
      </w:r>
      <w:r>
        <w:rPr>
          <w:rFonts w:eastAsia="Times New Roman"/>
        </w:rPr>
        <w:t>es</w:t>
      </w:r>
      <w:r>
        <w:rPr>
          <w:rFonts w:eastAsia="Times New Roman"/>
          <w:spacing w:val="24"/>
        </w:rPr>
        <w:t xml:space="preserve"> </w:t>
      </w:r>
      <w:r>
        <w:rPr>
          <w:rFonts w:eastAsia="Times New Roman"/>
        </w:rPr>
        <w:t>(TI</w:t>
      </w:r>
      <w:r>
        <w:rPr>
          <w:rFonts w:eastAsia="Times New Roman"/>
          <w:spacing w:val="31"/>
        </w:rPr>
        <w:t xml:space="preserve"> </w:t>
      </w:r>
      <w:r>
        <w:rPr>
          <w:rFonts w:eastAsia="Times New Roman"/>
        </w:rPr>
        <w:t>903)</w:t>
      </w:r>
      <w:bookmarkEnd w:id="340"/>
    </w:p>
    <w:p w:rsidR="00087037" w:rsidRPr="00087037" w:rsidRDefault="00087037" w:rsidP="00B1161C">
      <w:pPr>
        <w:pStyle w:val="Heading3"/>
      </w:pPr>
      <w:bookmarkStart w:id="341" w:name="_Toc427745975"/>
      <w:bookmarkStart w:id="342" w:name="_Toc428270996"/>
      <w:bookmarkStart w:id="343" w:name="_Toc428279227"/>
      <w:r w:rsidRPr="00087037">
        <w:t>Contracts with senior officers</w:t>
      </w:r>
      <w:bookmarkEnd w:id="341"/>
      <w:bookmarkEnd w:id="342"/>
      <w:bookmarkEnd w:id="343"/>
    </w:p>
    <w:p w:rsidR="00087037" w:rsidRPr="00087037" w:rsidRDefault="00087037" w:rsidP="00087037">
      <w:pPr>
        <w:pStyle w:val="Body"/>
        <w:rPr>
          <w:szCs w:val="24"/>
        </w:rPr>
      </w:pPr>
      <w:r>
        <w:t>At the date of reporting, senior officers of the department held no contracts with the department other than normal employment contracts. No senior officers of the department had substantial interests in entities with existing or proposed contracts or agreements with the department.</w:t>
      </w:r>
    </w:p>
    <w:p w:rsidR="00087037" w:rsidRPr="00D31E79" w:rsidRDefault="00087037" w:rsidP="00087037">
      <w:pPr>
        <w:pStyle w:val="Heading3"/>
        <w:rPr>
          <w:rFonts w:eastAsia="Times New Roman"/>
        </w:rPr>
      </w:pPr>
      <w:bookmarkStart w:id="344" w:name="_Toc427745976"/>
      <w:bookmarkStart w:id="345" w:name="_Toc428270997"/>
      <w:bookmarkStart w:id="346" w:name="_Toc428279228"/>
      <w:r w:rsidRPr="00D31E79">
        <w:rPr>
          <w:rFonts w:eastAsia="Times New Roman"/>
        </w:rPr>
        <w:t>Board remuneration</w:t>
      </w:r>
      <w:bookmarkEnd w:id="344"/>
      <w:bookmarkEnd w:id="345"/>
      <w:bookmarkEnd w:id="346"/>
    </w:p>
    <w:p w:rsidR="00087037" w:rsidRPr="00D31E79" w:rsidRDefault="00087037" w:rsidP="005028FD">
      <w:pPr>
        <w:pStyle w:val="Body"/>
      </w:pPr>
      <w:r w:rsidRPr="00D31E79">
        <w:t>The OEPA reports the following remuneration to the Environmental Protection Authority for 2014</w:t>
      </w:r>
      <w:r>
        <w:t>–</w:t>
      </w:r>
      <w:r w:rsidR="005028FD">
        <w:t>15:</w:t>
      </w:r>
    </w:p>
    <w:tbl>
      <w:tblPr>
        <w:tblW w:w="8505" w:type="dxa"/>
        <w:tblInd w:w="1242" w:type="dxa"/>
        <w:tblLayout w:type="fixed"/>
        <w:tblCellMar>
          <w:top w:w="57" w:type="dxa"/>
          <w:bottom w:w="57" w:type="dxa"/>
        </w:tblCellMar>
        <w:tblLook w:val="04A0" w:firstRow="1" w:lastRow="0" w:firstColumn="1" w:lastColumn="0" w:noHBand="0" w:noVBand="1"/>
      </w:tblPr>
      <w:tblGrid>
        <w:gridCol w:w="1276"/>
        <w:gridCol w:w="1843"/>
        <w:gridCol w:w="1701"/>
        <w:gridCol w:w="1843"/>
        <w:gridCol w:w="1842"/>
      </w:tblGrid>
      <w:tr w:rsidR="00087037" w:rsidRPr="00D31E79" w:rsidTr="00891206">
        <w:trPr>
          <w:trHeight w:val="600"/>
        </w:trPr>
        <w:tc>
          <w:tcPr>
            <w:tcW w:w="1276" w:type="dxa"/>
            <w:tcBorders>
              <w:top w:val="nil"/>
              <w:left w:val="nil"/>
              <w:bottom w:val="nil"/>
              <w:right w:val="nil"/>
            </w:tcBorders>
            <w:shd w:val="clear" w:color="000000" w:fill="E0DCCB"/>
            <w:vAlign w:val="center"/>
            <w:hideMark/>
          </w:tcPr>
          <w:p w:rsidR="00087037" w:rsidRPr="00D31E79" w:rsidRDefault="00087037" w:rsidP="00891206">
            <w:pPr>
              <w:pStyle w:val="Body"/>
              <w:spacing w:after="0"/>
              <w:ind w:left="49"/>
              <w:rPr>
                <w:rFonts w:eastAsia="Times New Roman" w:cs="Arial"/>
                <w:b/>
                <w:bCs/>
                <w:sz w:val="22"/>
                <w:lang w:eastAsia="en-AU"/>
              </w:rPr>
            </w:pPr>
            <w:r w:rsidRPr="00D31E79">
              <w:rPr>
                <w:rFonts w:eastAsia="Times New Roman" w:cs="Arial"/>
                <w:b/>
                <w:bCs/>
                <w:sz w:val="22"/>
                <w:lang w:eastAsia="en-AU"/>
              </w:rPr>
              <w:t>Position</w:t>
            </w:r>
          </w:p>
        </w:tc>
        <w:tc>
          <w:tcPr>
            <w:tcW w:w="1843" w:type="dxa"/>
            <w:tcBorders>
              <w:top w:val="nil"/>
              <w:left w:val="nil"/>
              <w:bottom w:val="nil"/>
              <w:right w:val="nil"/>
            </w:tcBorders>
            <w:shd w:val="clear" w:color="000000" w:fill="E0DCCB"/>
            <w:vAlign w:val="center"/>
            <w:hideMark/>
          </w:tcPr>
          <w:p w:rsidR="00087037" w:rsidRPr="00D31E79" w:rsidRDefault="00087037" w:rsidP="00891206">
            <w:pPr>
              <w:pStyle w:val="Body"/>
              <w:spacing w:after="0"/>
              <w:ind w:left="192"/>
              <w:rPr>
                <w:rFonts w:eastAsia="Times New Roman" w:cs="Arial"/>
                <w:b/>
                <w:bCs/>
                <w:sz w:val="22"/>
                <w:lang w:eastAsia="en-AU"/>
              </w:rPr>
            </w:pPr>
            <w:r w:rsidRPr="00D31E79">
              <w:rPr>
                <w:rFonts w:eastAsia="Times New Roman" w:cs="Arial"/>
                <w:b/>
                <w:bCs/>
                <w:sz w:val="22"/>
                <w:lang w:eastAsia="en-AU"/>
              </w:rPr>
              <w:t>Name</w:t>
            </w:r>
          </w:p>
        </w:tc>
        <w:tc>
          <w:tcPr>
            <w:tcW w:w="1701" w:type="dxa"/>
            <w:tcBorders>
              <w:top w:val="nil"/>
              <w:left w:val="nil"/>
              <w:bottom w:val="nil"/>
              <w:right w:val="nil"/>
            </w:tcBorders>
            <w:shd w:val="clear" w:color="000000" w:fill="E0DCCB"/>
            <w:vAlign w:val="center"/>
            <w:hideMark/>
          </w:tcPr>
          <w:p w:rsidR="00087037" w:rsidRPr="00D31E79" w:rsidRDefault="00087037" w:rsidP="00891206">
            <w:pPr>
              <w:pStyle w:val="Body"/>
              <w:spacing w:after="0"/>
              <w:ind w:left="69"/>
              <w:rPr>
                <w:rFonts w:eastAsia="Times New Roman" w:cs="Arial"/>
                <w:b/>
                <w:bCs/>
                <w:sz w:val="22"/>
                <w:lang w:eastAsia="en-AU"/>
              </w:rPr>
            </w:pPr>
            <w:r w:rsidRPr="00D31E79">
              <w:rPr>
                <w:rFonts w:eastAsia="Times New Roman" w:cs="Arial"/>
                <w:b/>
                <w:bCs/>
                <w:sz w:val="22"/>
                <w:lang w:eastAsia="en-AU"/>
              </w:rPr>
              <w:t>Type of remuneration</w:t>
            </w:r>
          </w:p>
        </w:tc>
        <w:tc>
          <w:tcPr>
            <w:tcW w:w="1843" w:type="dxa"/>
            <w:tcBorders>
              <w:top w:val="nil"/>
              <w:left w:val="nil"/>
              <w:bottom w:val="nil"/>
              <w:right w:val="nil"/>
            </w:tcBorders>
            <w:shd w:val="clear" w:color="000000" w:fill="E0DCCB"/>
            <w:vAlign w:val="center"/>
            <w:hideMark/>
          </w:tcPr>
          <w:p w:rsidR="00087037" w:rsidRPr="00D31E79" w:rsidRDefault="00087037" w:rsidP="00891206">
            <w:pPr>
              <w:pStyle w:val="Body"/>
              <w:spacing w:after="0"/>
              <w:ind w:left="79"/>
              <w:rPr>
                <w:rFonts w:eastAsia="Times New Roman" w:cs="Arial"/>
                <w:b/>
                <w:bCs/>
                <w:sz w:val="22"/>
                <w:lang w:eastAsia="en-AU"/>
              </w:rPr>
            </w:pPr>
            <w:r w:rsidRPr="00D31E79">
              <w:rPr>
                <w:rFonts w:eastAsia="Times New Roman" w:cs="Arial"/>
                <w:b/>
                <w:bCs/>
                <w:sz w:val="22"/>
                <w:lang w:eastAsia="en-AU"/>
              </w:rPr>
              <w:t>Period of membership</w:t>
            </w:r>
          </w:p>
        </w:tc>
        <w:tc>
          <w:tcPr>
            <w:tcW w:w="1842" w:type="dxa"/>
            <w:tcBorders>
              <w:top w:val="nil"/>
              <w:left w:val="nil"/>
              <w:bottom w:val="nil"/>
              <w:right w:val="nil"/>
            </w:tcBorders>
            <w:shd w:val="clear" w:color="000000" w:fill="E0DCCB"/>
            <w:vAlign w:val="center"/>
            <w:hideMark/>
          </w:tcPr>
          <w:p w:rsidR="00087037" w:rsidRPr="00D31E79" w:rsidRDefault="00087037" w:rsidP="00891206">
            <w:pPr>
              <w:pStyle w:val="Body"/>
              <w:spacing w:after="0"/>
              <w:ind w:left="97"/>
              <w:rPr>
                <w:rFonts w:eastAsia="Times New Roman" w:cs="Arial"/>
                <w:b/>
                <w:bCs/>
                <w:sz w:val="22"/>
                <w:lang w:eastAsia="en-AU"/>
              </w:rPr>
            </w:pPr>
            <w:r w:rsidRPr="00D31E79">
              <w:rPr>
                <w:rFonts w:eastAsia="Times New Roman" w:cs="Arial"/>
                <w:b/>
                <w:bCs/>
                <w:sz w:val="22"/>
                <w:lang w:eastAsia="en-AU"/>
              </w:rPr>
              <w:t>Gross/actual remuneration</w:t>
            </w:r>
          </w:p>
        </w:tc>
      </w:tr>
      <w:tr w:rsidR="00087037" w:rsidRPr="00D31E79" w:rsidTr="00891206">
        <w:trPr>
          <w:trHeight w:val="285"/>
        </w:trPr>
        <w:tc>
          <w:tcPr>
            <w:tcW w:w="1276"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49"/>
              <w:rPr>
                <w:rFonts w:eastAsia="Times New Roman" w:cs="Arial"/>
                <w:sz w:val="22"/>
                <w:lang w:eastAsia="en-AU"/>
              </w:rPr>
            </w:pPr>
            <w:r w:rsidRPr="00D31E79">
              <w:rPr>
                <w:rFonts w:eastAsia="Times New Roman" w:cs="Arial"/>
                <w:sz w:val="22"/>
                <w:lang w:eastAsia="en-AU"/>
              </w:rPr>
              <w:t>Chair</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192"/>
              <w:rPr>
                <w:rFonts w:eastAsia="Times New Roman" w:cs="Arial"/>
                <w:sz w:val="22"/>
                <w:lang w:eastAsia="en-AU"/>
              </w:rPr>
            </w:pPr>
            <w:r w:rsidRPr="00D31E79">
              <w:rPr>
                <w:rFonts w:eastAsia="Times New Roman" w:cs="Arial"/>
                <w:sz w:val="22"/>
                <w:lang w:eastAsia="en-AU"/>
              </w:rPr>
              <w:t>Dr Paul Vogel</w:t>
            </w:r>
          </w:p>
        </w:tc>
        <w:tc>
          <w:tcPr>
            <w:tcW w:w="1701"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69"/>
              <w:rPr>
                <w:rFonts w:eastAsia="Times New Roman" w:cs="Arial"/>
                <w:sz w:val="22"/>
                <w:lang w:eastAsia="en-AU"/>
              </w:rPr>
            </w:pPr>
            <w:r w:rsidRPr="00D31E79">
              <w:rPr>
                <w:rFonts w:eastAsia="Times New Roman" w:cs="Arial"/>
                <w:sz w:val="22"/>
                <w:lang w:eastAsia="en-AU"/>
              </w:rPr>
              <w:t>Annual</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79"/>
              <w:rPr>
                <w:rFonts w:eastAsia="Times New Roman" w:cs="Arial"/>
                <w:sz w:val="22"/>
                <w:lang w:eastAsia="en-AU"/>
              </w:rPr>
            </w:pPr>
            <w:r w:rsidRPr="00D31E79">
              <w:rPr>
                <w:rFonts w:eastAsia="Times New Roman" w:cs="Arial"/>
                <w:sz w:val="22"/>
                <w:lang w:eastAsia="en-AU"/>
              </w:rPr>
              <w:t>5/11/2007 – 4/11/2015</w:t>
            </w:r>
          </w:p>
        </w:tc>
        <w:tc>
          <w:tcPr>
            <w:tcW w:w="1842"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97"/>
              <w:rPr>
                <w:rFonts w:eastAsia="Times New Roman" w:cs="Arial"/>
                <w:sz w:val="22"/>
                <w:lang w:eastAsia="en-AU"/>
              </w:rPr>
            </w:pPr>
            <w:r w:rsidRPr="00D31E79">
              <w:rPr>
                <w:rFonts w:eastAsia="Times New Roman" w:cs="Arial"/>
                <w:sz w:val="22"/>
                <w:lang w:eastAsia="en-AU"/>
              </w:rPr>
              <w:t>$</w:t>
            </w:r>
            <w:r w:rsidR="005178B4" w:rsidRPr="005178B4">
              <w:rPr>
                <w:rFonts w:ascii="Arial" w:hAnsi="Arial" w:cs="Arial"/>
                <w:color w:val="4D4D4F"/>
                <w:sz w:val="22"/>
                <w:lang w:eastAsia="en-AU"/>
              </w:rPr>
              <w:t>425,125</w:t>
            </w:r>
          </w:p>
        </w:tc>
      </w:tr>
      <w:tr w:rsidR="00087037" w:rsidRPr="00D31E79" w:rsidTr="00891206">
        <w:trPr>
          <w:trHeight w:val="570"/>
        </w:trPr>
        <w:tc>
          <w:tcPr>
            <w:tcW w:w="1276"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49"/>
              <w:rPr>
                <w:rFonts w:eastAsia="Times New Roman" w:cs="Arial"/>
                <w:sz w:val="22"/>
                <w:lang w:eastAsia="en-AU"/>
              </w:rPr>
            </w:pPr>
            <w:r w:rsidRPr="00D31E79">
              <w:rPr>
                <w:rFonts w:eastAsia="Times New Roman" w:cs="Arial"/>
                <w:sz w:val="22"/>
                <w:lang w:eastAsia="en-AU"/>
              </w:rPr>
              <w:t>Deputy Chair</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192"/>
              <w:rPr>
                <w:rFonts w:eastAsia="Times New Roman" w:cs="Arial"/>
                <w:sz w:val="22"/>
                <w:lang w:eastAsia="en-AU"/>
              </w:rPr>
            </w:pPr>
            <w:r w:rsidRPr="00D31E79">
              <w:rPr>
                <w:rFonts w:eastAsia="Times New Roman" w:cs="Arial"/>
                <w:sz w:val="22"/>
                <w:lang w:eastAsia="en-AU"/>
              </w:rPr>
              <w:t>Mr Robert Harvey</w:t>
            </w:r>
          </w:p>
        </w:tc>
        <w:tc>
          <w:tcPr>
            <w:tcW w:w="1701"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69"/>
              <w:rPr>
                <w:rFonts w:eastAsia="Times New Roman" w:cs="Arial"/>
                <w:sz w:val="22"/>
                <w:lang w:eastAsia="en-AU"/>
              </w:rPr>
            </w:pPr>
            <w:r w:rsidRPr="00D31E79">
              <w:rPr>
                <w:rFonts w:eastAsia="Times New Roman" w:cs="Arial"/>
                <w:sz w:val="22"/>
                <w:lang w:eastAsia="en-AU"/>
              </w:rPr>
              <w:t>Annual</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79"/>
              <w:rPr>
                <w:rFonts w:eastAsia="Times New Roman" w:cs="Arial"/>
                <w:sz w:val="22"/>
                <w:lang w:eastAsia="en-AU"/>
              </w:rPr>
            </w:pPr>
            <w:r w:rsidRPr="00D31E79">
              <w:rPr>
                <w:rFonts w:eastAsia="Times New Roman" w:cs="Arial"/>
                <w:sz w:val="22"/>
                <w:lang w:eastAsia="en-AU"/>
              </w:rPr>
              <w:t>18/11/2012 – 17/11/2015</w:t>
            </w:r>
          </w:p>
        </w:tc>
        <w:tc>
          <w:tcPr>
            <w:tcW w:w="1842"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97"/>
              <w:rPr>
                <w:rFonts w:eastAsia="Times New Roman" w:cs="Arial"/>
                <w:sz w:val="22"/>
                <w:lang w:eastAsia="en-AU"/>
              </w:rPr>
            </w:pPr>
            <w:r w:rsidRPr="00D31E79">
              <w:rPr>
                <w:rFonts w:eastAsia="Times New Roman" w:cs="Arial"/>
                <w:sz w:val="22"/>
                <w:lang w:eastAsia="en-AU"/>
              </w:rPr>
              <w:t>$8</w:t>
            </w:r>
            <w:r w:rsidR="005178B4">
              <w:rPr>
                <w:rFonts w:eastAsia="Times New Roman" w:cs="Arial"/>
                <w:sz w:val="22"/>
                <w:lang w:eastAsia="en-AU"/>
              </w:rPr>
              <w:t>8,845</w:t>
            </w:r>
          </w:p>
        </w:tc>
      </w:tr>
      <w:tr w:rsidR="00087037" w:rsidRPr="00D31E79" w:rsidTr="00891206">
        <w:trPr>
          <w:trHeight w:val="285"/>
        </w:trPr>
        <w:tc>
          <w:tcPr>
            <w:tcW w:w="1276"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49"/>
              <w:rPr>
                <w:rFonts w:eastAsia="Times New Roman" w:cs="Arial"/>
                <w:sz w:val="22"/>
                <w:lang w:eastAsia="en-AU"/>
              </w:rPr>
            </w:pPr>
            <w:r w:rsidRPr="00D31E79">
              <w:rPr>
                <w:rFonts w:eastAsia="Times New Roman" w:cs="Arial"/>
                <w:sz w:val="22"/>
                <w:lang w:eastAsia="en-AU"/>
              </w:rPr>
              <w:t>Member</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192"/>
              <w:rPr>
                <w:rFonts w:eastAsia="Times New Roman" w:cs="Arial"/>
                <w:sz w:val="22"/>
                <w:lang w:eastAsia="en-AU"/>
              </w:rPr>
            </w:pPr>
            <w:r w:rsidRPr="00D31E79">
              <w:rPr>
                <w:rFonts w:eastAsia="Times New Roman" w:cs="Arial"/>
                <w:sz w:val="22"/>
                <w:lang w:eastAsia="en-AU"/>
              </w:rPr>
              <w:t>Dr Tom Hatton</w:t>
            </w:r>
          </w:p>
        </w:tc>
        <w:tc>
          <w:tcPr>
            <w:tcW w:w="1701"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69"/>
              <w:rPr>
                <w:rFonts w:eastAsia="Times New Roman" w:cs="Arial"/>
                <w:sz w:val="22"/>
                <w:lang w:eastAsia="en-AU"/>
              </w:rPr>
            </w:pPr>
            <w:r w:rsidRPr="00D31E79">
              <w:rPr>
                <w:rFonts w:eastAsia="Times New Roman" w:cs="Arial"/>
                <w:sz w:val="22"/>
                <w:lang w:eastAsia="en-AU"/>
              </w:rPr>
              <w:t>Annual</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79"/>
              <w:rPr>
                <w:rFonts w:eastAsia="Times New Roman" w:cs="Arial"/>
                <w:sz w:val="22"/>
                <w:lang w:eastAsia="en-AU"/>
              </w:rPr>
            </w:pPr>
            <w:r w:rsidRPr="00D31E79">
              <w:rPr>
                <w:rFonts w:eastAsia="Times New Roman" w:cs="Arial"/>
                <w:sz w:val="22"/>
                <w:lang w:eastAsia="en-AU"/>
              </w:rPr>
              <w:t>18/11/2014 – 17/11/2019</w:t>
            </w:r>
          </w:p>
        </w:tc>
        <w:tc>
          <w:tcPr>
            <w:tcW w:w="1842"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97"/>
              <w:rPr>
                <w:rFonts w:eastAsia="Times New Roman" w:cs="Arial"/>
                <w:sz w:val="22"/>
                <w:lang w:eastAsia="en-AU"/>
              </w:rPr>
            </w:pPr>
            <w:r w:rsidRPr="00D31E79">
              <w:rPr>
                <w:rFonts w:eastAsia="Times New Roman" w:cs="Arial"/>
                <w:sz w:val="22"/>
                <w:lang w:eastAsia="en-AU"/>
              </w:rPr>
              <w:t>$</w:t>
            </w:r>
            <w:r w:rsidR="005178B4">
              <w:rPr>
                <w:rFonts w:eastAsia="Times New Roman" w:cs="Arial"/>
                <w:sz w:val="22"/>
                <w:lang w:eastAsia="en-AU"/>
              </w:rPr>
              <w:t>26,701</w:t>
            </w:r>
          </w:p>
        </w:tc>
      </w:tr>
      <w:tr w:rsidR="00087037" w:rsidRPr="00D31E79" w:rsidTr="00891206">
        <w:trPr>
          <w:trHeight w:val="285"/>
        </w:trPr>
        <w:tc>
          <w:tcPr>
            <w:tcW w:w="1276"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49"/>
              <w:rPr>
                <w:rFonts w:eastAsia="Times New Roman" w:cs="Arial"/>
                <w:sz w:val="22"/>
                <w:lang w:eastAsia="en-AU"/>
              </w:rPr>
            </w:pPr>
            <w:r w:rsidRPr="00D31E79">
              <w:rPr>
                <w:rFonts w:eastAsia="Times New Roman" w:cs="Arial"/>
                <w:sz w:val="22"/>
                <w:lang w:eastAsia="en-AU"/>
              </w:rPr>
              <w:t>Member</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192"/>
              <w:rPr>
                <w:rFonts w:eastAsia="Times New Roman" w:cs="Arial"/>
                <w:sz w:val="22"/>
                <w:lang w:eastAsia="en-AU"/>
              </w:rPr>
            </w:pPr>
            <w:r w:rsidRPr="00D31E79">
              <w:rPr>
                <w:rFonts w:eastAsia="Times New Roman" w:cs="Arial"/>
                <w:sz w:val="22"/>
                <w:lang w:eastAsia="en-AU"/>
              </w:rPr>
              <w:t xml:space="preserve">Ms Elizabeth </w:t>
            </w:r>
            <w:proofErr w:type="spellStart"/>
            <w:r w:rsidRPr="00D31E79">
              <w:rPr>
                <w:rFonts w:eastAsia="Times New Roman" w:cs="Arial"/>
                <w:sz w:val="22"/>
                <w:lang w:eastAsia="en-AU"/>
              </w:rPr>
              <w:t>Carr</w:t>
            </w:r>
            <w:proofErr w:type="spellEnd"/>
          </w:p>
        </w:tc>
        <w:tc>
          <w:tcPr>
            <w:tcW w:w="1701"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69"/>
              <w:rPr>
                <w:rFonts w:eastAsia="Times New Roman" w:cs="Arial"/>
                <w:sz w:val="22"/>
                <w:lang w:eastAsia="en-AU"/>
              </w:rPr>
            </w:pPr>
            <w:r w:rsidRPr="00D31E79">
              <w:rPr>
                <w:rFonts w:eastAsia="Times New Roman" w:cs="Arial"/>
                <w:sz w:val="22"/>
                <w:lang w:eastAsia="en-AU"/>
              </w:rPr>
              <w:t>Annual</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79"/>
              <w:rPr>
                <w:rFonts w:eastAsia="Times New Roman" w:cs="Arial"/>
                <w:sz w:val="22"/>
                <w:lang w:eastAsia="en-AU"/>
              </w:rPr>
            </w:pPr>
            <w:r w:rsidRPr="00D31E79">
              <w:rPr>
                <w:rFonts w:eastAsia="Times New Roman" w:cs="Arial"/>
                <w:sz w:val="22"/>
                <w:lang w:eastAsia="en-AU"/>
              </w:rPr>
              <w:t>4/10/2011 – 3/10/2019</w:t>
            </w:r>
          </w:p>
        </w:tc>
        <w:tc>
          <w:tcPr>
            <w:tcW w:w="1842"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97"/>
              <w:rPr>
                <w:rFonts w:eastAsia="Times New Roman" w:cs="Arial"/>
                <w:sz w:val="22"/>
                <w:lang w:eastAsia="en-AU"/>
              </w:rPr>
            </w:pPr>
            <w:r w:rsidRPr="00D31E79">
              <w:rPr>
                <w:rFonts w:eastAsia="Times New Roman" w:cs="Arial"/>
                <w:sz w:val="22"/>
                <w:lang w:eastAsia="en-AU"/>
              </w:rPr>
              <w:t>$44,</w:t>
            </w:r>
            <w:r w:rsidR="005178B4">
              <w:rPr>
                <w:rFonts w:eastAsia="Times New Roman" w:cs="Arial"/>
                <w:sz w:val="22"/>
                <w:lang w:eastAsia="en-AU"/>
              </w:rPr>
              <w:t>422</w:t>
            </w:r>
          </w:p>
        </w:tc>
      </w:tr>
      <w:tr w:rsidR="00087037" w:rsidRPr="00D31E79" w:rsidTr="00891206">
        <w:trPr>
          <w:trHeight w:val="285"/>
        </w:trPr>
        <w:tc>
          <w:tcPr>
            <w:tcW w:w="1276"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49"/>
              <w:rPr>
                <w:rFonts w:eastAsia="Times New Roman" w:cs="Arial"/>
                <w:sz w:val="22"/>
                <w:lang w:eastAsia="en-AU"/>
              </w:rPr>
            </w:pPr>
            <w:r w:rsidRPr="00D31E79">
              <w:rPr>
                <w:rFonts w:eastAsia="Times New Roman" w:cs="Arial"/>
                <w:sz w:val="22"/>
                <w:lang w:eastAsia="en-AU"/>
              </w:rPr>
              <w:t>Member</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192"/>
              <w:rPr>
                <w:rFonts w:eastAsia="Times New Roman" w:cs="Arial"/>
                <w:sz w:val="22"/>
                <w:lang w:eastAsia="en-AU"/>
              </w:rPr>
            </w:pPr>
            <w:r w:rsidRPr="00D31E79">
              <w:rPr>
                <w:rFonts w:eastAsia="Times New Roman" w:cs="Arial"/>
                <w:sz w:val="22"/>
                <w:lang w:eastAsia="en-AU"/>
              </w:rPr>
              <w:t xml:space="preserve">Dr Rodney </w:t>
            </w:r>
            <w:proofErr w:type="spellStart"/>
            <w:r w:rsidRPr="00D31E79">
              <w:rPr>
                <w:rFonts w:eastAsia="Times New Roman" w:cs="Arial"/>
                <w:sz w:val="22"/>
                <w:lang w:eastAsia="en-AU"/>
              </w:rPr>
              <w:t>Lukatelich</w:t>
            </w:r>
            <w:proofErr w:type="spellEnd"/>
          </w:p>
        </w:tc>
        <w:tc>
          <w:tcPr>
            <w:tcW w:w="1701"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69"/>
              <w:rPr>
                <w:rFonts w:eastAsia="Times New Roman" w:cs="Arial"/>
                <w:sz w:val="22"/>
                <w:lang w:eastAsia="en-AU"/>
              </w:rPr>
            </w:pPr>
            <w:r w:rsidRPr="00D31E79">
              <w:rPr>
                <w:rFonts w:eastAsia="Times New Roman" w:cs="Arial"/>
                <w:sz w:val="22"/>
                <w:lang w:eastAsia="en-AU"/>
              </w:rPr>
              <w:t>Annual</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79"/>
              <w:rPr>
                <w:rFonts w:eastAsia="Times New Roman" w:cs="Arial"/>
                <w:sz w:val="22"/>
                <w:lang w:eastAsia="en-AU"/>
              </w:rPr>
            </w:pPr>
            <w:r w:rsidRPr="00D31E79">
              <w:rPr>
                <w:rFonts w:eastAsia="Times New Roman" w:cs="Arial"/>
                <w:sz w:val="22"/>
                <w:lang w:eastAsia="en-AU"/>
              </w:rPr>
              <w:t>31/10/2009 – 17/11/2014</w:t>
            </w:r>
          </w:p>
        </w:tc>
        <w:tc>
          <w:tcPr>
            <w:tcW w:w="1842"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97"/>
              <w:rPr>
                <w:rFonts w:eastAsia="Times New Roman" w:cs="Arial"/>
                <w:sz w:val="22"/>
                <w:lang w:eastAsia="en-AU"/>
              </w:rPr>
            </w:pPr>
            <w:r w:rsidRPr="00D31E79">
              <w:rPr>
                <w:rFonts w:eastAsia="Times New Roman" w:cs="Arial"/>
                <w:sz w:val="22"/>
                <w:lang w:eastAsia="en-AU"/>
              </w:rPr>
              <w:t>$17,</w:t>
            </w:r>
            <w:r w:rsidR="005178B4">
              <w:rPr>
                <w:rFonts w:eastAsia="Times New Roman" w:cs="Arial"/>
                <w:sz w:val="22"/>
                <w:lang w:eastAsia="en-AU"/>
              </w:rPr>
              <w:t>478</w:t>
            </w:r>
          </w:p>
        </w:tc>
      </w:tr>
      <w:tr w:rsidR="00087037" w:rsidRPr="00D31E79" w:rsidTr="00891206">
        <w:trPr>
          <w:trHeight w:val="285"/>
        </w:trPr>
        <w:tc>
          <w:tcPr>
            <w:tcW w:w="1276"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49"/>
              <w:rPr>
                <w:rFonts w:eastAsia="Times New Roman" w:cs="Arial"/>
                <w:sz w:val="22"/>
                <w:lang w:eastAsia="en-AU"/>
              </w:rPr>
            </w:pPr>
            <w:r w:rsidRPr="00D31E79">
              <w:rPr>
                <w:rFonts w:eastAsia="Times New Roman" w:cs="Arial"/>
                <w:sz w:val="22"/>
                <w:lang w:eastAsia="en-AU"/>
              </w:rPr>
              <w:t>Member</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192"/>
              <w:rPr>
                <w:rFonts w:eastAsia="Times New Roman" w:cs="Arial"/>
                <w:sz w:val="22"/>
                <w:lang w:eastAsia="en-AU"/>
              </w:rPr>
            </w:pPr>
            <w:r w:rsidRPr="00D31E79">
              <w:rPr>
                <w:rFonts w:eastAsia="Times New Roman" w:cs="Arial"/>
                <w:sz w:val="22"/>
                <w:lang w:eastAsia="en-AU"/>
              </w:rPr>
              <w:t>Mr Glen McLeod</w:t>
            </w:r>
          </w:p>
        </w:tc>
        <w:tc>
          <w:tcPr>
            <w:tcW w:w="1701"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69"/>
              <w:rPr>
                <w:rFonts w:eastAsia="Times New Roman" w:cs="Arial"/>
                <w:sz w:val="22"/>
                <w:lang w:eastAsia="en-AU"/>
              </w:rPr>
            </w:pPr>
            <w:r w:rsidRPr="00D31E79">
              <w:rPr>
                <w:rFonts w:eastAsia="Times New Roman" w:cs="Arial"/>
                <w:sz w:val="22"/>
                <w:lang w:eastAsia="en-AU"/>
              </w:rPr>
              <w:t>Annual</w:t>
            </w:r>
          </w:p>
        </w:tc>
        <w:tc>
          <w:tcPr>
            <w:tcW w:w="1843"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79"/>
              <w:rPr>
                <w:rFonts w:eastAsia="Times New Roman" w:cs="Arial"/>
                <w:sz w:val="22"/>
                <w:lang w:eastAsia="en-AU"/>
              </w:rPr>
            </w:pPr>
            <w:r w:rsidRPr="00D31E79">
              <w:rPr>
                <w:rFonts w:eastAsia="Times New Roman" w:cs="Arial"/>
                <w:sz w:val="22"/>
                <w:lang w:eastAsia="en-AU"/>
              </w:rPr>
              <w:t>21/10/2013 – 20/10/2016</w:t>
            </w:r>
          </w:p>
        </w:tc>
        <w:tc>
          <w:tcPr>
            <w:tcW w:w="1842" w:type="dxa"/>
            <w:tcBorders>
              <w:top w:val="nil"/>
              <w:left w:val="nil"/>
              <w:bottom w:val="nil"/>
              <w:right w:val="nil"/>
            </w:tcBorders>
            <w:shd w:val="clear" w:color="auto" w:fill="auto"/>
            <w:vAlign w:val="center"/>
            <w:hideMark/>
          </w:tcPr>
          <w:p w:rsidR="00087037" w:rsidRPr="00D31E79" w:rsidRDefault="00087037" w:rsidP="00891206">
            <w:pPr>
              <w:pStyle w:val="Body"/>
              <w:spacing w:after="0"/>
              <w:ind w:left="97"/>
              <w:rPr>
                <w:rFonts w:eastAsia="Times New Roman" w:cs="Arial"/>
                <w:sz w:val="22"/>
                <w:lang w:eastAsia="en-AU"/>
              </w:rPr>
            </w:pPr>
            <w:r w:rsidRPr="00D31E79">
              <w:rPr>
                <w:rFonts w:eastAsia="Times New Roman" w:cs="Arial"/>
                <w:sz w:val="22"/>
                <w:lang w:eastAsia="en-AU"/>
              </w:rPr>
              <w:t>$</w:t>
            </w:r>
            <w:r w:rsidR="005178B4">
              <w:rPr>
                <w:rFonts w:eastAsia="Times New Roman" w:cs="Arial"/>
                <w:sz w:val="22"/>
                <w:lang w:eastAsia="en-AU"/>
              </w:rPr>
              <w:t>44,422</w:t>
            </w:r>
          </w:p>
        </w:tc>
      </w:tr>
      <w:tr w:rsidR="00087037" w:rsidRPr="00D31E79" w:rsidTr="00891206">
        <w:trPr>
          <w:trHeight w:val="300"/>
        </w:trPr>
        <w:tc>
          <w:tcPr>
            <w:tcW w:w="1276" w:type="dxa"/>
            <w:tcBorders>
              <w:top w:val="nil"/>
              <w:left w:val="nil"/>
              <w:bottom w:val="nil"/>
              <w:right w:val="nil"/>
            </w:tcBorders>
            <w:shd w:val="clear" w:color="000000" w:fill="E0DCCB"/>
            <w:vAlign w:val="center"/>
            <w:hideMark/>
          </w:tcPr>
          <w:p w:rsidR="00087037" w:rsidRPr="00D31E79" w:rsidRDefault="00087037" w:rsidP="00891206">
            <w:pPr>
              <w:pStyle w:val="Body"/>
              <w:spacing w:after="0"/>
              <w:ind w:left="49"/>
              <w:rPr>
                <w:rFonts w:eastAsia="Times New Roman" w:cs="Arial"/>
                <w:szCs w:val="24"/>
                <w:lang w:eastAsia="en-AU"/>
              </w:rPr>
            </w:pPr>
            <w:r w:rsidRPr="00D31E79">
              <w:rPr>
                <w:rFonts w:eastAsia="Times New Roman" w:cs="Arial"/>
                <w:szCs w:val="24"/>
                <w:lang w:eastAsia="en-AU"/>
              </w:rPr>
              <w:t> </w:t>
            </w:r>
          </w:p>
        </w:tc>
        <w:tc>
          <w:tcPr>
            <w:tcW w:w="1843" w:type="dxa"/>
            <w:tcBorders>
              <w:top w:val="nil"/>
              <w:left w:val="nil"/>
              <w:bottom w:val="nil"/>
              <w:right w:val="nil"/>
            </w:tcBorders>
            <w:shd w:val="clear" w:color="000000" w:fill="E0DCCB"/>
            <w:vAlign w:val="center"/>
            <w:hideMark/>
          </w:tcPr>
          <w:p w:rsidR="00087037" w:rsidRPr="00D31E79" w:rsidRDefault="00087037" w:rsidP="00891206">
            <w:pPr>
              <w:pStyle w:val="Body"/>
              <w:spacing w:after="0"/>
              <w:ind w:left="192"/>
              <w:rPr>
                <w:rFonts w:eastAsia="Times New Roman" w:cs="Arial"/>
                <w:szCs w:val="24"/>
                <w:lang w:eastAsia="en-AU"/>
              </w:rPr>
            </w:pPr>
            <w:r w:rsidRPr="00D31E79">
              <w:rPr>
                <w:rFonts w:eastAsia="Times New Roman" w:cs="Arial"/>
                <w:szCs w:val="23"/>
                <w:lang w:eastAsia="en-AU"/>
              </w:rPr>
              <w:t> </w:t>
            </w:r>
          </w:p>
        </w:tc>
        <w:tc>
          <w:tcPr>
            <w:tcW w:w="1701" w:type="dxa"/>
            <w:tcBorders>
              <w:top w:val="nil"/>
              <w:left w:val="nil"/>
              <w:bottom w:val="nil"/>
              <w:right w:val="nil"/>
            </w:tcBorders>
            <w:shd w:val="clear" w:color="000000" w:fill="E0DCCB"/>
            <w:vAlign w:val="center"/>
            <w:hideMark/>
          </w:tcPr>
          <w:p w:rsidR="00087037" w:rsidRPr="00D31E79" w:rsidRDefault="00087037" w:rsidP="00891206">
            <w:pPr>
              <w:pStyle w:val="Body"/>
              <w:spacing w:after="0"/>
              <w:ind w:left="69"/>
              <w:rPr>
                <w:rFonts w:eastAsia="Times New Roman" w:cs="Arial"/>
                <w:szCs w:val="24"/>
                <w:lang w:eastAsia="en-AU"/>
              </w:rPr>
            </w:pPr>
            <w:r w:rsidRPr="00D31E79">
              <w:rPr>
                <w:rFonts w:eastAsia="Times New Roman" w:cs="Arial"/>
                <w:szCs w:val="23"/>
                <w:lang w:eastAsia="en-AU"/>
              </w:rPr>
              <w:t> </w:t>
            </w:r>
          </w:p>
        </w:tc>
        <w:tc>
          <w:tcPr>
            <w:tcW w:w="1843" w:type="dxa"/>
            <w:tcBorders>
              <w:top w:val="nil"/>
              <w:left w:val="nil"/>
              <w:bottom w:val="nil"/>
              <w:right w:val="nil"/>
            </w:tcBorders>
            <w:shd w:val="clear" w:color="000000" w:fill="E0DCCB"/>
            <w:vAlign w:val="center"/>
            <w:hideMark/>
          </w:tcPr>
          <w:p w:rsidR="00087037" w:rsidRPr="00D31E79" w:rsidRDefault="00087037" w:rsidP="00891206">
            <w:pPr>
              <w:pStyle w:val="Body"/>
              <w:spacing w:after="0"/>
              <w:ind w:left="79"/>
              <w:rPr>
                <w:rFonts w:eastAsia="Times New Roman" w:cs="Arial"/>
                <w:b/>
                <w:bCs/>
                <w:sz w:val="22"/>
                <w:lang w:eastAsia="en-AU"/>
              </w:rPr>
            </w:pPr>
            <w:r w:rsidRPr="00D31E79">
              <w:rPr>
                <w:rFonts w:eastAsia="Times New Roman" w:cs="Arial"/>
                <w:b/>
                <w:bCs/>
                <w:sz w:val="22"/>
                <w:lang w:eastAsia="en-AU"/>
              </w:rPr>
              <w:t>Total:</w:t>
            </w:r>
          </w:p>
        </w:tc>
        <w:tc>
          <w:tcPr>
            <w:tcW w:w="1842" w:type="dxa"/>
            <w:tcBorders>
              <w:top w:val="nil"/>
              <w:left w:val="nil"/>
              <w:bottom w:val="nil"/>
              <w:right w:val="nil"/>
            </w:tcBorders>
            <w:shd w:val="clear" w:color="000000" w:fill="E0DCCB"/>
            <w:vAlign w:val="center"/>
            <w:hideMark/>
          </w:tcPr>
          <w:p w:rsidR="00087037" w:rsidRPr="00D31E79" w:rsidRDefault="00087037" w:rsidP="00891206">
            <w:pPr>
              <w:pStyle w:val="Body"/>
              <w:spacing w:after="0"/>
              <w:ind w:left="97"/>
              <w:rPr>
                <w:rFonts w:eastAsia="Times New Roman" w:cs="Arial"/>
                <w:b/>
                <w:bCs/>
                <w:sz w:val="22"/>
                <w:lang w:eastAsia="en-AU"/>
              </w:rPr>
            </w:pPr>
            <w:r w:rsidRPr="00D31E79">
              <w:rPr>
                <w:rFonts w:eastAsia="Times New Roman" w:cs="Arial"/>
                <w:b/>
                <w:bCs/>
                <w:sz w:val="22"/>
                <w:lang w:eastAsia="en-AU"/>
              </w:rPr>
              <w:t>$</w:t>
            </w:r>
            <w:r w:rsidR="005178B4">
              <w:rPr>
                <w:rFonts w:eastAsia="Times New Roman" w:cs="Arial"/>
                <w:b/>
                <w:bCs/>
                <w:sz w:val="22"/>
                <w:lang w:eastAsia="en-AU"/>
              </w:rPr>
              <w:t>646,993</w:t>
            </w:r>
          </w:p>
        </w:tc>
      </w:tr>
    </w:tbl>
    <w:p w:rsidR="00087037" w:rsidRDefault="00087037" w:rsidP="00087037">
      <w:pPr>
        <w:pStyle w:val="Body"/>
      </w:pPr>
      <w:r w:rsidRPr="00D31E79">
        <w:lastRenderedPageBreak/>
        <w:t>Remuneration for the Chairman includes superannuation and vehicle expenses. Remuneration for the Deputy Chair and Members includes superannuation.</w:t>
      </w:r>
    </w:p>
    <w:p w:rsidR="00087037" w:rsidRDefault="00087037" w:rsidP="005028FD">
      <w:pPr>
        <w:pStyle w:val="Heading3"/>
        <w:rPr>
          <w:rFonts w:eastAsia="Times New Roman"/>
        </w:rPr>
      </w:pPr>
      <w:bookmarkStart w:id="347" w:name="_Toc342048923"/>
      <w:bookmarkStart w:id="348" w:name="_Toc317590730"/>
      <w:bookmarkStart w:id="349" w:name="_Toc317079468"/>
      <w:bookmarkStart w:id="350" w:name="_Toc278881010"/>
      <w:bookmarkStart w:id="351" w:name="_Toc268084854"/>
      <w:bookmarkStart w:id="352" w:name="_Toc265493343"/>
      <w:bookmarkStart w:id="353" w:name="_Toc264895223"/>
      <w:bookmarkStart w:id="354" w:name="_Toc264275331"/>
      <w:bookmarkStart w:id="355" w:name="_Toc427745977"/>
      <w:bookmarkStart w:id="356" w:name="_Toc428270998"/>
      <w:bookmarkStart w:id="357" w:name="_Toc428279229"/>
      <w:bookmarkEnd w:id="347"/>
      <w:bookmarkEnd w:id="348"/>
      <w:bookmarkEnd w:id="349"/>
      <w:bookmarkEnd w:id="350"/>
      <w:bookmarkEnd w:id="351"/>
      <w:bookmarkEnd w:id="352"/>
      <w:bookmarkEnd w:id="353"/>
      <w:r>
        <w:rPr>
          <w:rFonts w:eastAsia="Times New Roman"/>
        </w:rPr>
        <w:t>Workers Compensation</w:t>
      </w:r>
      <w:bookmarkEnd w:id="354"/>
      <w:bookmarkEnd w:id="355"/>
      <w:bookmarkEnd w:id="356"/>
      <w:bookmarkEnd w:id="357"/>
      <w:r>
        <w:rPr>
          <w:rFonts w:eastAsia="Times New Roman"/>
        </w:rPr>
        <w:t xml:space="preserve"> </w:t>
      </w:r>
    </w:p>
    <w:p w:rsidR="00087037" w:rsidRDefault="00087037" w:rsidP="005028FD">
      <w:pPr>
        <w:pStyle w:val="Body"/>
      </w:pPr>
      <w:r>
        <w:t>There were no compensation claims recorded during the 2014–15 financial year.</w:t>
      </w:r>
    </w:p>
    <w:p w:rsidR="00087037" w:rsidRDefault="00087037" w:rsidP="005028FD">
      <w:pPr>
        <w:pStyle w:val="Heading3"/>
      </w:pPr>
      <w:bookmarkStart w:id="358" w:name="_Toc427745978"/>
      <w:bookmarkStart w:id="359" w:name="_Toc428270999"/>
      <w:bookmarkStart w:id="360" w:name="_Toc428279230"/>
      <w:r>
        <w:t>Employment and Industrial Relations</w:t>
      </w:r>
      <w:bookmarkEnd w:id="358"/>
      <w:bookmarkEnd w:id="359"/>
      <w:bookmarkEnd w:id="360"/>
    </w:p>
    <w:p w:rsidR="00087037" w:rsidRDefault="00087037" w:rsidP="00087037">
      <w:pPr>
        <w:pStyle w:val="Body"/>
      </w:pPr>
      <w:r>
        <w:t xml:space="preserve">All OEPA officers are employed under the </w:t>
      </w:r>
      <w:r w:rsidRPr="005028FD">
        <w:rPr>
          <w:i/>
        </w:rPr>
        <w:t>Public Service and Government Officers General Agreement 2014</w:t>
      </w:r>
      <w:r>
        <w:t>.</w:t>
      </w:r>
    </w:p>
    <w:p w:rsidR="00087037" w:rsidRDefault="00087037" w:rsidP="00087037">
      <w:pPr>
        <w:pStyle w:val="Body"/>
      </w:pPr>
      <w:r>
        <w:t>Staff development is undertaken in conjunction with an individual Work and Development Plan process that identifies initiatives for work efficiencies and effectiveness through improvements and professional development.</w:t>
      </w:r>
    </w:p>
    <w:p w:rsidR="00087037" w:rsidRDefault="00087037" w:rsidP="00087037">
      <w:pPr>
        <w:pStyle w:val="Body"/>
      </w:pPr>
      <w:r>
        <w:t>A recent review of positions has re-aligned job roles to facilitate efficiency gains.</w:t>
      </w:r>
    </w:p>
    <w:p w:rsidR="00087037" w:rsidRPr="00DD43F1" w:rsidRDefault="00087037" w:rsidP="00B1161C">
      <w:pPr>
        <w:pStyle w:val="Heading4"/>
      </w:pPr>
      <w:r w:rsidRPr="00DD43F1">
        <w:t>Staff profile</w:t>
      </w:r>
    </w:p>
    <w:tbl>
      <w:tblPr>
        <w:tblStyle w:val="TableGrid"/>
        <w:tblW w:w="8081" w:type="dxa"/>
        <w:tblInd w:w="152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1197"/>
        <w:gridCol w:w="1638"/>
        <w:gridCol w:w="1784"/>
        <w:gridCol w:w="1678"/>
        <w:gridCol w:w="1784"/>
      </w:tblGrid>
      <w:tr w:rsidR="00087037" w:rsidRPr="00B1161C" w:rsidTr="00B1161C">
        <w:tc>
          <w:tcPr>
            <w:tcW w:w="1197" w:type="dxa"/>
            <w:shd w:val="clear" w:color="auto" w:fill="E0DCCB" w:themeFill="accent4" w:themeFillTint="66"/>
          </w:tcPr>
          <w:p w:rsidR="00087037" w:rsidRPr="00261799" w:rsidRDefault="00087037" w:rsidP="00087037">
            <w:pPr>
              <w:pStyle w:val="Body"/>
              <w:spacing w:before="80"/>
              <w:ind w:left="34"/>
              <w:jc w:val="both"/>
              <w:rPr>
                <w:b/>
                <w:sz w:val="22"/>
              </w:rPr>
            </w:pPr>
          </w:p>
        </w:tc>
        <w:tc>
          <w:tcPr>
            <w:tcW w:w="1638" w:type="dxa"/>
            <w:shd w:val="clear" w:color="auto" w:fill="E0DCCB" w:themeFill="accent4" w:themeFillTint="66"/>
          </w:tcPr>
          <w:p w:rsidR="00087037" w:rsidRPr="00261799" w:rsidRDefault="00087037" w:rsidP="00087037">
            <w:pPr>
              <w:pStyle w:val="Body"/>
              <w:spacing w:before="80"/>
              <w:ind w:left="34"/>
              <w:jc w:val="center"/>
              <w:rPr>
                <w:b/>
                <w:sz w:val="22"/>
              </w:rPr>
            </w:pPr>
          </w:p>
        </w:tc>
        <w:tc>
          <w:tcPr>
            <w:tcW w:w="1784" w:type="dxa"/>
            <w:shd w:val="clear" w:color="auto" w:fill="E0DCCB" w:themeFill="accent4" w:themeFillTint="66"/>
          </w:tcPr>
          <w:p w:rsidR="00087037" w:rsidRPr="00261799" w:rsidRDefault="00087037" w:rsidP="00087037">
            <w:pPr>
              <w:pStyle w:val="Body"/>
              <w:spacing w:before="80"/>
              <w:ind w:left="34"/>
              <w:jc w:val="center"/>
              <w:rPr>
                <w:b/>
                <w:sz w:val="22"/>
              </w:rPr>
            </w:pPr>
          </w:p>
        </w:tc>
        <w:tc>
          <w:tcPr>
            <w:tcW w:w="1678" w:type="dxa"/>
            <w:shd w:val="clear" w:color="auto" w:fill="E0DCCB" w:themeFill="accent4" w:themeFillTint="66"/>
          </w:tcPr>
          <w:p w:rsidR="00087037" w:rsidRPr="00261799" w:rsidRDefault="00087037" w:rsidP="00087037">
            <w:pPr>
              <w:pStyle w:val="Body"/>
              <w:spacing w:before="80"/>
              <w:ind w:left="34"/>
              <w:jc w:val="center"/>
              <w:rPr>
                <w:b/>
                <w:sz w:val="22"/>
              </w:rPr>
            </w:pPr>
            <w:r w:rsidRPr="00261799">
              <w:rPr>
                <w:rFonts w:cs="Arial"/>
                <w:b/>
                <w:sz w:val="22"/>
              </w:rPr>
              <w:t>2015</w:t>
            </w:r>
          </w:p>
        </w:tc>
        <w:tc>
          <w:tcPr>
            <w:tcW w:w="1784" w:type="dxa"/>
            <w:shd w:val="clear" w:color="auto" w:fill="E0DCCB" w:themeFill="accent4" w:themeFillTint="66"/>
          </w:tcPr>
          <w:p w:rsidR="00087037" w:rsidRPr="00261799" w:rsidRDefault="00087037" w:rsidP="00087037">
            <w:pPr>
              <w:pStyle w:val="Body"/>
              <w:spacing w:before="80"/>
              <w:ind w:left="34"/>
              <w:jc w:val="center"/>
              <w:rPr>
                <w:b/>
                <w:sz w:val="22"/>
              </w:rPr>
            </w:pPr>
            <w:r w:rsidRPr="00261799">
              <w:rPr>
                <w:rFonts w:cs="Arial"/>
                <w:b/>
                <w:sz w:val="22"/>
              </w:rPr>
              <w:t>2014</w:t>
            </w:r>
          </w:p>
        </w:tc>
      </w:tr>
      <w:tr w:rsidR="00087037" w:rsidRPr="00B1161C" w:rsidTr="00B1161C">
        <w:tc>
          <w:tcPr>
            <w:tcW w:w="4619" w:type="dxa"/>
            <w:gridSpan w:val="3"/>
          </w:tcPr>
          <w:p w:rsidR="00087037" w:rsidRPr="00261799" w:rsidRDefault="00087037" w:rsidP="00087037">
            <w:pPr>
              <w:pStyle w:val="Body"/>
              <w:spacing w:before="80"/>
              <w:ind w:left="0"/>
              <w:rPr>
                <w:sz w:val="22"/>
              </w:rPr>
            </w:pPr>
            <w:r w:rsidRPr="00261799">
              <w:rPr>
                <w:rFonts w:cs="Arial"/>
                <w:sz w:val="22"/>
              </w:rPr>
              <w:t>Full-time permanent</w:t>
            </w:r>
          </w:p>
        </w:tc>
        <w:tc>
          <w:tcPr>
            <w:tcW w:w="1678" w:type="dxa"/>
          </w:tcPr>
          <w:p w:rsidR="00087037" w:rsidRPr="00261799" w:rsidRDefault="00087037" w:rsidP="00087037">
            <w:pPr>
              <w:pStyle w:val="Body"/>
              <w:spacing w:before="80"/>
              <w:ind w:left="0"/>
              <w:jc w:val="center"/>
              <w:rPr>
                <w:sz w:val="22"/>
              </w:rPr>
            </w:pPr>
            <w:r w:rsidRPr="00261799">
              <w:rPr>
                <w:sz w:val="22"/>
              </w:rPr>
              <w:t>70</w:t>
            </w:r>
          </w:p>
        </w:tc>
        <w:tc>
          <w:tcPr>
            <w:tcW w:w="1784" w:type="dxa"/>
          </w:tcPr>
          <w:p w:rsidR="00087037" w:rsidRPr="00261799" w:rsidRDefault="00087037" w:rsidP="00087037">
            <w:pPr>
              <w:pStyle w:val="Body"/>
              <w:spacing w:before="80"/>
              <w:ind w:left="0"/>
              <w:jc w:val="center"/>
              <w:rPr>
                <w:sz w:val="22"/>
              </w:rPr>
            </w:pPr>
            <w:r w:rsidRPr="00261799">
              <w:rPr>
                <w:sz w:val="22"/>
              </w:rPr>
              <w:t>77</w:t>
            </w:r>
          </w:p>
        </w:tc>
      </w:tr>
      <w:tr w:rsidR="00087037" w:rsidRPr="00B1161C" w:rsidTr="00B1161C">
        <w:tc>
          <w:tcPr>
            <w:tcW w:w="4619" w:type="dxa"/>
            <w:gridSpan w:val="3"/>
          </w:tcPr>
          <w:p w:rsidR="00087037" w:rsidRPr="00261799" w:rsidRDefault="00087037" w:rsidP="00087037">
            <w:pPr>
              <w:pStyle w:val="Body"/>
              <w:spacing w:before="80"/>
              <w:ind w:left="0"/>
              <w:rPr>
                <w:sz w:val="22"/>
              </w:rPr>
            </w:pPr>
            <w:r w:rsidRPr="00261799">
              <w:rPr>
                <w:sz w:val="22"/>
              </w:rPr>
              <w:t>Full-time contract</w:t>
            </w:r>
          </w:p>
        </w:tc>
        <w:tc>
          <w:tcPr>
            <w:tcW w:w="1678" w:type="dxa"/>
          </w:tcPr>
          <w:p w:rsidR="00087037" w:rsidRPr="00261799" w:rsidRDefault="00087037" w:rsidP="00087037">
            <w:pPr>
              <w:pStyle w:val="Body"/>
              <w:spacing w:before="80"/>
              <w:ind w:left="0"/>
              <w:jc w:val="center"/>
              <w:rPr>
                <w:sz w:val="22"/>
              </w:rPr>
            </w:pPr>
            <w:r w:rsidRPr="00261799">
              <w:rPr>
                <w:sz w:val="22"/>
              </w:rPr>
              <w:t>2</w:t>
            </w:r>
          </w:p>
        </w:tc>
        <w:tc>
          <w:tcPr>
            <w:tcW w:w="1784" w:type="dxa"/>
          </w:tcPr>
          <w:p w:rsidR="00087037" w:rsidRPr="00261799" w:rsidRDefault="00087037" w:rsidP="00087037">
            <w:pPr>
              <w:pStyle w:val="Body"/>
              <w:spacing w:before="80"/>
              <w:ind w:left="0"/>
              <w:jc w:val="center"/>
              <w:rPr>
                <w:sz w:val="22"/>
              </w:rPr>
            </w:pPr>
            <w:r w:rsidRPr="00261799">
              <w:rPr>
                <w:sz w:val="22"/>
              </w:rPr>
              <w:t>5</w:t>
            </w:r>
          </w:p>
        </w:tc>
      </w:tr>
      <w:tr w:rsidR="00087037" w:rsidRPr="00B1161C" w:rsidTr="00B1161C">
        <w:tc>
          <w:tcPr>
            <w:tcW w:w="4619" w:type="dxa"/>
            <w:gridSpan w:val="3"/>
          </w:tcPr>
          <w:p w:rsidR="00087037" w:rsidRPr="00261799" w:rsidRDefault="00087037" w:rsidP="00087037">
            <w:pPr>
              <w:pStyle w:val="Body"/>
              <w:spacing w:before="80"/>
              <w:ind w:left="0"/>
              <w:jc w:val="both"/>
              <w:rPr>
                <w:sz w:val="22"/>
              </w:rPr>
            </w:pPr>
            <w:r w:rsidRPr="00261799">
              <w:rPr>
                <w:sz w:val="22"/>
              </w:rPr>
              <w:t>Part-time measured on an FTE basis</w:t>
            </w:r>
          </w:p>
        </w:tc>
        <w:tc>
          <w:tcPr>
            <w:tcW w:w="1678" w:type="dxa"/>
          </w:tcPr>
          <w:p w:rsidR="00087037" w:rsidRPr="00261799" w:rsidRDefault="00087037" w:rsidP="00087037">
            <w:pPr>
              <w:pStyle w:val="Body"/>
              <w:spacing w:before="80"/>
              <w:ind w:left="0"/>
              <w:jc w:val="center"/>
              <w:rPr>
                <w:sz w:val="22"/>
              </w:rPr>
            </w:pPr>
            <w:r w:rsidRPr="00261799">
              <w:rPr>
                <w:sz w:val="22"/>
              </w:rPr>
              <w:t>11</w:t>
            </w:r>
          </w:p>
        </w:tc>
        <w:tc>
          <w:tcPr>
            <w:tcW w:w="1784" w:type="dxa"/>
          </w:tcPr>
          <w:p w:rsidR="00087037" w:rsidRPr="00261799" w:rsidRDefault="00087037" w:rsidP="00087037">
            <w:pPr>
              <w:pStyle w:val="Body"/>
              <w:spacing w:before="80"/>
              <w:ind w:left="0"/>
              <w:jc w:val="center"/>
              <w:rPr>
                <w:sz w:val="22"/>
              </w:rPr>
            </w:pPr>
            <w:r w:rsidRPr="00261799">
              <w:rPr>
                <w:sz w:val="22"/>
              </w:rPr>
              <w:t>12</w:t>
            </w:r>
          </w:p>
        </w:tc>
      </w:tr>
      <w:tr w:rsidR="00087037" w:rsidRPr="00B1161C" w:rsidTr="00B1161C">
        <w:tc>
          <w:tcPr>
            <w:tcW w:w="4619" w:type="dxa"/>
            <w:gridSpan w:val="3"/>
          </w:tcPr>
          <w:p w:rsidR="00087037" w:rsidRPr="00261799" w:rsidRDefault="00087037" w:rsidP="00087037">
            <w:pPr>
              <w:pStyle w:val="Body"/>
              <w:spacing w:before="80"/>
              <w:ind w:left="0"/>
              <w:rPr>
                <w:sz w:val="22"/>
              </w:rPr>
            </w:pPr>
            <w:r w:rsidRPr="00261799">
              <w:rPr>
                <w:sz w:val="22"/>
              </w:rPr>
              <w:t>On secondment</w:t>
            </w:r>
          </w:p>
        </w:tc>
        <w:tc>
          <w:tcPr>
            <w:tcW w:w="1678" w:type="dxa"/>
          </w:tcPr>
          <w:p w:rsidR="00087037" w:rsidRPr="00261799" w:rsidRDefault="00087037" w:rsidP="00087037">
            <w:pPr>
              <w:pStyle w:val="Body"/>
              <w:spacing w:before="80"/>
              <w:ind w:left="0"/>
              <w:jc w:val="center"/>
              <w:rPr>
                <w:sz w:val="22"/>
              </w:rPr>
            </w:pPr>
            <w:r w:rsidRPr="00261799">
              <w:rPr>
                <w:sz w:val="22"/>
              </w:rPr>
              <w:t>1</w:t>
            </w:r>
          </w:p>
        </w:tc>
        <w:tc>
          <w:tcPr>
            <w:tcW w:w="1784" w:type="dxa"/>
          </w:tcPr>
          <w:p w:rsidR="00087037" w:rsidRPr="00261799" w:rsidRDefault="00087037" w:rsidP="00087037">
            <w:pPr>
              <w:pStyle w:val="Body"/>
              <w:spacing w:before="80"/>
              <w:ind w:left="0"/>
              <w:jc w:val="center"/>
              <w:rPr>
                <w:sz w:val="22"/>
              </w:rPr>
            </w:pPr>
            <w:r w:rsidRPr="00261799">
              <w:rPr>
                <w:sz w:val="22"/>
              </w:rPr>
              <w:t>1</w:t>
            </w:r>
          </w:p>
        </w:tc>
      </w:tr>
      <w:tr w:rsidR="00087037" w:rsidRPr="00B1161C" w:rsidTr="00B1161C">
        <w:tc>
          <w:tcPr>
            <w:tcW w:w="1197" w:type="dxa"/>
            <w:shd w:val="clear" w:color="auto" w:fill="E0DCCB" w:themeFill="accent4" w:themeFillTint="66"/>
          </w:tcPr>
          <w:p w:rsidR="00087037" w:rsidRPr="00261799" w:rsidRDefault="00087037" w:rsidP="00087037">
            <w:pPr>
              <w:pStyle w:val="Body"/>
              <w:spacing w:before="80"/>
              <w:ind w:left="-108"/>
              <w:jc w:val="both"/>
              <w:rPr>
                <w:sz w:val="22"/>
              </w:rPr>
            </w:pPr>
          </w:p>
        </w:tc>
        <w:tc>
          <w:tcPr>
            <w:tcW w:w="1638" w:type="dxa"/>
            <w:shd w:val="clear" w:color="auto" w:fill="E0DCCB" w:themeFill="accent4" w:themeFillTint="66"/>
          </w:tcPr>
          <w:p w:rsidR="00087037" w:rsidRPr="00261799" w:rsidRDefault="00087037" w:rsidP="00087037">
            <w:pPr>
              <w:pStyle w:val="Body"/>
              <w:spacing w:before="80"/>
              <w:ind w:left="0"/>
              <w:rPr>
                <w:rFonts w:cs="Arial"/>
                <w:sz w:val="22"/>
              </w:rPr>
            </w:pPr>
          </w:p>
        </w:tc>
        <w:tc>
          <w:tcPr>
            <w:tcW w:w="1784" w:type="dxa"/>
            <w:shd w:val="clear" w:color="auto" w:fill="E0DCCB" w:themeFill="accent4" w:themeFillTint="66"/>
          </w:tcPr>
          <w:p w:rsidR="00087037" w:rsidRPr="00261799" w:rsidRDefault="00087037" w:rsidP="00087037">
            <w:pPr>
              <w:pStyle w:val="Body"/>
              <w:spacing w:before="80"/>
              <w:ind w:left="0"/>
              <w:jc w:val="center"/>
              <w:rPr>
                <w:rFonts w:cs="Arial"/>
                <w:b/>
                <w:sz w:val="22"/>
              </w:rPr>
            </w:pPr>
          </w:p>
        </w:tc>
        <w:tc>
          <w:tcPr>
            <w:tcW w:w="1678" w:type="dxa"/>
            <w:shd w:val="clear" w:color="auto" w:fill="E0DCCB" w:themeFill="accent4" w:themeFillTint="66"/>
          </w:tcPr>
          <w:p w:rsidR="00087037" w:rsidRPr="00261799" w:rsidRDefault="00087037" w:rsidP="00087037">
            <w:pPr>
              <w:pStyle w:val="Body"/>
              <w:spacing w:before="80"/>
              <w:ind w:left="0"/>
              <w:jc w:val="center"/>
              <w:rPr>
                <w:rFonts w:cs="Arial"/>
                <w:b/>
                <w:sz w:val="22"/>
              </w:rPr>
            </w:pPr>
            <w:r w:rsidRPr="00261799">
              <w:rPr>
                <w:rFonts w:cs="Arial"/>
                <w:b/>
                <w:sz w:val="22"/>
              </w:rPr>
              <w:t>84</w:t>
            </w:r>
          </w:p>
        </w:tc>
        <w:tc>
          <w:tcPr>
            <w:tcW w:w="1784" w:type="dxa"/>
            <w:shd w:val="clear" w:color="auto" w:fill="E0DCCB" w:themeFill="accent4" w:themeFillTint="66"/>
          </w:tcPr>
          <w:p w:rsidR="00087037" w:rsidRPr="00261799" w:rsidRDefault="00087037" w:rsidP="00087037">
            <w:pPr>
              <w:pStyle w:val="Body"/>
              <w:spacing w:before="80"/>
              <w:ind w:left="0"/>
              <w:jc w:val="center"/>
              <w:rPr>
                <w:rFonts w:cs="Arial"/>
                <w:b/>
                <w:sz w:val="22"/>
              </w:rPr>
            </w:pPr>
            <w:r w:rsidRPr="00261799">
              <w:rPr>
                <w:rFonts w:cs="Arial"/>
                <w:b/>
                <w:sz w:val="22"/>
              </w:rPr>
              <w:t>95</w:t>
            </w:r>
          </w:p>
        </w:tc>
      </w:tr>
    </w:tbl>
    <w:p w:rsidR="00087037" w:rsidRPr="00967267" w:rsidRDefault="00087037" w:rsidP="00087037">
      <w:pPr>
        <w:pStyle w:val="Body"/>
      </w:pPr>
    </w:p>
    <w:p w:rsidR="00087037" w:rsidRDefault="00087037" w:rsidP="00B1161C">
      <w:pPr>
        <w:pStyle w:val="Heading2"/>
      </w:pPr>
      <w:bookmarkStart w:id="361" w:name="_Toc428279231"/>
      <w:r>
        <w:t>Public interest disclosures</w:t>
      </w:r>
      <w:bookmarkEnd w:id="361"/>
    </w:p>
    <w:p w:rsidR="00087037" w:rsidRPr="00DD43F1" w:rsidRDefault="00087037" w:rsidP="00B1161C">
      <w:pPr>
        <w:pStyle w:val="Heading4"/>
        <w:spacing w:before="120" w:after="120"/>
        <w:rPr>
          <w:rFonts w:ascii="FranklinGothic-Book" w:hAnsi="FranklinGothic-Book" w:cs="FranklinGothic-Book"/>
          <w:i w:val="0"/>
        </w:rPr>
      </w:pPr>
      <w:r w:rsidRPr="00DD43F1">
        <w:rPr>
          <w:rFonts w:ascii="FranklinGothic-Book" w:hAnsi="FranklinGothic-Book" w:cs="FranklinGothic-Book"/>
          <w:i w:val="0"/>
        </w:rPr>
        <w:t>(</w:t>
      </w:r>
      <w:r w:rsidRPr="00DD43F1">
        <w:t>Public Interest Disclosures Act 2003</w:t>
      </w:r>
      <w:r w:rsidRPr="00DD43F1">
        <w:rPr>
          <w:i w:val="0"/>
        </w:rPr>
        <w:t xml:space="preserve">, S23 (1) </w:t>
      </w:r>
      <w:r w:rsidRPr="00DD43F1">
        <w:rPr>
          <w:rFonts w:ascii="FranklinGothic-Book" w:hAnsi="FranklinGothic-Book" w:cs="FranklinGothic-Book"/>
          <w:i w:val="0"/>
        </w:rPr>
        <w:t>(f))</w:t>
      </w:r>
    </w:p>
    <w:p w:rsidR="00087037" w:rsidRDefault="00087037" w:rsidP="00087037">
      <w:pPr>
        <w:pStyle w:val="Body"/>
        <w:rPr>
          <w:rFonts w:ascii="FranklinGothic-Book" w:hAnsi="FranklinGothic-Book" w:cs="FranklinGothic-Book"/>
          <w:szCs w:val="24"/>
        </w:rPr>
      </w:pPr>
      <w:r>
        <w:rPr>
          <w:rFonts w:ascii="FranklinGothic-Book" w:hAnsi="FranklinGothic-Book" w:cs="FranklinGothic-Book"/>
          <w:szCs w:val="24"/>
        </w:rPr>
        <w:t xml:space="preserve">The </w:t>
      </w:r>
      <w:r>
        <w:rPr>
          <w:rFonts w:ascii="FranklinGothic-BookItal" w:hAnsi="FranklinGothic-BookItal" w:cs="FranklinGothic-BookItal"/>
          <w:i/>
          <w:iCs/>
          <w:szCs w:val="24"/>
        </w:rPr>
        <w:t xml:space="preserve">Public Interest Disclosure Act 2003 </w:t>
      </w:r>
      <w:r>
        <w:rPr>
          <w:rFonts w:ascii="FranklinGothic-Book" w:hAnsi="FranklinGothic-Book" w:cs="FranklinGothic-Book"/>
          <w:szCs w:val="24"/>
        </w:rPr>
        <w:t>requires the Department to:</w:t>
      </w:r>
    </w:p>
    <w:p w:rsidR="00087037" w:rsidRPr="001C1D05" w:rsidRDefault="00087037" w:rsidP="00067EE9">
      <w:pPr>
        <w:pStyle w:val="ListParagraph"/>
      </w:pPr>
      <w:r w:rsidRPr="001C1D05">
        <w:t>facilitate the disclosure of public interest information;</w:t>
      </w:r>
    </w:p>
    <w:p w:rsidR="00087037" w:rsidRDefault="00087037" w:rsidP="00067EE9">
      <w:pPr>
        <w:pStyle w:val="ListParagraph"/>
      </w:pPr>
      <w:r>
        <w:t>provide protection for those who make disclosures; and</w:t>
      </w:r>
    </w:p>
    <w:p w:rsidR="00087037" w:rsidRDefault="00087037" w:rsidP="00067EE9">
      <w:pPr>
        <w:pStyle w:val="ListParagraph"/>
      </w:pPr>
      <w:proofErr w:type="gramStart"/>
      <w:r w:rsidRPr="001C1D05">
        <w:t>provide</w:t>
      </w:r>
      <w:proofErr w:type="gramEnd"/>
      <w:r w:rsidRPr="001C1D05">
        <w:t xml:space="preserve"> protection for those who are the subject of</w:t>
      </w:r>
      <w:r>
        <w:t xml:space="preserve"> </w:t>
      </w:r>
      <w:r w:rsidRPr="001C1D05">
        <w:t>a disclosure.</w:t>
      </w:r>
    </w:p>
    <w:p w:rsidR="00087037" w:rsidRDefault="00087037" w:rsidP="00067EE9">
      <w:pPr>
        <w:pStyle w:val="ListParagraph"/>
      </w:pPr>
      <w:r>
        <w:t>In accordance with the Act, the department has duly appointed public interest disclosure officers and has published internal policies and procedures related to its obligations.</w:t>
      </w:r>
    </w:p>
    <w:p w:rsidR="00087037" w:rsidRDefault="00087037" w:rsidP="00B1161C">
      <w:pPr>
        <w:pStyle w:val="Body"/>
      </w:pPr>
      <w:r>
        <w:rPr>
          <w:rFonts w:ascii="FranklinGothic-Book" w:hAnsi="FranklinGothic-Book" w:cs="FranklinGothic-Book"/>
          <w:szCs w:val="24"/>
        </w:rPr>
        <w:t>No public interest disclosures were received during 2014–15.</w:t>
      </w:r>
    </w:p>
    <w:p w:rsidR="00087037" w:rsidRDefault="00087037" w:rsidP="00B1161C">
      <w:pPr>
        <w:pStyle w:val="Heading2"/>
      </w:pPr>
      <w:bookmarkStart w:id="362" w:name="_Toc428279232"/>
      <w:r>
        <w:lastRenderedPageBreak/>
        <w:t>Other legal requirements</w:t>
      </w:r>
      <w:bookmarkEnd w:id="362"/>
    </w:p>
    <w:p w:rsidR="00087037" w:rsidRDefault="00087037" w:rsidP="00B1161C">
      <w:pPr>
        <w:pStyle w:val="Heading3"/>
      </w:pPr>
      <w:bookmarkStart w:id="363" w:name="_Toc427745981"/>
      <w:bookmarkStart w:id="364" w:name="_Toc428271002"/>
      <w:bookmarkStart w:id="365" w:name="_Toc428279233"/>
      <w:r>
        <w:t>Expenditure on advertising, market research, polling and direct mail</w:t>
      </w:r>
      <w:bookmarkEnd w:id="363"/>
      <w:bookmarkEnd w:id="364"/>
      <w:bookmarkEnd w:id="365"/>
    </w:p>
    <w:p w:rsidR="00087037" w:rsidRPr="00DD43F1" w:rsidRDefault="00B1161C" w:rsidP="00B1161C">
      <w:pPr>
        <w:pStyle w:val="Heading4"/>
        <w:spacing w:before="120" w:after="120"/>
        <w:rPr>
          <w:rFonts w:ascii="FranklinGothic-Book" w:hAnsi="FranklinGothic-Book" w:cs="FranklinGothic-Book"/>
          <w:i w:val="0"/>
        </w:rPr>
      </w:pPr>
      <w:r w:rsidRPr="00DD43F1">
        <w:rPr>
          <w:rFonts w:ascii="FranklinGothic-Book" w:hAnsi="FranklinGothic-Book" w:cs="FranklinGothic-Book"/>
          <w:i w:val="0"/>
        </w:rPr>
        <w:t>(</w:t>
      </w:r>
      <w:r w:rsidR="00087037" w:rsidRPr="00DD43F1">
        <w:rPr>
          <w:rFonts w:ascii="FranklinGothic-Book" w:hAnsi="FranklinGothic-Book" w:cs="FranklinGothic-Book"/>
        </w:rPr>
        <w:t>Electoral Act 1907</w:t>
      </w:r>
      <w:r w:rsidR="00087037" w:rsidRPr="00DD43F1">
        <w:rPr>
          <w:rFonts w:ascii="FranklinGothic-Book" w:hAnsi="FranklinGothic-Book" w:cs="FranklinGothic-Book"/>
          <w:i w:val="0"/>
        </w:rPr>
        <w:t>, section 175ZE</w:t>
      </w:r>
      <w:r w:rsidRPr="00DD43F1">
        <w:rPr>
          <w:rFonts w:ascii="FranklinGothic-Book" w:hAnsi="FranklinGothic-Book" w:cs="FranklinGothic-Book"/>
          <w:i w:val="0"/>
        </w:rPr>
        <w:t>)</w:t>
      </w:r>
    </w:p>
    <w:p w:rsidR="00087037" w:rsidRDefault="00087037" w:rsidP="00087037">
      <w:pPr>
        <w:pStyle w:val="Body"/>
      </w:pPr>
      <w:r>
        <w:t xml:space="preserve">In accordance with s175ZE of the </w:t>
      </w:r>
      <w:r>
        <w:rPr>
          <w:i/>
          <w:iCs/>
        </w:rPr>
        <w:t>Electoral Act 1907</w:t>
      </w:r>
      <w:r>
        <w:t>, the agency incurred the following expenditure in advertising, market research, polling, direct mail and media advertising.</w:t>
      </w:r>
    </w:p>
    <w:p w:rsidR="00087037" w:rsidRDefault="00087037" w:rsidP="00087037">
      <w:pPr>
        <w:pStyle w:val="Body"/>
      </w:pPr>
      <w:r>
        <w:t>Total expenditure for 2014–15 was $9,041.</w:t>
      </w:r>
    </w:p>
    <w:p w:rsidR="00087037" w:rsidRDefault="00087037" w:rsidP="00087037">
      <w:pPr>
        <w:pStyle w:val="Body"/>
        <w:spacing w:after="120"/>
      </w:pPr>
      <w:r>
        <w:t>Expenditure was incurred in the following areas:</w:t>
      </w:r>
    </w:p>
    <w:tbl>
      <w:tblPr>
        <w:tblStyle w:val="TableGrid"/>
        <w:tblW w:w="8390"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828"/>
        <w:gridCol w:w="1157"/>
        <w:gridCol w:w="1962"/>
        <w:gridCol w:w="1443"/>
      </w:tblGrid>
      <w:tr w:rsidR="00087037" w:rsidRPr="00DD43F1" w:rsidTr="00261799">
        <w:tc>
          <w:tcPr>
            <w:tcW w:w="3828" w:type="dxa"/>
            <w:shd w:val="clear" w:color="auto" w:fill="E0DCCB" w:themeFill="accent4" w:themeFillTint="66"/>
          </w:tcPr>
          <w:p w:rsidR="00087037" w:rsidRPr="00DD43F1" w:rsidRDefault="00087037" w:rsidP="00087037">
            <w:pPr>
              <w:pStyle w:val="Body"/>
              <w:spacing w:before="80"/>
              <w:ind w:left="34"/>
              <w:rPr>
                <w:b/>
                <w:szCs w:val="24"/>
              </w:rPr>
            </w:pPr>
            <w:r w:rsidRPr="00DD43F1">
              <w:rPr>
                <w:b/>
                <w:szCs w:val="24"/>
              </w:rPr>
              <w:t>Expenditure</w:t>
            </w:r>
          </w:p>
        </w:tc>
        <w:tc>
          <w:tcPr>
            <w:tcW w:w="1157" w:type="dxa"/>
            <w:shd w:val="clear" w:color="auto" w:fill="E0DCCB" w:themeFill="accent4" w:themeFillTint="66"/>
          </w:tcPr>
          <w:p w:rsidR="00087037" w:rsidRPr="00DD43F1" w:rsidRDefault="00087037" w:rsidP="00087037">
            <w:pPr>
              <w:pStyle w:val="Body"/>
              <w:spacing w:before="80"/>
              <w:ind w:left="34"/>
              <w:jc w:val="center"/>
              <w:rPr>
                <w:b/>
                <w:szCs w:val="24"/>
              </w:rPr>
            </w:pPr>
            <w:r w:rsidRPr="00DD43F1">
              <w:rPr>
                <w:b/>
                <w:szCs w:val="24"/>
              </w:rPr>
              <w:t>Amount</w:t>
            </w:r>
          </w:p>
        </w:tc>
        <w:tc>
          <w:tcPr>
            <w:tcW w:w="1962" w:type="dxa"/>
            <w:shd w:val="clear" w:color="auto" w:fill="E0DCCB" w:themeFill="accent4" w:themeFillTint="66"/>
          </w:tcPr>
          <w:p w:rsidR="00087037" w:rsidRPr="00DD43F1" w:rsidRDefault="00087037" w:rsidP="00087037">
            <w:pPr>
              <w:pStyle w:val="Body"/>
              <w:spacing w:before="80"/>
              <w:ind w:left="34"/>
              <w:jc w:val="center"/>
              <w:rPr>
                <w:b/>
                <w:szCs w:val="24"/>
              </w:rPr>
            </w:pPr>
          </w:p>
        </w:tc>
        <w:tc>
          <w:tcPr>
            <w:tcW w:w="1443" w:type="dxa"/>
            <w:shd w:val="clear" w:color="auto" w:fill="E0DCCB" w:themeFill="accent4" w:themeFillTint="66"/>
          </w:tcPr>
          <w:p w:rsidR="00087037" w:rsidRPr="00DD43F1" w:rsidRDefault="00087037" w:rsidP="00087037">
            <w:pPr>
              <w:pStyle w:val="Body"/>
              <w:spacing w:before="80"/>
              <w:ind w:left="34"/>
              <w:jc w:val="center"/>
              <w:rPr>
                <w:b/>
                <w:szCs w:val="24"/>
              </w:rPr>
            </w:pPr>
            <w:r w:rsidRPr="00DD43F1">
              <w:rPr>
                <w:b/>
                <w:szCs w:val="24"/>
              </w:rPr>
              <w:t>Amount</w:t>
            </w:r>
          </w:p>
        </w:tc>
      </w:tr>
      <w:tr w:rsidR="00087037" w:rsidRPr="00DD43F1" w:rsidTr="00261799">
        <w:tc>
          <w:tcPr>
            <w:tcW w:w="3828" w:type="dxa"/>
          </w:tcPr>
          <w:p w:rsidR="00087037" w:rsidRPr="00DD43F1" w:rsidRDefault="00087037" w:rsidP="00087037">
            <w:pPr>
              <w:pStyle w:val="Body"/>
              <w:spacing w:before="80"/>
              <w:ind w:left="-108"/>
              <w:rPr>
                <w:szCs w:val="24"/>
              </w:rPr>
            </w:pPr>
            <w:r w:rsidRPr="00DD43F1">
              <w:rPr>
                <w:szCs w:val="24"/>
              </w:rPr>
              <w:t>Advertising agencies</w:t>
            </w:r>
          </w:p>
        </w:tc>
        <w:tc>
          <w:tcPr>
            <w:tcW w:w="1157" w:type="dxa"/>
            <w:shd w:val="clear" w:color="auto" w:fill="auto"/>
          </w:tcPr>
          <w:p w:rsidR="00087037" w:rsidRPr="00DD43F1" w:rsidRDefault="00087037" w:rsidP="00087037">
            <w:pPr>
              <w:pStyle w:val="Body"/>
              <w:spacing w:before="80"/>
              <w:ind w:left="0"/>
              <w:jc w:val="right"/>
              <w:rPr>
                <w:szCs w:val="24"/>
              </w:rPr>
            </w:pPr>
            <w:r w:rsidRPr="00DD43F1">
              <w:rPr>
                <w:szCs w:val="24"/>
              </w:rPr>
              <w:t>Nil</w:t>
            </w:r>
          </w:p>
        </w:tc>
        <w:tc>
          <w:tcPr>
            <w:tcW w:w="1962" w:type="dxa"/>
            <w:shd w:val="clear" w:color="auto" w:fill="auto"/>
          </w:tcPr>
          <w:p w:rsidR="00087037" w:rsidRPr="00DD43F1" w:rsidRDefault="00087037" w:rsidP="00087037">
            <w:pPr>
              <w:pStyle w:val="Body"/>
              <w:spacing w:before="80"/>
              <w:ind w:left="0"/>
              <w:jc w:val="right"/>
              <w:rPr>
                <w:szCs w:val="24"/>
              </w:rPr>
            </w:pPr>
          </w:p>
        </w:tc>
        <w:tc>
          <w:tcPr>
            <w:tcW w:w="1443" w:type="dxa"/>
          </w:tcPr>
          <w:p w:rsidR="00087037" w:rsidRPr="00DD43F1" w:rsidRDefault="00087037" w:rsidP="00087037">
            <w:pPr>
              <w:pStyle w:val="Body"/>
              <w:spacing w:before="80"/>
              <w:ind w:left="0"/>
              <w:jc w:val="right"/>
              <w:rPr>
                <w:szCs w:val="24"/>
              </w:rPr>
            </w:pPr>
          </w:p>
        </w:tc>
      </w:tr>
      <w:tr w:rsidR="00087037" w:rsidRPr="00DD43F1" w:rsidTr="00261799">
        <w:tc>
          <w:tcPr>
            <w:tcW w:w="3828" w:type="dxa"/>
          </w:tcPr>
          <w:p w:rsidR="00087037" w:rsidRPr="00DD43F1" w:rsidRDefault="00087037" w:rsidP="00087037">
            <w:pPr>
              <w:pStyle w:val="Body"/>
              <w:spacing w:before="80"/>
              <w:ind w:left="-108"/>
              <w:rPr>
                <w:szCs w:val="24"/>
              </w:rPr>
            </w:pPr>
            <w:r w:rsidRPr="00DD43F1">
              <w:rPr>
                <w:szCs w:val="24"/>
              </w:rPr>
              <w:t>Market research organisations</w:t>
            </w:r>
          </w:p>
        </w:tc>
        <w:tc>
          <w:tcPr>
            <w:tcW w:w="1157" w:type="dxa"/>
            <w:shd w:val="clear" w:color="auto" w:fill="auto"/>
          </w:tcPr>
          <w:p w:rsidR="00087037" w:rsidRPr="00DD43F1" w:rsidRDefault="00087037" w:rsidP="00087037">
            <w:pPr>
              <w:pStyle w:val="Body"/>
              <w:spacing w:before="80"/>
              <w:ind w:left="0"/>
              <w:jc w:val="right"/>
              <w:rPr>
                <w:szCs w:val="24"/>
              </w:rPr>
            </w:pPr>
            <w:r w:rsidRPr="00DD43F1">
              <w:rPr>
                <w:szCs w:val="24"/>
              </w:rPr>
              <w:t>Nil</w:t>
            </w:r>
          </w:p>
        </w:tc>
        <w:tc>
          <w:tcPr>
            <w:tcW w:w="1962" w:type="dxa"/>
            <w:shd w:val="clear" w:color="auto" w:fill="auto"/>
          </w:tcPr>
          <w:p w:rsidR="00087037" w:rsidRPr="00DD43F1" w:rsidRDefault="00087037" w:rsidP="00087037">
            <w:pPr>
              <w:pStyle w:val="Body"/>
              <w:spacing w:before="80"/>
              <w:ind w:left="0"/>
              <w:jc w:val="right"/>
              <w:rPr>
                <w:szCs w:val="24"/>
              </w:rPr>
            </w:pPr>
          </w:p>
        </w:tc>
        <w:tc>
          <w:tcPr>
            <w:tcW w:w="1443" w:type="dxa"/>
          </w:tcPr>
          <w:p w:rsidR="00087037" w:rsidRPr="00DD43F1" w:rsidRDefault="00087037" w:rsidP="00087037">
            <w:pPr>
              <w:pStyle w:val="Body"/>
              <w:spacing w:before="80"/>
              <w:ind w:left="0"/>
              <w:jc w:val="right"/>
              <w:rPr>
                <w:szCs w:val="24"/>
              </w:rPr>
            </w:pPr>
          </w:p>
        </w:tc>
      </w:tr>
      <w:tr w:rsidR="00087037" w:rsidRPr="00DD43F1" w:rsidTr="00261799">
        <w:tc>
          <w:tcPr>
            <w:tcW w:w="3828" w:type="dxa"/>
          </w:tcPr>
          <w:p w:rsidR="00087037" w:rsidRPr="00DD43F1" w:rsidRDefault="00087037" w:rsidP="00087037">
            <w:pPr>
              <w:pStyle w:val="Body"/>
              <w:spacing w:before="80"/>
              <w:ind w:left="-108"/>
              <w:rPr>
                <w:szCs w:val="24"/>
              </w:rPr>
            </w:pPr>
            <w:r w:rsidRPr="00DD43F1">
              <w:rPr>
                <w:szCs w:val="24"/>
              </w:rPr>
              <w:t>Polling organisations</w:t>
            </w:r>
          </w:p>
        </w:tc>
        <w:tc>
          <w:tcPr>
            <w:tcW w:w="1157" w:type="dxa"/>
            <w:shd w:val="clear" w:color="auto" w:fill="auto"/>
          </w:tcPr>
          <w:p w:rsidR="00087037" w:rsidRPr="00DD43F1" w:rsidRDefault="00087037" w:rsidP="00087037">
            <w:pPr>
              <w:pStyle w:val="Body"/>
              <w:spacing w:before="80"/>
              <w:ind w:left="0"/>
              <w:jc w:val="right"/>
              <w:rPr>
                <w:szCs w:val="24"/>
              </w:rPr>
            </w:pPr>
            <w:r w:rsidRPr="00DD43F1">
              <w:rPr>
                <w:szCs w:val="24"/>
              </w:rPr>
              <w:t>Nil</w:t>
            </w:r>
          </w:p>
        </w:tc>
        <w:tc>
          <w:tcPr>
            <w:tcW w:w="1962" w:type="dxa"/>
            <w:shd w:val="clear" w:color="auto" w:fill="auto"/>
          </w:tcPr>
          <w:p w:rsidR="00087037" w:rsidRPr="00DD43F1" w:rsidRDefault="00087037" w:rsidP="00087037">
            <w:pPr>
              <w:pStyle w:val="Body"/>
              <w:spacing w:before="80"/>
              <w:ind w:left="0"/>
              <w:jc w:val="right"/>
              <w:rPr>
                <w:szCs w:val="24"/>
              </w:rPr>
            </w:pPr>
          </w:p>
        </w:tc>
        <w:tc>
          <w:tcPr>
            <w:tcW w:w="1443" w:type="dxa"/>
          </w:tcPr>
          <w:p w:rsidR="00087037" w:rsidRPr="00DD43F1" w:rsidRDefault="00087037" w:rsidP="00087037">
            <w:pPr>
              <w:pStyle w:val="Body"/>
              <w:spacing w:before="80"/>
              <w:ind w:left="0"/>
              <w:jc w:val="right"/>
              <w:rPr>
                <w:szCs w:val="24"/>
              </w:rPr>
            </w:pPr>
          </w:p>
        </w:tc>
      </w:tr>
      <w:tr w:rsidR="00087037" w:rsidRPr="00DD43F1" w:rsidTr="00261799">
        <w:tc>
          <w:tcPr>
            <w:tcW w:w="3828" w:type="dxa"/>
          </w:tcPr>
          <w:p w:rsidR="00087037" w:rsidRPr="00DD43F1" w:rsidRDefault="00087037" w:rsidP="00087037">
            <w:pPr>
              <w:pStyle w:val="Body"/>
              <w:spacing w:before="80"/>
              <w:ind w:left="-108"/>
              <w:rPr>
                <w:szCs w:val="24"/>
              </w:rPr>
            </w:pPr>
            <w:r w:rsidRPr="00DD43F1">
              <w:rPr>
                <w:szCs w:val="24"/>
              </w:rPr>
              <w:t>Direct mail organisations</w:t>
            </w:r>
          </w:p>
        </w:tc>
        <w:tc>
          <w:tcPr>
            <w:tcW w:w="1157" w:type="dxa"/>
            <w:shd w:val="clear" w:color="auto" w:fill="auto"/>
          </w:tcPr>
          <w:p w:rsidR="00087037" w:rsidRPr="00DD43F1" w:rsidRDefault="00087037" w:rsidP="00087037">
            <w:pPr>
              <w:pStyle w:val="Body"/>
              <w:spacing w:before="80"/>
              <w:ind w:left="0"/>
              <w:jc w:val="right"/>
              <w:rPr>
                <w:szCs w:val="24"/>
              </w:rPr>
            </w:pPr>
            <w:r w:rsidRPr="00DD43F1">
              <w:rPr>
                <w:szCs w:val="24"/>
              </w:rPr>
              <w:t>$783</w:t>
            </w:r>
          </w:p>
        </w:tc>
        <w:tc>
          <w:tcPr>
            <w:tcW w:w="1962" w:type="dxa"/>
            <w:shd w:val="clear" w:color="auto" w:fill="auto"/>
          </w:tcPr>
          <w:p w:rsidR="00087037" w:rsidRPr="00DD43F1" w:rsidRDefault="00087037" w:rsidP="00087037">
            <w:pPr>
              <w:pStyle w:val="Body"/>
              <w:spacing w:before="80"/>
              <w:ind w:left="0"/>
              <w:jc w:val="right"/>
              <w:rPr>
                <w:szCs w:val="24"/>
              </w:rPr>
            </w:pPr>
            <w:r w:rsidRPr="00DD43F1">
              <w:rPr>
                <w:szCs w:val="24"/>
              </w:rPr>
              <w:t>Create Send</w:t>
            </w:r>
          </w:p>
        </w:tc>
        <w:tc>
          <w:tcPr>
            <w:tcW w:w="1443" w:type="dxa"/>
          </w:tcPr>
          <w:p w:rsidR="00087037" w:rsidRPr="00DD43F1" w:rsidRDefault="00087037" w:rsidP="00087037">
            <w:pPr>
              <w:pStyle w:val="Body"/>
              <w:spacing w:before="80"/>
              <w:ind w:left="0"/>
              <w:jc w:val="right"/>
              <w:rPr>
                <w:szCs w:val="24"/>
              </w:rPr>
            </w:pPr>
            <w:r w:rsidRPr="00DD43F1">
              <w:rPr>
                <w:szCs w:val="24"/>
              </w:rPr>
              <w:t>$783</w:t>
            </w:r>
          </w:p>
        </w:tc>
      </w:tr>
      <w:tr w:rsidR="00087037" w:rsidRPr="00DD43F1" w:rsidTr="00261799">
        <w:tc>
          <w:tcPr>
            <w:tcW w:w="3828" w:type="dxa"/>
          </w:tcPr>
          <w:p w:rsidR="00087037" w:rsidRPr="00DD43F1" w:rsidRDefault="00087037" w:rsidP="00087037">
            <w:pPr>
              <w:pStyle w:val="Body"/>
              <w:spacing w:before="80"/>
              <w:ind w:left="-108"/>
              <w:rPr>
                <w:szCs w:val="24"/>
              </w:rPr>
            </w:pPr>
            <w:r w:rsidRPr="00DD43F1">
              <w:rPr>
                <w:szCs w:val="24"/>
              </w:rPr>
              <w:t>Media advertising organisations</w:t>
            </w:r>
          </w:p>
        </w:tc>
        <w:tc>
          <w:tcPr>
            <w:tcW w:w="1157" w:type="dxa"/>
            <w:shd w:val="clear" w:color="auto" w:fill="auto"/>
          </w:tcPr>
          <w:p w:rsidR="00087037" w:rsidRPr="00DD43F1" w:rsidRDefault="00087037" w:rsidP="00087037">
            <w:pPr>
              <w:pStyle w:val="Body"/>
              <w:spacing w:before="80"/>
              <w:ind w:left="0"/>
              <w:jc w:val="right"/>
              <w:rPr>
                <w:szCs w:val="24"/>
              </w:rPr>
            </w:pPr>
            <w:r w:rsidRPr="00DD43F1">
              <w:rPr>
                <w:szCs w:val="24"/>
              </w:rPr>
              <w:t>$8,108</w:t>
            </w:r>
          </w:p>
        </w:tc>
        <w:tc>
          <w:tcPr>
            <w:tcW w:w="1962" w:type="dxa"/>
            <w:shd w:val="clear" w:color="auto" w:fill="auto"/>
          </w:tcPr>
          <w:p w:rsidR="00087037" w:rsidRPr="00DD43F1" w:rsidRDefault="00087037" w:rsidP="00087037">
            <w:pPr>
              <w:pStyle w:val="Body"/>
              <w:spacing w:before="80"/>
              <w:ind w:left="0"/>
              <w:jc w:val="right"/>
              <w:rPr>
                <w:szCs w:val="24"/>
              </w:rPr>
            </w:pPr>
            <w:proofErr w:type="spellStart"/>
            <w:r w:rsidRPr="00DD43F1">
              <w:rPr>
                <w:szCs w:val="24"/>
              </w:rPr>
              <w:t>Adcorp</w:t>
            </w:r>
            <w:proofErr w:type="spellEnd"/>
          </w:p>
        </w:tc>
        <w:tc>
          <w:tcPr>
            <w:tcW w:w="1443" w:type="dxa"/>
          </w:tcPr>
          <w:p w:rsidR="00087037" w:rsidRPr="00DD43F1" w:rsidRDefault="00087037" w:rsidP="00087037">
            <w:pPr>
              <w:pStyle w:val="Body"/>
              <w:spacing w:before="80"/>
              <w:ind w:left="0"/>
              <w:jc w:val="right"/>
              <w:rPr>
                <w:szCs w:val="24"/>
              </w:rPr>
            </w:pPr>
          </w:p>
        </w:tc>
      </w:tr>
      <w:tr w:rsidR="00087037" w:rsidRPr="00DD43F1" w:rsidTr="00261799">
        <w:tc>
          <w:tcPr>
            <w:tcW w:w="3828" w:type="dxa"/>
          </w:tcPr>
          <w:p w:rsidR="00087037" w:rsidRPr="00DD43F1" w:rsidRDefault="00087037" w:rsidP="00087037">
            <w:pPr>
              <w:pStyle w:val="Body"/>
              <w:spacing w:before="80"/>
              <w:ind w:left="-108"/>
              <w:rPr>
                <w:szCs w:val="24"/>
              </w:rPr>
            </w:pPr>
          </w:p>
        </w:tc>
        <w:tc>
          <w:tcPr>
            <w:tcW w:w="1157" w:type="dxa"/>
            <w:shd w:val="clear" w:color="auto" w:fill="auto"/>
          </w:tcPr>
          <w:p w:rsidR="00087037" w:rsidRPr="00DD43F1" w:rsidRDefault="00087037" w:rsidP="00087037">
            <w:pPr>
              <w:pStyle w:val="Body"/>
              <w:spacing w:before="80"/>
              <w:ind w:left="0"/>
              <w:jc w:val="right"/>
              <w:rPr>
                <w:szCs w:val="24"/>
              </w:rPr>
            </w:pPr>
            <w:r w:rsidRPr="00DD43F1">
              <w:rPr>
                <w:szCs w:val="24"/>
              </w:rPr>
              <w:t>$150</w:t>
            </w:r>
          </w:p>
        </w:tc>
        <w:tc>
          <w:tcPr>
            <w:tcW w:w="1962" w:type="dxa"/>
            <w:shd w:val="clear" w:color="auto" w:fill="auto"/>
          </w:tcPr>
          <w:p w:rsidR="00087037" w:rsidRPr="00DD43F1" w:rsidRDefault="00087037" w:rsidP="00087037">
            <w:pPr>
              <w:pStyle w:val="Body"/>
              <w:spacing w:before="80"/>
              <w:ind w:left="0"/>
              <w:jc w:val="right"/>
              <w:rPr>
                <w:szCs w:val="24"/>
              </w:rPr>
            </w:pPr>
            <w:r w:rsidRPr="00DD43F1">
              <w:rPr>
                <w:szCs w:val="24"/>
              </w:rPr>
              <w:t>Email Media</w:t>
            </w:r>
          </w:p>
        </w:tc>
        <w:tc>
          <w:tcPr>
            <w:tcW w:w="1443" w:type="dxa"/>
          </w:tcPr>
          <w:p w:rsidR="00087037" w:rsidRPr="00DD43F1" w:rsidRDefault="00087037" w:rsidP="00087037">
            <w:pPr>
              <w:pStyle w:val="Body"/>
              <w:spacing w:before="80"/>
              <w:ind w:left="0"/>
              <w:jc w:val="right"/>
              <w:rPr>
                <w:szCs w:val="24"/>
              </w:rPr>
            </w:pPr>
            <w:r w:rsidRPr="00DD43F1">
              <w:rPr>
                <w:szCs w:val="24"/>
              </w:rPr>
              <w:t>$8,258</w:t>
            </w:r>
          </w:p>
        </w:tc>
      </w:tr>
      <w:tr w:rsidR="00087037" w:rsidRPr="00DD43F1" w:rsidTr="00261799">
        <w:tc>
          <w:tcPr>
            <w:tcW w:w="3828" w:type="dxa"/>
            <w:shd w:val="clear" w:color="auto" w:fill="E0DCCB" w:themeFill="accent4" w:themeFillTint="66"/>
          </w:tcPr>
          <w:p w:rsidR="00087037" w:rsidRPr="00DD43F1" w:rsidRDefault="00087037" w:rsidP="00087037">
            <w:pPr>
              <w:pStyle w:val="Body"/>
              <w:spacing w:before="80"/>
              <w:ind w:left="-108"/>
              <w:rPr>
                <w:szCs w:val="24"/>
              </w:rPr>
            </w:pPr>
          </w:p>
        </w:tc>
        <w:tc>
          <w:tcPr>
            <w:tcW w:w="1157" w:type="dxa"/>
            <w:shd w:val="clear" w:color="auto" w:fill="E0DCCB" w:themeFill="accent4" w:themeFillTint="66"/>
          </w:tcPr>
          <w:p w:rsidR="00087037" w:rsidRPr="00DD43F1" w:rsidRDefault="00087037" w:rsidP="00087037">
            <w:pPr>
              <w:pStyle w:val="Body"/>
              <w:spacing w:before="80"/>
              <w:ind w:left="0"/>
              <w:jc w:val="right"/>
              <w:rPr>
                <w:szCs w:val="24"/>
              </w:rPr>
            </w:pPr>
          </w:p>
        </w:tc>
        <w:tc>
          <w:tcPr>
            <w:tcW w:w="1962" w:type="dxa"/>
            <w:shd w:val="clear" w:color="auto" w:fill="E0DCCB" w:themeFill="accent4" w:themeFillTint="66"/>
          </w:tcPr>
          <w:p w:rsidR="00087037" w:rsidRPr="00DD43F1" w:rsidRDefault="00087037" w:rsidP="00087037">
            <w:pPr>
              <w:pStyle w:val="Body"/>
              <w:spacing w:before="80"/>
              <w:ind w:left="0"/>
              <w:jc w:val="right"/>
              <w:rPr>
                <w:b/>
                <w:szCs w:val="24"/>
              </w:rPr>
            </w:pPr>
            <w:r w:rsidRPr="00DD43F1">
              <w:rPr>
                <w:b/>
                <w:szCs w:val="24"/>
              </w:rPr>
              <w:t>Total:</w:t>
            </w:r>
          </w:p>
        </w:tc>
        <w:tc>
          <w:tcPr>
            <w:tcW w:w="1443" w:type="dxa"/>
            <w:shd w:val="clear" w:color="auto" w:fill="E0DCCB" w:themeFill="accent4" w:themeFillTint="66"/>
          </w:tcPr>
          <w:p w:rsidR="00087037" w:rsidRPr="00DD43F1" w:rsidRDefault="00087037" w:rsidP="00087037">
            <w:pPr>
              <w:pStyle w:val="Body"/>
              <w:spacing w:before="80"/>
              <w:ind w:left="0"/>
              <w:jc w:val="right"/>
              <w:rPr>
                <w:b/>
                <w:szCs w:val="24"/>
              </w:rPr>
            </w:pPr>
            <w:r w:rsidRPr="00DD43F1">
              <w:rPr>
                <w:b/>
                <w:szCs w:val="24"/>
              </w:rPr>
              <w:t>$9,041</w:t>
            </w:r>
          </w:p>
        </w:tc>
      </w:tr>
    </w:tbl>
    <w:p w:rsidR="00087037" w:rsidRDefault="00087037" w:rsidP="00087037">
      <w:pPr>
        <w:pStyle w:val="Body"/>
      </w:pPr>
    </w:p>
    <w:p w:rsidR="00087037" w:rsidRPr="00636284" w:rsidRDefault="00087037" w:rsidP="00087037">
      <w:pPr>
        <w:pStyle w:val="Body"/>
      </w:pPr>
      <w:r>
        <w:t>The expenditure reported under direct mail organisations relates to email notification of opportunities for public comment and submissions to subscribers. Expenditure under media advertising organisations relates to recruitment, primarily of EPA members.</w:t>
      </w:r>
    </w:p>
    <w:p w:rsidR="00087037" w:rsidRPr="00FF5CF1" w:rsidRDefault="00087037" w:rsidP="00DD43F1">
      <w:pPr>
        <w:pStyle w:val="Heading3"/>
      </w:pPr>
      <w:bookmarkStart w:id="366" w:name="_Toc427745982"/>
      <w:bookmarkStart w:id="367" w:name="_Toc428271003"/>
      <w:bookmarkStart w:id="368" w:name="_Toc428279234"/>
      <w:r w:rsidRPr="00FF5CF1">
        <w:t>Disability access and inclusion plan outcomes</w:t>
      </w:r>
      <w:bookmarkEnd w:id="366"/>
      <w:bookmarkEnd w:id="367"/>
      <w:bookmarkEnd w:id="368"/>
    </w:p>
    <w:p w:rsidR="00087037" w:rsidRPr="00DD43F1" w:rsidRDefault="00087037" w:rsidP="00DD43F1">
      <w:pPr>
        <w:pStyle w:val="Heading4"/>
        <w:spacing w:before="120" w:after="120"/>
        <w:rPr>
          <w:rFonts w:ascii="FranklinGothic-Book" w:hAnsi="FranklinGothic-Book" w:cs="FranklinGothic-Book"/>
          <w:i w:val="0"/>
        </w:rPr>
      </w:pPr>
      <w:r w:rsidRPr="00DD43F1">
        <w:rPr>
          <w:rFonts w:ascii="FranklinGothic-Book" w:hAnsi="FranklinGothic-Book" w:cs="FranklinGothic-Book"/>
          <w:i w:val="0"/>
        </w:rPr>
        <w:t>(</w:t>
      </w:r>
      <w:r w:rsidRPr="00DD43F1">
        <w:rPr>
          <w:rFonts w:ascii="FranklinGothic-Book" w:hAnsi="FranklinGothic-Book" w:cs="FranklinGothic-Book"/>
        </w:rPr>
        <w:t>Disability Services Act 199</w:t>
      </w:r>
      <w:r w:rsidRPr="00DD43F1">
        <w:rPr>
          <w:rFonts w:ascii="FranklinGothic-Book" w:hAnsi="FranklinGothic-Book" w:cs="FranklinGothic-Book"/>
          <w:i w:val="0"/>
        </w:rPr>
        <w:t>3, s29 and Schedule 3 of the Disability Services Regulations 2004)</w:t>
      </w:r>
    </w:p>
    <w:p w:rsidR="00087037" w:rsidRDefault="00087037" w:rsidP="00087037">
      <w:pPr>
        <w:pStyle w:val="Body"/>
      </w:pPr>
      <w:r>
        <w:t>The OEPA received corporate services from the Department of Parks and Wildlife during 2014–15. This included coming under the umbrella of the Parks and Wildlife’s Disability Access and Inclusion Plan, which continues an ongoing program of improving access, facilities and services to ensure they meet the needs of customers and staff.</w:t>
      </w:r>
    </w:p>
    <w:p w:rsidR="00087037" w:rsidRPr="003F2E88" w:rsidRDefault="00087037" w:rsidP="00087037">
      <w:pPr>
        <w:pStyle w:val="Body"/>
      </w:pPr>
      <w:r>
        <w:t>The OEPA has drafted its own plan and, during 2015–16, will undertake the required public consultation before presenting the plan to the Disability Services Commission for approval. This will ensure that the specific interests of all OEPA staff and customers are taken into account.</w:t>
      </w:r>
    </w:p>
    <w:p w:rsidR="00087037" w:rsidRDefault="00087037" w:rsidP="00DD43F1">
      <w:pPr>
        <w:pStyle w:val="Heading3"/>
      </w:pPr>
      <w:bookmarkStart w:id="369" w:name="_Toc427745983"/>
      <w:bookmarkStart w:id="370" w:name="_Toc428271004"/>
      <w:bookmarkStart w:id="371" w:name="_Toc428279235"/>
      <w:r>
        <w:lastRenderedPageBreak/>
        <w:t>Compliance with Public Sector Standards and ethical codes</w:t>
      </w:r>
      <w:bookmarkEnd w:id="369"/>
      <w:bookmarkEnd w:id="370"/>
      <w:bookmarkEnd w:id="371"/>
    </w:p>
    <w:p w:rsidR="00087037" w:rsidRPr="00DD43F1" w:rsidRDefault="00087037" w:rsidP="00DD43F1">
      <w:pPr>
        <w:pStyle w:val="Heading4"/>
        <w:spacing w:before="120" w:after="120"/>
        <w:rPr>
          <w:rFonts w:ascii="FranklinGothic-Book" w:hAnsi="FranklinGothic-Book" w:cs="FranklinGothic-Book"/>
          <w:i w:val="0"/>
        </w:rPr>
      </w:pPr>
      <w:r w:rsidRPr="00DD43F1">
        <w:rPr>
          <w:rFonts w:ascii="FranklinGothic-Book" w:hAnsi="FranklinGothic-Book" w:cs="FranklinGothic-Book"/>
          <w:i w:val="0"/>
        </w:rPr>
        <w:t>(</w:t>
      </w:r>
      <w:r w:rsidRPr="00DD43F1">
        <w:rPr>
          <w:rFonts w:ascii="FranklinGothic-Book" w:hAnsi="FranklinGothic-Book" w:cs="FranklinGothic-Book"/>
        </w:rPr>
        <w:t>Public Sector Management Act 1994</w:t>
      </w:r>
      <w:r w:rsidRPr="00DD43F1">
        <w:rPr>
          <w:rFonts w:ascii="FranklinGothic-Book" w:hAnsi="FranklinGothic-Book" w:cs="FranklinGothic-Book"/>
          <w:i w:val="0"/>
        </w:rPr>
        <w:t xml:space="preserve">, </w:t>
      </w:r>
      <w:proofErr w:type="gramStart"/>
      <w:r w:rsidRPr="00DD43F1">
        <w:rPr>
          <w:rFonts w:ascii="FranklinGothic-Book" w:hAnsi="FranklinGothic-Book" w:cs="FranklinGothic-Book"/>
          <w:i w:val="0"/>
        </w:rPr>
        <w:t>s31(</w:t>
      </w:r>
      <w:proofErr w:type="gramEnd"/>
      <w:r w:rsidRPr="00DD43F1">
        <w:rPr>
          <w:rFonts w:ascii="FranklinGothic-Book" w:hAnsi="FranklinGothic-Book" w:cs="FranklinGothic-Book"/>
          <w:i w:val="0"/>
        </w:rPr>
        <w:t>1))</w:t>
      </w:r>
    </w:p>
    <w:p w:rsidR="00087037" w:rsidRDefault="00087037" w:rsidP="00087037">
      <w:pPr>
        <w:pStyle w:val="Body"/>
      </w:pPr>
      <w:r>
        <w:t>The OEPA’s policies are written to support employees in the achievement of a professional standard of behaviour and to comply with legislative and public sector directives. All policies are accessible to department staff through the intranet. In addition, the department undertook the following activities in 2014</w:t>
      </w:r>
      <w:r w:rsidR="00BC5B65">
        <w:t>–</w:t>
      </w:r>
      <w:r>
        <w:t>15 to support compliance with public sector standards and ethical codes:</w:t>
      </w:r>
    </w:p>
    <w:p w:rsidR="00087037" w:rsidRPr="00BC5B65" w:rsidRDefault="00087037" w:rsidP="00067EE9">
      <w:pPr>
        <w:pStyle w:val="ListParagraph"/>
      </w:pPr>
      <w:r w:rsidRPr="00BC5B65">
        <w:t>The Department has a published code of conduct linking the WA Code of Ethics and OEPA’s Values and Behaviour Guide.</w:t>
      </w:r>
    </w:p>
    <w:p w:rsidR="00087037" w:rsidRPr="00BC5B65" w:rsidRDefault="00087037" w:rsidP="00067EE9">
      <w:pPr>
        <w:pStyle w:val="ListParagraph"/>
      </w:pPr>
      <w:r w:rsidRPr="00BC5B65">
        <w:t>A gift decisions form is available on the intranet to complement the conflict of interest declaration form and includes the requirement to declare and record all gifts offered and accepted.</w:t>
      </w:r>
    </w:p>
    <w:p w:rsidR="00087037" w:rsidRPr="00BC5B65" w:rsidRDefault="00087037" w:rsidP="00067EE9">
      <w:pPr>
        <w:pStyle w:val="ListParagraph"/>
      </w:pPr>
      <w:r w:rsidRPr="00BC5B65">
        <w:t>All employees are enrolled in the ‘Accountable and Ethical Decision Making’ course on commencement.</w:t>
      </w:r>
    </w:p>
    <w:p w:rsidR="00087037" w:rsidRDefault="00087037" w:rsidP="00087037">
      <w:pPr>
        <w:pStyle w:val="Body"/>
      </w:pPr>
      <w:r>
        <w:t>For 2014</w:t>
      </w:r>
      <w:r w:rsidR="00BC5B65">
        <w:t>–</w:t>
      </w:r>
      <w:r>
        <w:t>15 the OEPA reports the following public sector standards and ethical codes compliance statistics:</w:t>
      </w:r>
      <w:r>
        <w:br/>
      </w:r>
    </w:p>
    <w:tbl>
      <w:tblPr>
        <w:tblStyle w:val="TableGrid"/>
        <w:tblW w:w="0" w:type="auto"/>
        <w:tblInd w:w="1242" w:type="dxa"/>
        <w:tblBorders>
          <w:top w:val="none" w:sz="0" w:space="0" w:color="auto"/>
          <w:left w:val="none" w:sz="0" w:space="0" w:color="auto"/>
          <w:bottom w:val="dotted" w:sz="8" w:space="0" w:color="8E8455" w:themeColor="accent4" w:themeShade="BF"/>
          <w:right w:val="none" w:sz="0" w:space="0" w:color="auto"/>
          <w:insideH w:val="none" w:sz="0" w:space="0" w:color="auto"/>
          <w:insideV w:val="none" w:sz="0" w:space="0" w:color="auto"/>
        </w:tblBorders>
        <w:tblCellMar>
          <w:top w:w="28" w:type="dxa"/>
          <w:bottom w:w="28" w:type="dxa"/>
        </w:tblCellMar>
        <w:tblLook w:val="04A0" w:firstRow="1" w:lastRow="0" w:firstColumn="1" w:lastColumn="0" w:noHBand="0" w:noVBand="1"/>
      </w:tblPr>
      <w:tblGrid>
        <w:gridCol w:w="6611"/>
        <w:gridCol w:w="1836"/>
      </w:tblGrid>
      <w:tr w:rsidR="00087037" w:rsidRPr="00BC5B65" w:rsidTr="00BC5B65">
        <w:tc>
          <w:tcPr>
            <w:tcW w:w="6663" w:type="dxa"/>
            <w:shd w:val="clear" w:color="auto" w:fill="E0DCCB" w:themeFill="accent4" w:themeFillTint="66"/>
          </w:tcPr>
          <w:p w:rsidR="00087037" w:rsidRPr="00BC5B65" w:rsidRDefault="00087037" w:rsidP="00087037">
            <w:pPr>
              <w:autoSpaceDE w:val="0"/>
              <w:autoSpaceDN w:val="0"/>
              <w:adjustRightInd w:val="0"/>
              <w:rPr>
                <w:rFonts w:cstheme="minorHAnsi"/>
                <w:b/>
                <w:szCs w:val="24"/>
              </w:rPr>
            </w:pPr>
            <w:r w:rsidRPr="00BC5B65">
              <w:rPr>
                <w:rFonts w:cstheme="minorHAnsi"/>
                <w:b/>
                <w:szCs w:val="24"/>
              </w:rPr>
              <w:t xml:space="preserve">Compliance issues </w:t>
            </w:r>
          </w:p>
        </w:tc>
        <w:tc>
          <w:tcPr>
            <w:tcW w:w="1842" w:type="dxa"/>
            <w:shd w:val="clear" w:color="auto" w:fill="E0DCCB" w:themeFill="accent4" w:themeFillTint="66"/>
          </w:tcPr>
          <w:p w:rsidR="00087037" w:rsidRPr="00BC5B65" w:rsidRDefault="00087037" w:rsidP="00BC5B65">
            <w:pPr>
              <w:autoSpaceDE w:val="0"/>
              <w:autoSpaceDN w:val="0"/>
              <w:adjustRightInd w:val="0"/>
              <w:jc w:val="center"/>
              <w:rPr>
                <w:rFonts w:cstheme="minorHAnsi"/>
                <w:b/>
                <w:szCs w:val="24"/>
              </w:rPr>
            </w:pPr>
            <w:r w:rsidRPr="00BC5B65">
              <w:rPr>
                <w:rFonts w:cstheme="minorHAnsi"/>
                <w:b/>
                <w:szCs w:val="24"/>
              </w:rPr>
              <w:t>Reported for 2014</w:t>
            </w:r>
            <w:r w:rsidR="00BC5B65">
              <w:rPr>
                <w:rFonts w:cstheme="minorHAnsi"/>
                <w:b/>
                <w:szCs w:val="24"/>
              </w:rPr>
              <w:t>–</w:t>
            </w:r>
            <w:r w:rsidRPr="00BC5B65">
              <w:rPr>
                <w:rFonts w:cstheme="minorHAnsi"/>
                <w:b/>
                <w:szCs w:val="24"/>
              </w:rPr>
              <w:t>15</w:t>
            </w:r>
          </w:p>
        </w:tc>
      </w:tr>
      <w:tr w:rsidR="00087037" w:rsidRPr="00BC5B65" w:rsidTr="00BC5B65">
        <w:tc>
          <w:tcPr>
            <w:tcW w:w="6663" w:type="dxa"/>
          </w:tcPr>
          <w:p w:rsidR="00087037" w:rsidRPr="00BC5B65" w:rsidRDefault="00087037" w:rsidP="00087037">
            <w:pPr>
              <w:autoSpaceDE w:val="0"/>
              <w:autoSpaceDN w:val="0"/>
              <w:adjustRightInd w:val="0"/>
              <w:rPr>
                <w:rFonts w:cstheme="minorHAnsi"/>
                <w:szCs w:val="24"/>
              </w:rPr>
            </w:pPr>
            <w:r w:rsidRPr="00BC5B65">
              <w:rPr>
                <w:rFonts w:cstheme="minorHAnsi"/>
                <w:szCs w:val="24"/>
              </w:rPr>
              <w:t>Public sector standards in human resource management breach claims</w:t>
            </w:r>
          </w:p>
        </w:tc>
        <w:tc>
          <w:tcPr>
            <w:tcW w:w="1842" w:type="dxa"/>
            <w:shd w:val="clear" w:color="auto" w:fill="E0DCCB" w:themeFill="accent4" w:themeFillTint="66"/>
          </w:tcPr>
          <w:p w:rsidR="00087037" w:rsidRPr="00BC5B65" w:rsidRDefault="00087037" w:rsidP="00087037">
            <w:pPr>
              <w:autoSpaceDE w:val="0"/>
              <w:autoSpaceDN w:val="0"/>
              <w:adjustRightInd w:val="0"/>
              <w:jc w:val="center"/>
              <w:rPr>
                <w:rFonts w:cstheme="minorHAnsi"/>
                <w:szCs w:val="24"/>
              </w:rPr>
            </w:pPr>
            <w:r w:rsidRPr="00BC5B65">
              <w:rPr>
                <w:rFonts w:cstheme="minorHAnsi"/>
                <w:szCs w:val="24"/>
              </w:rPr>
              <w:t>0</w:t>
            </w:r>
          </w:p>
        </w:tc>
      </w:tr>
      <w:tr w:rsidR="00087037" w:rsidRPr="00BC5B65" w:rsidTr="00BC5B65">
        <w:tc>
          <w:tcPr>
            <w:tcW w:w="6663" w:type="dxa"/>
          </w:tcPr>
          <w:p w:rsidR="00087037" w:rsidRPr="00BC5B65" w:rsidRDefault="00087037" w:rsidP="00087037">
            <w:pPr>
              <w:autoSpaceDE w:val="0"/>
              <w:autoSpaceDN w:val="0"/>
              <w:adjustRightInd w:val="0"/>
              <w:rPr>
                <w:rFonts w:cstheme="minorHAnsi"/>
                <w:szCs w:val="24"/>
              </w:rPr>
            </w:pPr>
            <w:r w:rsidRPr="00BC5B65">
              <w:rPr>
                <w:rFonts w:cstheme="minorHAnsi"/>
                <w:szCs w:val="24"/>
              </w:rPr>
              <w:t xml:space="preserve">Non-compliance with the WA Code of Ethics and the Department’s Code of Conduct </w:t>
            </w:r>
          </w:p>
        </w:tc>
        <w:tc>
          <w:tcPr>
            <w:tcW w:w="1842" w:type="dxa"/>
            <w:shd w:val="clear" w:color="auto" w:fill="E0DCCB" w:themeFill="accent4" w:themeFillTint="66"/>
          </w:tcPr>
          <w:p w:rsidR="00087037" w:rsidRPr="00BC5B65" w:rsidRDefault="00087037" w:rsidP="00087037">
            <w:pPr>
              <w:autoSpaceDE w:val="0"/>
              <w:autoSpaceDN w:val="0"/>
              <w:adjustRightInd w:val="0"/>
              <w:jc w:val="center"/>
              <w:rPr>
                <w:rFonts w:cstheme="minorHAnsi"/>
                <w:szCs w:val="24"/>
              </w:rPr>
            </w:pPr>
            <w:r w:rsidRPr="00BC5B65">
              <w:rPr>
                <w:rFonts w:cstheme="minorHAnsi"/>
                <w:szCs w:val="24"/>
              </w:rPr>
              <w:t>0</w:t>
            </w:r>
          </w:p>
        </w:tc>
      </w:tr>
      <w:tr w:rsidR="00087037" w:rsidRPr="00BC5B65" w:rsidTr="00BC5B65">
        <w:tc>
          <w:tcPr>
            <w:tcW w:w="6663" w:type="dxa"/>
          </w:tcPr>
          <w:p w:rsidR="00087037" w:rsidRPr="00BC5B65" w:rsidRDefault="00087037" w:rsidP="00087037">
            <w:pPr>
              <w:autoSpaceDE w:val="0"/>
              <w:autoSpaceDN w:val="0"/>
              <w:adjustRightInd w:val="0"/>
              <w:spacing w:after="120"/>
              <w:rPr>
                <w:rFonts w:cstheme="minorHAnsi"/>
                <w:szCs w:val="24"/>
              </w:rPr>
            </w:pPr>
            <w:r w:rsidRPr="00BC5B65">
              <w:rPr>
                <w:rFonts w:cstheme="minorHAnsi"/>
                <w:szCs w:val="24"/>
              </w:rPr>
              <w:t xml:space="preserve">Substantiated allegations of misconduct under the disciplinary provisions of the </w:t>
            </w:r>
            <w:r w:rsidRPr="00BC5B65">
              <w:rPr>
                <w:rFonts w:cstheme="minorHAnsi"/>
                <w:i/>
                <w:iCs/>
                <w:szCs w:val="24"/>
              </w:rPr>
              <w:t xml:space="preserve">Public Sector Management Act 1994 </w:t>
            </w:r>
          </w:p>
        </w:tc>
        <w:tc>
          <w:tcPr>
            <w:tcW w:w="1842" w:type="dxa"/>
            <w:shd w:val="clear" w:color="auto" w:fill="E0DCCB" w:themeFill="accent4" w:themeFillTint="66"/>
          </w:tcPr>
          <w:p w:rsidR="00087037" w:rsidRPr="00BC5B65" w:rsidRDefault="00087037" w:rsidP="00087037">
            <w:pPr>
              <w:autoSpaceDE w:val="0"/>
              <w:autoSpaceDN w:val="0"/>
              <w:adjustRightInd w:val="0"/>
              <w:jc w:val="center"/>
              <w:rPr>
                <w:rFonts w:cstheme="minorHAnsi"/>
                <w:szCs w:val="24"/>
              </w:rPr>
            </w:pPr>
            <w:r w:rsidRPr="00BC5B65">
              <w:rPr>
                <w:rFonts w:cstheme="minorHAnsi"/>
                <w:szCs w:val="24"/>
              </w:rPr>
              <w:t>0</w:t>
            </w:r>
          </w:p>
        </w:tc>
      </w:tr>
    </w:tbl>
    <w:p w:rsidR="00087037" w:rsidRDefault="00087037" w:rsidP="00087037"/>
    <w:p w:rsidR="00087037" w:rsidRDefault="00087037" w:rsidP="00087037">
      <w:pPr>
        <w:pStyle w:val="Heading3"/>
      </w:pPr>
      <w:bookmarkStart w:id="372" w:name="_Toc427745984"/>
      <w:bookmarkStart w:id="373" w:name="_Toc428271005"/>
      <w:bookmarkStart w:id="374" w:name="_Toc428279236"/>
      <w:r>
        <w:t>Government policy requirements</w:t>
      </w:r>
      <w:bookmarkEnd w:id="372"/>
      <w:bookmarkEnd w:id="373"/>
      <w:bookmarkEnd w:id="374"/>
    </w:p>
    <w:p w:rsidR="00087037" w:rsidRDefault="00087037" w:rsidP="00087037">
      <w:pPr>
        <w:pStyle w:val="Heading4"/>
      </w:pPr>
      <w:r w:rsidRPr="00295695">
        <w:t>Occupational safety, health and injury management</w:t>
      </w:r>
    </w:p>
    <w:p w:rsidR="00087037" w:rsidRPr="00A3783B" w:rsidRDefault="00087037" w:rsidP="00087037">
      <w:pPr>
        <w:pStyle w:val="Body"/>
        <w:rPr>
          <w:b/>
          <w:sz w:val="22"/>
        </w:rPr>
      </w:pPr>
      <w:r w:rsidRPr="00A3783B">
        <w:rPr>
          <w:b/>
          <w:sz w:val="22"/>
        </w:rPr>
        <w:t>(Public Sector Commissioner’s Circular 2012-05: Code of Practice: Occupational Safety and Health in the Western Australian Public Sector)</w:t>
      </w:r>
    </w:p>
    <w:p w:rsidR="00087037" w:rsidRDefault="00087037" w:rsidP="00087037">
      <w:pPr>
        <w:pStyle w:val="Body"/>
      </w:pPr>
      <w:r>
        <w:t>The OEPA and its executive are committed to ensuring the safety, health and well-being of their employees, contractors, volunteers and visitors at all workplaces.</w:t>
      </w:r>
    </w:p>
    <w:p w:rsidR="00087037" w:rsidRDefault="00087037" w:rsidP="00087037">
      <w:pPr>
        <w:pStyle w:val="Body"/>
      </w:pPr>
      <w:r>
        <w:t>The department is supported by the Department of Parks and Wildlife in providing support for:</w:t>
      </w:r>
    </w:p>
    <w:p w:rsidR="00087037" w:rsidRPr="00BC5B65" w:rsidRDefault="00087037" w:rsidP="00067EE9">
      <w:pPr>
        <w:pStyle w:val="ListParagraph"/>
      </w:pPr>
      <w:r w:rsidRPr="00BC5B65">
        <w:t>safety and health communication through the Intranet and other communication channels;</w:t>
      </w:r>
    </w:p>
    <w:p w:rsidR="00087037" w:rsidRPr="00BC5B65" w:rsidRDefault="00087037" w:rsidP="00067EE9">
      <w:pPr>
        <w:pStyle w:val="ListParagraph"/>
      </w:pPr>
      <w:r w:rsidRPr="00BC5B65">
        <w:lastRenderedPageBreak/>
        <w:t>safety and health training;</w:t>
      </w:r>
    </w:p>
    <w:p w:rsidR="00087037" w:rsidRPr="00BC5B65" w:rsidRDefault="00087037" w:rsidP="00067EE9">
      <w:pPr>
        <w:pStyle w:val="ListParagraph"/>
      </w:pPr>
      <w:r w:rsidRPr="00BC5B65">
        <w:t>the operation of the Occupational Safety and Health (OSH) Committee and its sub-committees;</w:t>
      </w:r>
    </w:p>
    <w:p w:rsidR="00087037" w:rsidRPr="00BC5B65" w:rsidRDefault="00087037" w:rsidP="00067EE9">
      <w:pPr>
        <w:pStyle w:val="ListParagraph"/>
      </w:pPr>
      <w:r w:rsidRPr="00BC5B65">
        <w:t>the activities of the Wellness Program; and</w:t>
      </w:r>
    </w:p>
    <w:p w:rsidR="00087037" w:rsidRPr="00BC5B65" w:rsidRDefault="00087037" w:rsidP="00067EE9">
      <w:pPr>
        <w:pStyle w:val="ListParagraph"/>
      </w:pPr>
      <w:proofErr w:type="gramStart"/>
      <w:r w:rsidRPr="00BC5B65">
        <w:t>continuous</w:t>
      </w:r>
      <w:proofErr w:type="gramEnd"/>
      <w:r w:rsidRPr="00BC5B65">
        <w:t xml:space="preserve"> improvement of the safety management system including risk management processes and hazard/accident/incident reporting.</w:t>
      </w:r>
    </w:p>
    <w:p w:rsidR="00087037" w:rsidRDefault="00087037" w:rsidP="00087037">
      <w:pPr>
        <w:pStyle w:val="Body"/>
      </w:pPr>
      <w:r>
        <w:t>The department is developing a range of safety key performance indicators that will be reported on and reviewed regularly within an OSH Improvement Plan as part of its commitment to the well-being of its staff.</w:t>
      </w:r>
    </w:p>
    <w:p w:rsidR="00087037" w:rsidRDefault="00087037" w:rsidP="00BC5B65">
      <w:pPr>
        <w:pStyle w:val="Body"/>
      </w:pPr>
      <w:r>
        <w:t>The OEPA is supported by the Department of Parks and Wildlife, which has a workers’ compensation and injury management policy that prescribes the injury management process, including the development of return to work programs for all injured staff under the directio</w:t>
      </w:r>
      <w:r w:rsidR="00BC5B65">
        <w:t>n and guidance of the OSH team.</w:t>
      </w:r>
    </w:p>
    <w:tbl>
      <w:tblPr>
        <w:tblStyle w:val="TableGrid"/>
        <w:tblW w:w="8364" w:type="dxa"/>
        <w:tblInd w:w="124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firstRow="1" w:lastRow="0" w:firstColumn="1" w:lastColumn="0" w:noHBand="0" w:noVBand="1"/>
      </w:tblPr>
      <w:tblGrid>
        <w:gridCol w:w="2694"/>
        <w:gridCol w:w="992"/>
        <w:gridCol w:w="1276"/>
        <w:gridCol w:w="1854"/>
        <w:gridCol w:w="1548"/>
      </w:tblGrid>
      <w:tr w:rsidR="00087037" w:rsidRPr="00BC5B65" w:rsidTr="000160C5">
        <w:tc>
          <w:tcPr>
            <w:tcW w:w="2694" w:type="dxa"/>
            <w:shd w:val="clear" w:color="auto" w:fill="E0DCCB" w:themeFill="accent4" w:themeFillTint="66"/>
          </w:tcPr>
          <w:p w:rsidR="00087037" w:rsidRPr="000160C5" w:rsidRDefault="00087037" w:rsidP="00087037">
            <w:pPr>
              <w:rPr>
                <w:rFonts w:cstheme="minorHAnsi"/>
                <w:b/>
                <w:sz w:val="22"/>
              </w:rPr>
            </w:pPr>
            <w:r w:rsidRPr="000160C5">
              <w:rPr>
                <w:rFonts w:cstheme="minorHAnsi"/>
                <w:b/>
                <w:sz w:val="22"/>
              </w:rPr>
              <w:t xml:space="preserve">Measure </w:t>
            </w:r>
          </w:p>
        </w:tc>
        <w:tc>
          <w:tcPr>
            <w:tcW w:w="2268" w:type="dxa"/>
            <w:gridSpan w:val="2"/>
            <w:shd w:val="clear" w:color="auto" w:fill="E0DCCB" w:themeFill="accent4" w:themeFillTint="66"/>
          </w:tcPr>
          <w:p w:rsidR="00087037" w:rsidRPr="000160C5" w:rsidRDefault="00087037" w:rsidP="00087037">
            <w:pPr>
              <w:jc w:val="center"/>
              <w:rPr>
                <w:rFonts w:cstheme="minorHAnsi"/>
                <w:b/>
                <w:sz w:val="22"/>
              </w:rPr>
            </w:pPr>
            <w:r w:rsidRPr="000160C5">
              <w:rPr>
                <w:rFonts w:cstheme="minorHAnsi"/>
                <w:b/>
                <w:sz w:val="22"/>
              </w:rPr>
              <w:t>Actual results</w:t>
            </w:r>
          </w:p>
        </w:tc>
        <w:tc>
          <w:tcPr>
            <w:tcW w:w="3402" w:type="dxa"/>
            <w:gridSpan w:val="2"/>
            <w:shd w:val="clear" w:color="auto" w:fill="E0DCCB" w:themeFill="accent4" w:themeFillTint="66"/>
          </w:tcPr>
          <w:p w:rsidR="00087037" w:rsidRPr="000160C5" w:rsidRDefault="00087037" w:rsidP="00087037">
            <w:pPr>
              <w:jc w:val="center"/>
              <w:rPr>
                <w:rFonts w:cstheme="minorHAnsi"/>
                <w:b/>
                <w:sz w:val="22"/>
              </w:rPr>
            </w:pPr>
            <w:r w:rsidRPr="000160C5">
              <w:rPr>
                <w:rFonts w:cstheme="minorHAnsi"/>
                <w:b/>
                <w:sz w:val="22"/>
              </w:rPr>
              <w:t>Results against target</w:t>
            </w:r>
          </w:p>
        </w:tc>
      </w:tr>
      <w:tr w:rsidR="00087037" w:rsidRPr="00BC5B65" w:rsidTr="000160C5">
        <w:tc>
          <w:tcPr>
            <w:tcW w:w="2694" w:type="dxa"/>
            <w:shd w:val="clear" w:color="auto" w:fill="E0DCCB" w:themeFill="accent4" w:themeFillTint="66"/>
          </w:tcPr>
          <w:p w:rsidR="00087037" w:rsidRPr="000160C5" w:rsidRDefault="00087037" w:rsidP="00087037">
            <w:pPr>
              <w:rPr>
                <w:rFonts w:cstheme="minorHAnsi"/>
                <w:b/>
                <w:sz w:val="22"/>
              </w:rPr>
            </w:pPr>
          </w:p>
        </w:tc>
        <w:tc>
          <w:tcPr>
            <w:tcW w:w="992" w:type="dxa"/>
            <w:shd w:val="clear" w:color="auto" w:fill="E0DCCB" w:themeFill="accent4" w:themeFillTint="66"/>
          </w:tcPr>
          <w:p w:rsidR="00087037" w:rsidRPr="000160C5" w:rsidRDefault="00087037" w:rsidP="00087037">
            <w:pPr>
              <w:jc w:val="center"/>
              <w:rPr>
                <w:rFonts w:cstheme="minorHAnsi"/>
                <w:b/>
                <w:sz w:val="22"/>
              </w:rPr>
            </w:pPr>
            <w:r w:rsidRPr="000160C5">
              <w:rPr>
                <w:rFonts w:cstheme="minorHAnsi"/>
                <w:b/>
                <w:sz w:val="22"/>
              </w:rPr>
              <w:t>2013-14</w:t>
            </w:r>
          </w:p>
        </w:tc>
        <w:tc>
          <w:tcPr>
            <w:tcW w:w="1276" w:type="dxa"/>
            <w:shd w:val="clear" w:color="auto" w:fill="E0DCCB" w:themeFill="accent4" w:themeFillTint="66"/>
          </w:tcPr>
          <w:p w:rsidR="00087037" w:rsidRPr="000160C5" w:rsidRDefault="00087037" w:rsidP="00087037">
            <w:pPr>
              <w:jc w:val="center"/>
              <w:rPr>
                <w:rFonts w:cstheme="minorHAnsi"/>
                <w:b/>
                <w:sz w:val="22"/>
              </w:rPr>
            </w:pPr>
            <w:r w:rsidRPr="000160C5">
              <w:rPr>
                <w:rFonts w:cstheme="minorHAnsi"/>
                <w:b/>
                <w:sz w:val="22"/>
              </w:rPr>
              <w:t>2014-15</w:t>
            </w:r>
          </w:p>
        </w:tc>
        <w:tc>
          <w:tcPr>
            <w:tcW w:w="1854" w:type="dxa"/>
            <w:shd w:val="clear" w:color="auto" w:fill="E0DCCB" w:themeFill="accent4" w:themeFillTint="66"/>
          </w:tcPr>
          <w:p w:rsidR="00087037" w:rsidRPr="000160C5" w:rsidRDefault="00087037" w:rsidP="00087037">
            <w:pPr>
              <w:jc w:val="center"/>
              <w:rPr>
                <w:rFonts w:cstheme="minorHAnsi"/>
                <w:b/>
                <w:sz w:val="22"/>
              </w:rPr>
            </w:pPr>
            <w:r w:rsidRPr="000160C5">
              <w:rPr>
                <w:rFonts w:cstheme="minorHAnsi"/>
                <w:b/>
                <w:sz w:val="22"/>
              </w:rPr>
              <w:t>Target</w:t>
            </w:r>
          </w:p>
        </w:tc>
        <w:tc>
          <w:tcPr>
            <w:tcW w:w="1548" w:type="dxa"/>
            <w:shd w:val="clear" w:color="auto" w:fill="E0DCCB" w:themeFill="accent4" w:themeFillTint="66"/>
          </w:tcPr>
          <w:p w:rsidR="00087037" w:rsidRPr="000160C5" w:rsidRDefault="00087037" w:rsidP="00087037">
            <w:pPr>
              <w:jc w:val="center"/>
              <w:rPr>
                <w:rFonts w:cstheme="minorHAnsi"/>
                <w:b/>
                <w:sz w:val="22"/>
              </w:rPr>
            </w:pPr>
            <w:r w:rsidRPr="000160C5">
              <w:rPr>
                <w:rFonts w:cstheme="minorHAnsi"/>
                <w:b/>
                <w:sz w:val="22"/>
              </w:rPr>
              <w:t>Comment on result</w:t>
            </w:r>
          </w:p>
        </w:tc>
      </w:tr>
      <w:tr w:rsidR="00087037" w:rsidRPr="00BC5B65" w:rsidTr="000160C5">
        <w:tc>
          <w:tcPr>
            <w:tcW w:w="2694" w:type="dxa"/>
            <w:shd w:val="clear" w:color="auto" w:fill="E0DCCB" w:themeFill="accent4" w:themeFillTint="66"/>
          </w:tcPr>
          <w:p w:rsidR="00087037" w:rsidRPr="000160C5" w:rsidRDefault="00087037" w:rsidP="00087037">
            <w:pPr>
              <w:rPr>
                <w:rFonts w:cstheme="minorHAnsi"/>
                <w:sz w:val="22"/>
              </w:rPr>
            </w:pPr>
            <w:r w:rsidRPr="000160C5">
              <w:rPr>
                <w:rFonts w:cstheme="minorHAnsi"/>
                <w:sz w:val="22"/>
              </w:rPr>
              <w:t xml:space="preserve">Number of fatalities </w:t>
            </w:r>
          </w:p>
        </w:tc>
        <w:tc>
          <w:tcPr>
            <w:tcW w:w="992" w:type="dxa"/>
            <w:shd w:val="clear" w:color="auto" w:fill="auto"/>
          </w:tcPr>
          <w:p w:rsidR="00087037" w:rsidRPr="000160C5" w:rsidRDefault="00087037" w:rsidP="00087037">
            <w:pPr>
              <w:jc w:val="center"/>
              <w:rPr>
                <w:rFonts w:cstheme="minorHAnsi"/>
                <w:sz w:val="22"/>
              </w:rPr>
            </w:pPr>
            <w:r w:rsidRPr="000160C5">
              <w:rPr>
                <w:rFonts w:cstheme="minorHAnsi"/>
                <w:sz w:val="22"/>
              </w:rPr>
              <w:t>0</w:t>
            </w:r>
          </w:p>
        </w:tc>
        <w:tc>
          <w:tcPr>
            <w:tcW w:w="1276" w:type="dxa"/>
            <w:shd w:val="clear" w:color="auto" w:fill="E0DCCB" w:themeFill="accent4" w:themeFillTint="66"/>
          </w:tcPr>
          <w:p w:rsidR="00087037" w:rsidRPr="000160C5" w:rsidRDefault="00087037" w:rsidP="00087037">
            <w:pPr>
              <w:jc w:val="center"/>
              <w:rPr>
                <w:rFonts w:cstheme="minorHAnsi"/>
                <w:sz w:val="22"/>
              </w:rPr>
            </w:pPr>
            <w:r w:rsidRPr="000160C5">
              <w:rPr>
                <w:rFonts w:cstheme="minorHAnsi"/>
                <w:sz w:val="22"/>
              </w:rPr>
              <w:t>0</w:t>
            </w:r>
          </w:p>
        </w:tc>
        <w:tc>
          <w:tcPr>
            <w:tcW w:w="1854" w:type="dxa"/>
          </w:tcPr>
          <w:p w:rsidR="00087037" w:rsidRPr="000160C5" w:rsidRDefault="00087037" w:rsidP="00087037">
            <w:pPr>
              <w:jc w:val="center"/>
              <w:rPr>
                <w:rFonts w:cstheme="minorHAnsi"/>
                <w:sz w:val="22"/>
              </w:rPr>
            </w:pPr>
            <w:r w:rsidRPr="000160C5">
              <w:rPr>
                <w:rFonts w:cstheme="minorHAnsi"/>
                <w:sz w:val="22"/>
              </w:rPr>
              <w:t>0</w:t>
            </w:r>
          </w:p>
        </w:tc>
        <w:tc>
          <w:tcPr>
            <w:tcW w:w="1548" w:type="dxa"/>
            <w:shd w:val="clear" w:color="auto" w:fill="auto"/>
          </w:tcPr>
          <w:p w:rsidR="00087037" w:rsidRPr="000160C5" w:rsidRDefault="00087037" w:rsidP="00087037">
            <w:pPr>
              <w:jc w:val="center"/>
              <w:rPr>
                <w:rFonts w:cstheme="minorHAnsi"/>
                <w:sz w:val="22"/>
              </w:rPr>
            </w:pPr>
            <w:r w:rsidRPr="000160C5">
              <w:rPr>
                <w:rFonts w:cstheme="minorHAnsi"/>
                <w:sz w:val="22"/>
              </w:rPr>
              <w:t>-</w:t>
            </w:r>
          </w:p>
        </w:tc>
      </w:tr>
      <w:tr w:rsidR="00087037" w:rsidRPr="00BC5B65" w:rsidTr="000160C5">
        <w:tc>
          <w:tcPr>
            <w:tcW w:w="2694" w:type="dxa"/>
            <w:shd w:val="clear" w:color="auto" w:fill="E0DCCB" w:themeFill="accent4" w:themeFillTint="66"/>
          </w:tcPr>
          <w:p w:rsidR="00087037" w:rsidRPr="000160C5" w:rsidRDefault="00087037" w:rsidP="00087037">
            <w:pPr>
              <w:rPr>
                <w:rFonts w:cstheme="minorHAnsi"/>
                <w:sz w:val="22"/>
              </w:rPr>
            </w:pPr>
            <w:r w:rsidRPr="000160C5">
              <w:rPr>
                <w:rFonts w:cstheme="minorHAnsi"/>
                <w:sz w:val="22"/>
              </w:rPr>
              <w:t xml:space="preserve">Lost time injury and/or disease incidence rate </w:t>
            </w:r>
          </w:p>
        </w:tc>
        <w:tc>
          <w:tcPr>
            <w:tcW w:w="992" w:type="dxa"/>
            <w:shd w:val="clear" w:color="auto" w:fill="auto"/>
          </w:tcPr>
          <w:p w:rsidR="00087037" w:rsidRPr="000160C5" w:rsidRDefault="00087037" w:rsidP="00087037">
            <w:pPr>
              <w:jc w:val="center"/>
              <w:rPr>
                <w:rFonts w:cstheme="minorHAnsi"/>
                <w:sz w:val="22"/>
              </w:rPr>
            </w:pPr>
            <w:r w:rsidRPr="000160C5">
              <w:rPr>
                <w:rFonts w:cstheme="minorHAnsi"/>
                <w:sz w:val="22"/>
              </w:rPr>
              <w:t>0</w:t>
            </w:r>
          </w:p>
        </w:tc>
        <w:tc>
          <w:tcPr>
            <w:tcW w:w="1276" w:type="dxa"/>
            <w:shd w:val="clear" w:color="auto" w:fill="E0DCCB" w:themeFill="accent4" w:themeFillTint="66"/>
          </w:tcPr>
          <w:p w:rsidR="00087037" w:rsidRPr="000160C5" w:rsidRDefault="00087037" w:rsidP="00087037">
            <w:pPr>
              <w:jc w:val="center"/>
              <w:rPr>
                <w:rFonts w:cstheme="minorHAnsi"/>
                <w:sz w:val="22"/>
              </w:rPr>
            </w:pPr>
            <w:r w:rsidRPr="000160C5">
              <w:rPr>
                <w:rFonts w:cstheme="minorHAnsi"/>
                <w:sz w:val="22"/>
              </w:rPr>
              <w:t>0</w:t>
            </w:r>
          </w:p>
        </w:tc>
        <w:tc>
          <w:tcPr>
            <w:tcW w:w="1854" w:type="dxa"/>
          </w:tcPr>
          <w:p w:rsidR="00087037" w:rsidRPr="000160C5" w:rsidRDefault="00087037" w:rsidP="00087037">
            <w:pPr>
              <w:jc w:val="center"/>
              <w:rPr>
                <w:rFonts w:cstheme="minorHAnsi"/>
                <w:sz w:val="22"/>
              </w:rPr>
            </w:pPr>
            <w:r w:rsidRPr="000160C5">
              <w:rPr>
                <w:rFonts w:cstheme="minorHAnsi"/>
                <w:sz w:val="22"/>
              </w:rPr>
              <w:t xml:space="preserve">0 </w:t>
            </w:r>
          </w:p>
          <w:p w:rsidR="00087037" w:rsidRPr="000160C5" w:rsidRDefault="00087037" w:rsidP="00087037">
            <w:pPr>
              <w:spacing w:after="160"/>
              <w:jc w:val="center"/>
              <w:rPr>
                <w:rFonts w:cstheme="minorHAnsi"/>
                <w:sz w:val="22"/>
              </w:rPr>
            </w:pPr>
            <w:r w:rsidRPr="000160C5">
              <w:rPr>
                <w:rFonts w:cstheme="minorHAnsi"/>
                <w:sz w:val="22"/>
              </w:rPr>
              <w:t xml:space="preserve">or 10% improvement on the previous 3 years </w:t>
            </w:r>
          </w:p>
        </w:tc>
        <w:tc>
          <w:tcPr>
            <w:tcW w:w="1548" w:type="dxa"/>
            <w:shd w:val="clear" w:color="auto" w:fill="auto"/>
          </w:tcPr>
          <w:p w:rsidR="00087037" w:rsidRPr="000160C5" w:rsidRDefault="00087037" w:rsidP="00087037">
            <w:pPr>
              <w:jc w:val="center"/>
              <w:rPr>
                <w:rFonts w:cstheme="minorHAnsi"/>
                <w:sz w:val="22"/>
              </w:rPr>
            </w:pPr>
            <w:r w:rsidRPr="000160C5">
              <w:rPr>
                <w:rFonts w:cstheme="minorHAnsi"/>
                <w:sz w:val="22"/>
              </w:rPr>
              <w:t>-</w:t>
            </w:r>
          </w:p>
        </w:tc>
      </w:tr>
      <w:tr w:rsidR="00087037" w:rsidRPr="00BC5B65" w:rsidTr="000160C5">
        <w:tc>
          <w:tcPr>
            <w:tcW w:w="2694" w:type="dxa"/>
            <w:shd w:val="clear" w:color="auto" w:fill="E0DCCB" w:themeFill="accent4" w:themeFillTint="66"/>
          </w:tcPr>
          <w:p w:rsidR="00087037" w:rsidRPr="000160C5" w:rsidRDefault="00087037" w:rsidP="00087037">
            <w:pPr>
              <w:pStyle w:val="Default"/>
              <w:rPr>
                <w:rFonts w:asciiTheme="minorHAnsi" w:hAnsiTheme="minorHAnsi" w:cstheme="minorHAnsi"/>
                <w:color w:val="4D4D4F" w:themeColor="text1"/>
                <w:sz w:val="22"/>
                <w:szCs w:val="22"/>
              </w:rPr>
            </w:pPr>
            <w:r w:rsidRPr="000160C5">
              <w:rPr>
                <w:rFonts w:asciiTheme="minorHAnsi" w:hAnsiTheme="minorHAnsi" w:cstheme="minorHAnsi"/>
                <w:color w:val="4D4D4F" w:themeColor="text1"/>
                <w:sz w:val="22"/>
                <w:szCs w:val="22"/>
              </w:rPr>
              <w:t xml:space="preserve">Lost time injury and/or disease severity rate </w:t>
            </w:r>
          </w:p>
        </w:tc>
        <w:tc>
          <w:tcPr>
            <w:tcW w:w="992" w:type="dxa"/>
            <w:shd w:val="clear" w:color="auto" w:fill="auto"/>
          </w:tcPr>
          <w:p w:rsidR="00087037" w:rsidRPr="000160C5" w:rsidRDefault="00087037" w:rsidP="00087037">
            <w:pPr>
              <w:jc w:val="center"/>
              <w:rPr>
                <w:rFonts w:cstheme="minorHAnsi"/>
                <w:sz w:val="22"/>
              </w:rPr>
            </w:pPr>
            <w:r w:rsidRPr="000160C5">
              <w:rPr>
                <w:rFonts w:cstheme="minorHAnsi"/>
                <w:sz w:val="22"/>
              </w:rPr>
              <w:t>0</w:t>
            </w:r>
          </w:p>
        </w:tc>
        <w:tc>
          <w:tcPr>
            <w:tcW w:w="1276" w:type="dxa"/>
            <w:shd w:val="clear" w:color="auto" w:fill="E0DCCB" w:themeFill="accent4" w:themeFillTint="66"/>
          </w:tcPr>
          <w:p w:rsidR="00087037" w:rsidRPr="000160C5" w:rsidRDefault="00087037" w:rsidP="00087037">
            <w:pPr>
              <w:jc w:val="center"/>
              <w:rPr>
                <w:rFonts w:cstheme="minorHAnsi"/>
                <w:sz w:val="22"/>
              </w:rPr>
            </w:pPr>
            <w:r w:rsidRPr="000160C5">
              <w:rPr>
                <w:rFonts w:cstheme="minorHAnsi"/>
                <w:sz w:val="22"/>
              </w:rPr>
              <w:t>0</w:t>
            </w:r>
          </w:p>
        </w:tc>
        <w:tc>
          <w:tcPr>
            <w:tcW w:w="1854" w:type="dxa"/>
          </w:tcPr>
          <w:p w:rsidR="00087037" w:rsidRPr="000160C5" w:rsidRDefault="00087037" w:rsidP="00087037">
            <w:pPr>
              <w:jc w:val="center"/>
              <w:rPr>
                <w:rFonts w:cstheme="minorHAnsi"/>
                <w:sz w:val="22"/>
              </w:rPr>
            </w:pPr>
            <w:r w:rsidRPr="000160C5">
              <w:rPr>
                <w:rFonts w:cstheme="minorHAnsi"/>
                <w:sz w:val="22"/>
              </w:rPr>
              <w:t xml:space="preserve">0 </w:t>
            </w:r>
          </w:p>
          <w:p w:rsidR="00087037" w:rsidRPr="000160C5" w:rsidRDefault="00087037" w:rsidP="00087037">
            <w:pPr>
              <w:spacing w:after="160"/>
              <w:jc w:val="center"/>
              <w:rPr>
                <w:rFonts w:cstheme="minorHAnsi"/>
                <w:sz w:val="22"/>
              </w:rPr>
            </w:pPr>
            <w:r w:rsidRPr="000160C5">
              <w:rPr>
                <w:rFonts w:cstheme="minorHAnsi"/>
                <w:sz w:val="22"/>
              </w:rPr>
              <w:t xml:space="preserve">or 10% improvement on the previous 3 years </w:t>
            </w:r>
          </w:p>
        </w:tc>
        <w:tc>
          <w:tcPr>
            <w:tcW w:w="1548" w:type="dxa"/>
            <w:shd w:val="clear" w:color="auto" w:fill="auto"/>
          </w:tcPr>
          <w:p w:rsidR="00087037" w:rsidRPr="000160C5" w:rsidRDefault="00087037" w:rsidP="00087037">
            <w:pPr>
              <w:jc w:val="center"/>
              <w:rPr>
                <w:rFonts w:cstheme="minorHAnsi"/>
                <w:sz w:val="22"/>
              </w:rPr>
            </w:pPr>
            <w:r w:rsidRPr="000160C5">
              <w:rPr>
                <w:rFonts w:cstheme="minorHAnsi"/>
                <w:sz w:val="22"/>
              </w:rPr>
              <w:t>-</w:t>
            </w:r>
          </w:p>
        </w:tc>
      </w:tr>
      <w:tr w:rsidR="00087037" w:rsidRPr="00BC5B65" w:rsidTr="000160C5">
        <w:tc>
          <w:tcPr>
            <w:tcW w:w="2694" w:type="dxa"/>
            <w:shd w:val="clear" w:color="auto" w:fill="E0DCCB" w:themeFill="accent4" w:themeFillTint="66"/>
          </w:tcPr>
          <w:p w:rsidR="00087037" w:rsidRPr="000160C5" w:rsidRDefault="00087037" w:rsidP="00087037">
            <w:pPr>
              <w:rPr>
                <w:rFonts w:cstheme="minorHAnsi"/>
                <w:sz w:val="22"/>
              </w:rPr>
            </w:pPr>
            <w:r w:rsidRPr="000160C5">
              <w:rPr>
                <w:rFonts w:cstheme="minorHAnsi"/>
                <w:sz w:val="22"/>
              </w:rPr>
              <w:t xml:space="preserve">Percentage of injured workers returned to work: </w:t>
            </w:r>
          </w:p>
        </w:tc>
        <w:tc>
          <w:tcPr>
            <w:tcW w:w="992" w:type="dxa"/>
            <w:shd w:val="clear" w:color="auto" w:fill="auto"/>
          </w:tcPr>
          <w:p w:rsidR="00087037" w:rsidRPr="000160C5" w:rsidRDefault="00087037" w:rsidP="00087037">
            <w:pPr>
              <w:jc w:val="center"/>
              <w:rPr>
                <w:rFonts w:cstheme="minorHAnsi"/>
                <w:sz w:val="22"/>
              </w:rPr>
            </w:pPr>
          </w:p>
        </w:tc>
        <w:tc>
          <w:tcPr>
            <w:tcW w:w="1276" w:type="dxa"/>
            <w:shd w:val="clear" w:color="auto" w:fill="E0DCCB" w:themeFill="accent4" w:themeFillTint="66"/>
          </w:tcPr>
          <w:p w:rsidR="00087037" w:rsidRPr="000160C5" w:rsidRDefault="00087037" w:rsidP="00087037">
            <w:pPr>
              <w:jc w:val="center"/>
              <w:rPr>
                <w:rFonts w:cstheme="minorHAnsi"/>
                <w:sz w:val="22"/>
              </w:rPr>
            </w:pPr>
          </w:p>
        </w:tc>
        <w:tc>
          <w:tcPr>
            <w:tcW w:w="1854" w:type="dxa"/>
          </w:tcPr>
          <w:p w:rsidR="00087037" w:rsidRPr="000160C5" w:rsidRDefault="00087037" w:rsidP="00087037">
            <w:pPr>
              <w:jc w:val="center"/>
              <w:rPr>
                <w:rFonts w:cstheme="minorHAnsi"/>
                <w:sz w:val="22"/>
              </w:rPr>
            </w:pPr>
          </w:p>
        </w:tc>
        <w:tc>
          <w:tcPr>
            <w:tcW w:w="1548" w:type="dxa"/>
            <w:shd w:val="clear" w:color="auto" w:fill="auto"/>
          </w:tcPr>
          <w:p w:rsidR="00087037" w:rsidRPr="000160C5" w:rsidRDefault="00087037" w:rsidP="00087037">
            <w:pPr>
              <w:jc w:val="center"/>
              <w:rPr>
                <w:rFonts w:cstheme="minorHAnsi"/>
                <w:sz w:val="22"/>
              </w:rPr>
            </w:pPr>
            <w:r w:rsidRPr="000160C5">
              <w:rPr>
                <w:rFonts w:cstheme="minorHAnsi"/>
                <w:sz w:val="22"/>
              </w:rPr>
              <w:t>-</w:t>
            </w:r>
          </w:p>
        </w:tc>
      </w:tr>
      <w:tr w:rsidR="00087037" w:rsidRPr="00BC5B65" w:rsidTr="000160C5">
        <w:tc>
          <w:tcPr>
            <w:tcW w:w="2694" w:type="dxa"/>
            <w:shd w:val="clear" w:color="auto" w:fill="E0DCCB" w:themeFill="accent4" w:themeFillTint="66"/>
          </w:tcPr>
          <w:p w:rsidR="00087037" w:rsidRPr="000160C5" w:rsidRDefault="00087037" w:rsidP="00087037">
            <w:pPr>
              <w:ind w:left="318"/>
              <w:rPr>
                <w:rFonts w:cstheme="minorHAnsi"/>
                <w:sz w:val="22"/>
              </w:rPr>
            </w:pPr>
            <w:r w:rsidRPr="000160C5">
              <w:rPr>
                <w:rFonts w:cstheme="minorHAnsi"/>
                <w:sz w:val="22"/>
              </w:rPr>
              <w:t>(</w:t>
            </w:r>
            <w:proofErr w:type="spellStart"/>
            <w:r w:rsidRPr="000160C5">
              <w:rPr>
                <w:rFonts w:cstheme="minorHAnsi"/>
                <w:sz w:val="22"/>
              </w:rPr>
              <w:t>i</w:t>
            </w:r>
            <w:proofErr w:type="spellEnd"/>
            <w:r w:rsidRPr="000160C5">
              <w:rPr>
                <w:rFonts w:cstheme="minorHAnsi"/>
                <w:sz w:val="22"/>
              </w:rPr>
              <w:t xml:space="preserve">) within 13 weeks </w:t>
            </w:r>
          </w:p>
          <w:p w:rsidR="00087037" w:rsidRPr="000160C5" w:rsidRDefault="00087037" w:rsidP="00087037">
            <w:pPr>
              <w:ind w:left="318"/>
              <w:rPr>
                <w:rFonts w:cstheme="minorHAnsi"/>
                <w:sz w:val="22"/>
              </w:rPr>
            </w:pPr>
            <w:r w:rsidRPr="000160C5">
              <w:rPr>
                <w:rFonts w:cstheme="minorHAnsi"/>
                <w:sz w:val="22"/>
              </w:rPr>
              <w:t xml:space="preserve">(ii) within 26 weeks </w:t>
            </w:r>
          </w:p>
        </w:tc>
        <w:tc>
          <w:tcPr>
            <w:tcW w:w="992" w:type="dxa"/>
            <w:shd w:val="clear" w:color="auto" w:fill="auto"/>
          </w:tcPr>
          <w:p w:rsidR="00087037" w:rsidRPr="000160C5" w:rsidRDefault="00087037" w:rsidP="00087037">
            <w:pPr>
              <w:jc w:val="center"/>
              <w:rPr>
                <w:rFonts w:cstheme="minorHAnsi"/>
                <w:sz w:val="22"/>
              </w:rPr>
            </w:pPr>
            <w:r w:rsidRPr="000160C5">
              <w:rPr>
                <w:rFonts w:cstheme="minorHAnsi"/>
                <w:sz w:val="22"/>
              </w:rPr>
              <w:t>-</w:t>
            </w:r>
          </w:p>
          <w:p w:rsidR="00087037" w:rsidRPr="000160C5" w:rsidRDefault="00087037" w:rsidP="00087037">
            <w:pPr>
              <w:jc w:val="center"/>
              <w:rPr>
                <w:rFonts w:cstheme="minorHAnsi"/>
                <w:sz w:val="22"/>
              </w:rPr>
            </w:pPr>
            <w:r w:rsidRPr="000160C5">
              <w:rPr>
                <w:rFonts w:cstheme="minorHAnsi"/>
                <w:sz w:val="22"/>
              </w:rPr>
              <w:t>-</w:t>
            </w:r>
          </w:p>
        </w:tc>
        <w:tc>
          <w:tcPr>
            <w:tcW w:w="1276" w:type="dxa"/>
            <w:shd w:val="clear" w:color="auto" w:fill="E0DCCB" w:themeFill="accent4" w:themeFillTint="66"/>
          </w:tcPr>
          <w:p w:rsidR="00087037" w:rsidRPr="000160C5" w:rsidRDefault="00087037" w:rsidP="00087037">
            <w:pPr>
              <w:jc w:val="center"/>
              <w:rPr>
                <w:rFonts w:cstheme="minorHAnsi"/>
                <w:sz w:val="22"/>
              </w:rPr>
            </w:pPr>
            <w:r w:rsidRPr="000160C5">
              <w:rPr>
                <w:rFonts w:cstheme="minorHAnsi"/>
                <w:sz w:val="22"/>
              </w:rPr>
              <w:t>-</w:t>
            </w:r>
          </w:p>
          <w:p w:rsidR="00087037" w:rsidRPr="000160C5" w:rsidRDefault="00087037" w:rsidP="00087037">
            <w:pPr>
              <w:jc w:val="center"/>
              <w:rPr>
                <w:rFonts w:cstheme="minorHAnsi"/>
                <w:sz w:val="22"/>
              </w:rPr>
            </w:pPr>
            <w:r w:rsidRPr="000160C5">
              <w:rPr>
                <w:rFonts w:cstheme="minorHAnsi"/>
                <w:sz w:val="22"/>
              </w:rPr>
              <w:t>-</w:t>
            </w:r>
          </w:p>
        </w:tc>
        <w:tc>
          <w:tcPr>
            <w:tcW w:w="1854" w:type="dxa"/>
          </w:tcPr>
          <w:p w:rsidR="00087037" w:rsidRPr="000160C5" w:rsidRDefault="00087037" w:rsidP="00087037">
            <w:pPr>
              <w:jc w:val="center"/>
              <w:rPr>
                <w:rFonts w:cstheme="minorHAnsi"/>
                <w:sz w:val="22"/>
              </w:rPr>
            </w:pPr>
            <w:r w:rsidRPr="000160C5">
              <w:rPr>
                <w:rFonts w:cstheme="minorHAnsi"/>
                <w:sz w:val="22"/>
              </w:rPr>
              <w:t>Greater than or equal to 80%</w:t>
            </w:r>
          </w:p>
        </w:tc>
        <w:tc>
          <w:tcPr>
            <w:tcW w:w="1548" w:type="dxa"/>
            <w:shd w:val="clear" w:color="auto" w:fill="auto"/>
          </w:tcPr>
          <w:p w:rsidR="00087037" w:rsidRPr="000160C5" w:rsidRDefault="00087037" w:rsidP="00087037">
            <w:pPr>
              <w:jc w:val="center"/>
              <w:rPr>
                <w:rFonts w:cstheme="minorHAnsi"/>
                <w:sz w:val="22"/>
              </w:rPr>
            </w:pPr>
            <w:r w:rsidRPr="000160C5">
              <w:rPr>
                <w:rFonts w:cstheme="minorHAnsi"/>
                <w:sz w:val="22"/>
              </w:rPr>
              <w:t>-</w:t>
            </w:r>
          </w:p>
          <w:p w:rsidR="00087037" w:rsidRPr="000160C5" w:rsidRDefault="00087037" w:rsidP="00087037">
            <w:pPr>
              <w:jc w:val="center"/>
              <w:rPr>
                <w:rFonts w:cstheme="minorHAnsi"/>
                <w:sz w:val="22"/>
              </w:rPr>
            </w:pPr>
            <w:r w:rsidRPr="000160C5">
              <w:rPr>
                <w:rFonts w:cstheme="minorHAnsi"/>
                <w:sz w:val="22"/>
              </w:rPr>
              <w:t>-</w:t>
            </w:r>
          </w:p>
        </w:tc>
      </w:tr>
      <w:tr w:rsidR="00087037" w:rsidRPr="00BC5B65" w:rsidTr="000160C5">
        <w:tc>
          <w:tcPr>
            <w:tcW w:w="2694" w:type="dxa"/>
            <w:tcBorders>
              <w:bottom w:val="single" w:sz="4" w:space="0" w:color="E0DCCB" w:themeColor="accent4" w:themeTint="66"/>
            </w:tcBorders>
            <w:shd w:val="clear" w:color="auto" w:fill="E0DCCB" w:themeFill="accent4" w:themeFillTint="66"/>
          </w:tcPr>
          <w:p w:rsidR="00087037" w:rsidRPr="000160C5" w:rsidRDefault="00087037" w:rsidP="00087037">
            <w:pPr>
              <w:rPr>
                <w:rFonts w:cstheme="minorHAnsi"/>
                <w:sz w:val="22"/>
              </w:rPr>
            </w:pPr>
            <w:r w:rsidRPr="000160C5">
              <w:rPr>
                <w:rFonts w:cstheme="minorHAnsi"/>
                <w:sz w:val="22"/>
              </w:rPr>
              <w:t xml:space="preserve">Percentage of managers trained in occupational safety, health and injury management responsibilities </w:t>
            </w:r>
          </w:p>
        </w:tc>
        <w:tc>
          <w:tcPr>
            <w:tcW w:w="992" w:type="dxa"/>
            <w:tcBorders>
              <w:bottom w:val="single" w:sz="4" w:space="0" w:color="E0DCCB" w:themeColor="accent4" w:themeTint="66"/>
            </w:tcBorders>
            <w:shd w:val="clear" w:color="auto" w:fill="auto"/>
          </w:tcPr>
          <w:p w:rsidR="00087037" w:rsidRPr="000160C5" w:rsidRDefault="00087037" w:rsidP="00087037">
            <w:pPr>
              <w:jc w:val="center"/>
              <w:rPr>
                <w:rFonts w:cstheme="minorHAnsi"/>
                <w:sz w:val="22"/>
              </w:rPr>
            </w:pPr>
            <w:r w:rsidRPr="000160C5">
              <w:rPr>
                <w:rFonts w:cstheme="minorHAnsi"/>
                <w:sz w:val="22"/>
              </w:rPr>
              <w:t>0</w:t>
            </w:r>
          </w:p>
        </w:tc>
        <w:tc>
          <w:tcPr>
            <w:tcW w:w="1276" w:type="dxa"/>
            <w:tcBorders>
              <w:bottom w:val="single" w:sz="4" w:space="0" w:color="E0DCCB" w:themeColor="accent4" w:themeTint="66"/>
            </w:tcBorders>
            <w:shd w:val="clear" w:color="auto" w:fill="E0DCCB" w:themeFill="accent4" w:themeFillTint="66"/>
          </w:tcPr>
          <w:p w:rsidR="00087037" w:rsidRPr="000160C5" w:rsidRDefault="00087037" w:rsidP="00087037">
            <w:pPr>
              <w:jc w:val="center"/>
              <w:rPr>
                <w:rFonts w:cstheme="minorHAnsi"/>
                <w:sz w:val="22"/>
              </w:rPr>
            </w:pPr>
            <w:r w:rsidRPr="000160C5">
              <w:rPr>
                <w:rFonts w:cstheme="minorHAnsi"/>
                <w:sz w:val="22"/>
              </w:rPr>
              <w:t>0</w:t>
            </w:r>
          </w:p>
        </w:tc>
        <w:tc>
          <w:tcPr>
            <w:tcW w:w="1854" w:type="dxa"/>
            <w:tcBorders>
              <w:bottom w:val="single" w:sz="4" w:space="0" w:color="E0DCCB" w:themeColor="accent4" w:themeTint="66"/>
            </w:tcBorders>
          </w:tcPr>
          <w:p w:rsidR="00087037" w:rsidRPr="000160C5" w:rsidRDefault="00087037" w:rsidP="00087037">
            <w:pPr>
              <w:jc w:val="center"/>
              <w:rPr>
                <w:rFonts w:cstheme="minorHAnsi"/>
                <w:sz w:val="22"/>
              </w:rPr>
            </w:pPr>
            <w:r w:rsidRPr="000160C5">
              <w:rPr>
                <w:rFonts w:cstheme="minorHAnsi"/>
                <w:sz w:val="22"/>
              </w:rPr>
              <w:t>Greater than or equal to 80%</w:t>
            </w:r>
          </w:p>
        </w:tc>
        <w:tc>
          <w:tcPr>
            <w:tcW w:w="1548" w:type="dxa"/>
            <w:tcBorders>
              <w:bottom w:val="single" w:sz="4" w:space="0" w:color="E0DCCB" w:themeColor="accent4" w:themeTint="66"/>
            </w:tcBorders>
            <w:shd w:val="clear" w:color="auto" w:fill="auto"/>
          </w:tcPr>
          <w:p w:rsidR="00087037" w:rsidRPr="000160C5" w:rsidRDefault="00087037" w:rsidP="00087037">
            <w:pPr>
              <w:jc w:val="center"/>
              <w:rPr>
                <w:rFonts w:cstheme="minorHAnsi"/>
                <w:sz w:val="22"/>
              </w:rPr>
            </w:pPr>
          </w:p>
        </w:tc>
      </w:tr>
    </w:tbl>
    <w:p w:rsidR="00DF7EB4" w:rsidRDefault="00DF7EB4" w:rsidP="00087037">
      <w:pPr>
        <w:pStyle w:val="Body"/>
        <w:sectPr w:rsidR="00DF7EB4" w:rsidSect="00E2543D">
          <w:footerReference w:type="default" r:id="rId72"/>
          <w:pgSz w:w="11906" w:h="16838"/>
          <w:pgMar w:top="1245" w:right="993" w:bottom="1440" w:left="1440" w:header="568" w:footer="0" w:gutter="0"/>
          <w:cols w:space="709"/>
          <w:docGrid w:linePitch="360"/>
        </w:sectPr>
      </w:pPr>
    </w:p>
    <w:p w:rsidR="009F75DA" w:rsidRDefault="00FB49A2" w:rsidP="00FB49A2">
      <w:pPr>
        <w:pStyle w:val="Heading1"/>
      </w:pPr>
      <w:bookmarkStart w:id="375" w:name="_Toc428279237"/>
      <w:r>
        <w:lastRenderedPageBreak/>
        <w:t>Appendix 1</w:t>
      </w:r>
      <w:r w:rsidR="00B675C3">
        <w:t xml:space="preserve"> –</w:t>
      </w:r>
      <w:r>
        <w:t xml:space="preserve"> Public reports and recommendations to the Minister for Environment</w:t>
      </w:r>
      <w:bookmarkEnd w:id="375"/>
    </w:p>
    <w:p w:rsidR="00FB49A2" w:rsidRPr="00B675C3" w:rsidRDefault="00FB49A2" w:rsidP="00B675C3">
      <w:pPr>
        <w:pStyle w:val="Financialsheading1"/>
      </w:pPr>
      <w:bookmarkStart w:id="376" w:name="_Toc428271007"/>
      <w:bookmarkStart w:id="377" w:name="_Toc428279238"/>
      <w:r w:rsidRPr="00B675C3">
        <w:t>Public Environmental Review (PER) and Environmental Review and Management Programme (ERMP)</w:t>
      </w:r>
      <w:bookmarkEnd w:id="376"/>
      <w:bookmarkEnd w:id="377"/>
      <w:r w:rsidRPr="00B675C3">
        <w:t xml:space="preserve"> </w:t>
      </w:r>
    </w:p>
    <w:tbl>
      <w:tblPr>
        <w:tblW w:w="9605" w:type="dxa"/>
        <w:tblInd w:w="101" w:type="dxa"/>
        <w:tblLayout w:type="fixed"/>
        <w:tblCellMar>
          <w:top w:w="57" w:type="dxa"/>
          <w:left w:w="80" w:type="dxa"/>
          <w:bottom w:w="57" w:type="dxa"/>
          <w:right w:w="80" w:type="dxa"/>
        </w:tblCellMar>
        <w:tblLook w:val="0000" w:firstRow="0" w:lastRow="0" w:firstColumn="0" w:lastColumn="0" w:noHBand="0" w:noVBand="0"/>
      </w:tblPr>
      <w:tblGrid>
        <w:gridCol w:w="993"/>
        <w:gridCol w:w="4386"/>
        <w:gridCol w:w="2822"/>
        <w:gridCol w:w="1404"/>
      </w:tblGrid>
      <w:tr w:rsidR="00FB49A2" w:rsidRPr="008528F8" w:rsidTr="0086707C">
        <w:trPr>
          <w:cantSplit/>
        </w:trPr>
        <w:tc>
          <w:tcPr>
            <w:tcW w:w="993" w:type="dxa"/>
            <w:shd w:val="clear" w:color="auto" w:fill="D0CBB1" w:themeFill="accent4" w:themeFillTint="99"/>
          </w:tcPr>
          <w:p w:rsidR="00FB49A2" w:rsidRPr="0086707C" w:rsidRDefault="00FB49A2" w:rsidP="0086707C">
            <w:pPr>
              <w:spacing w:after="0"/>
              <w:rPr>
                <w:rFonts w:cs="Arial"/>
                <w:b/>
                <w:sz w:val="22"/>
              </w:rPr>
            </w:pPr>
            <w:r w:rsidRPr="0086707C">
              <w:rPr>
                <w:rFonts w:cs="Arial"/>
                <w:b/>
                <w:sz w:val="22"/>
              </w:rPr>
              <w:t>Report No.</w:t>
            </w:r>
          </w:p>
        </w:tc>
        <w:tc>
          <w:tcPr>
            <w:tcW w:w="4386" w:type="dxa"/>
            <w:shd w:val="clear" w:color="auto" w:fill="D0CBB1" w:themeFill="accent4" w:themeFillTint="99"/>
          </w:tcPr>
          <w:p w:rsidR="00FB49A2" w:rsidRPr="0086707C" w:rsidRDefault="00FB49A2" w:rsidP="0086707C">
            <w:pPr>
              <w:pStyle w:val="epatitle"/>
              <w:spacing w:before="0" w:after="0" w:line="276" w:lineRule="auto"/>
              <w:ind w:left="0"/>
              <w:jc w:val="left"/>
              <w:rPr>
                <w:rFonts w:ascii="Arial" w:hAnsi="Arial" w:cs="Arial"/>
                <w:b/>
                <w:color w:val="4D4D4F" w:themeColor="text1"/>
                <w:sz w:val="22"/>
                <w:szCs w:val="22"/>
              </w:rPr>
            </w:pPr>
            <w:r w:rsidRPr="0086707C">
              <w:rPr>
                <w:rFonts w:ascii="Arial" w:hAnsi="Arial" w:cs="Arial"/>
                <w:b/>
                <w:color w:val="4D4D4F" w:themeColor="text1"/>
                <w:sz w:val="22"/>
                <w:szCs w:val="22"/>
              </w:rPr>
              <w:t xml:space="preserve">Title </w:t>
            </w:r>
          </w:p>
        </w:tc>
        <w:tc>
          <w:tcPr>
            <w:tcW w:w="2822" w:type="dxa"/>
            <w:shd w:val="clear" w:color="auto" w:fill="D0CBB1" w:themeFill="accent4" w:themeFillTint="99"/>
          </w:tcPr>
          <w:p w:rsidR="00FB49A2" w:rsidRPr="0086707C" w:rsidRDefault="00FB49A2" w:rsidP="0086707C">
            <w:pPr>
              <w:spacing w:after="0"/>
              <w:rPr>
                <w:rFonts w:cs="Arial"/>
                <w:b/>
                <w:sz w:val="22"/>
              </w:rPr>
            </w:pPr>
            <w:r w:rsidRPr="0086707C">
              <w:rPr>
                <w:rFonts w:cs="Arial"/>
                <w:b/>
                <w:sz w:val="22"/>
              </w:rPr>
              <w:t>Proponent</w:t>
            </w:r>
          </w:p>
        </w:tc>
        <w:tc>
          <w:tcPr>
            <w:tcW w:w="1404" w:type="dxa"/>
            <w:shd w:val="clear" w:color="auto" w:fill="D0CBB1" w:themeFill="accent4" w:themeFillTint="99"/>
          </w:tcPr>
          <w:p w:rsidR="00FB49A2" w:rsidRPr="0086707C" w:rsidRDefault="00FB49A2" w:rsidP="0086707C">
            <w:pPr>
              <w:spacing w:after="0"/>
              <w:rPr>
                <w:rFonts w:cs="Arial"/>
                <w:b/>
                <w:sz w:val="22"/>
              </w:rPr>
            </w:pPr>
            <w:r w:rsidRPr="0086707C">
              <w:rPr>
                <w:rFonts w:cs="Arial"/>
                <w:b/>
                <w:sz w:val="22"/>
              </w:rPr>
              <w:t>Released</w:t>
            </w:r>
          </w:p>
        </w:tc>
      </w:tr>
      <w:tr w:rsidR="00FB49A2" w:rsidRPr="008528F8" w:rsidTr="0086707C">
        <w:trPr>
          <w:cantSplit/>
        </w:trPr>
        <w:tc>
          <w:tcPr>
            <w:tcW w:w="993" w:type="dxa"/>
            <w:shd w:val="clear" w:color="auto" w:fill="auto"/>
          </w:tcPr>
          <w:p w:rsidR="00FB49A2" w:rsidRPr="0086707C" w:rsidRDefault="00FB49A2" w:rsidP="0086707C">
            <w:pPr>
              <w:spacing w:after="0"/>
              <w:rPr>
                <w:rFonts w:ascii="Arial" w:hAnsi="Arial" w:cs="Arial"/>
                <w:sz w:val="22"/>
              </w:rPr>
            </w:pPr>
            <w:r w:rsidRPr="0086707C">
              <w:rPr>
                <w:rFonts w:ascii="Arial" w:hAnsi="Arial" w:cs="Arial"/>
                <w:sz w:val="22"/>
              </w:rPr>
              <w:t>1522</w:t>
            </w:r>
          </w:p>
        </w:tc>
        <w:tc>
          <w:tcPr>
            <w:tcW w:w="4386" w:type="dxa"/>
            <w:shd w:val="clear" w:color="auto" w:fill="auto"/>
          </w:tcPr>
          <w:p w:rsidR="00FB49A2" w:rsidRPr="0086707C" w:rsidRDefault="00FB49A2" w:rsidP="0086707C">
            <w:pPr>
              <w:pStyle w:val="epatitle"/>
              <w:spacing w:before="0" w:after="0" w:line="276" w:lineRule="auto"/>
              <w:ind w:left="0"/>
              <w:jc w:val="left"/>
              <w:rPr>
                <w:rFonts w:ascii="Arial" w:hAnsi="Arial" w:cs="Arial"/>
                <w:color w:val="4D4D4F" w:themeColor="text1"/>
                <w:sz w:val="22"/>
                <w:szCs w:val="22"/>
              </w:rPr>
            </w:pPr>
            <w:proofErr w:type="spellStart"/>
            <w:r w:rsidRPr="0086707C">
              <w:rPr>
                <w:rFonts w:ascii="Arial" w:hAnsi="Arial" w:cs="Arial"/>
                <w:color w:val="4D4D4F" w:themeColor="text1"/>
                <w:sz w:val="22"/>
                <w:szCs w:val="22"/>
              </w:rPr>
              <w:t>Kintyre</w:t>
            </w:r>
            <w:proofErr w:type="spellEnd"/>
            <w:r w:rsidRPr="0086707C">
              <w:rPr>
                <w:rFonts w:ascii="Arial" w:hAnsi="Arial" w:cs="Arial"/>
                <w:color w:val="4D4D4F" w:themeColor="text1"/>
                <w:sz w:val="22"/>
                <w:szCs w:val="22"/>
              </w:rPr>
              <w:t xml:space="preserve"> Uranium Project</w:t>
            </w:r>
          </w:p>
        </w:tc>
        <w:tc>
          <w:tcPr>
            <w:tcW w:w="2822" w:type="dxa"/>
          </w:tcPr>
          <w:p w:rsidR="00FB49A2" w:rsidRPr="0086707C" w:rsidRDefault="00FB49A2" w:rsidP="0086707C">
            <w:pPr>
              <w:spacing w:after="0"/>
              <w:rPr>
                <w:rFonts w:ascii="Arial" w:hAnsi="Arial" w:cs="Arial"/>
                <w:sz w:val="22"/>
              </w:rPr>
            </w:pPr>
            <w:proofErr w:type="spellStart"/>
            <w:r w:rsidRPr="0086707C">
              <w:rPr>
                <w:rFonts w:ascii="Arial" w:hAnsi="Arial" w:cs="Arial"/>
                <w:sz w:val="22"/>
              </w:rPr>
              <w:t>Cameco</w:t>
            </w:r>
            <w:proofErr w:type="spellEnd"/>
            <w:r w:rsidRPr="0086707C">
              <w:rPr>
                <w:rFonts w:ascii="Arial" w:hAnsi="Arial" w:cs="Arial"/>
                <w:sz w:val="22"/>
              </w:rPr>
              <w:t xml:space="preserve"> Australia Pty Ltd</w:t>
            </w:r>
          </w:p>
        </w:tc>
        <w:tc>
          <w:tcPr>
            <w:tcW w:w="1404" w:type="dxa"/>
            <w:shd w:val="clear" w:color="auto" w:fill="auto"/>
          </w:tcPr>
          <w:p w:rsidR="00FB49A2" w:rsidRPr="0086707C" w:rsidRDefault="00FB49A2" w:rsidP="0086707C">
            <w:pPr>
              <w:spacing w:after="0"/>
              <w:rPr>
                <w:rFonts w:ascii="Arial" w:hAnsi="Arial" w:cs="Arial"/>
                <w:sz w:val="22"/>
              </w:rPr>
            </w:pPr>
            <w:r w:rsidRPr="0086707C">
              <w:rPr>
                <w:rFonts w:ascii="Arial" w:hAnsi="Arial" w:cs="Arial"/>
                <w:sz w:val="22"/>
              </w:rPr>
              <w:t>28/7/2014</w:t>
            </w:r>
          </w:p>
        </w:tc>
      </w:tr>
      <w:tr w:rsidR="00FB49A2" w:rsidRPr="008528F8" w:rsidTr="0086707C">
        <w:trPr>
          <w:cantSplit/>
        </w:trPr>
        <w:tc>
          <w:tcPr>
            <w:tcW w:w="993" w:type="dxa"/>
            <w:shd w:val="clear" w:color="auto" w:fill="E0DCCB" w:themeFill="accent4" w:themeFillTint="66"/>
          </w:tcPr>
          <w:p w:rsidR="00FB49A2" w:rsidRPr="0086707C" w:rsidRDefault="00FB49A2" w:rsidP="0086707C">
            <w:pPr>
              <w:spacing w:after="0"/>
              <w:rPr>
                <w:rFonts w:ascii="Arial" w:hAnsi="Arial" w:cs="Arial"/>
                <w:sz w:val="22"/>
              </w:rPr>
            </w:pPr>
            <w:r w:rsidRPr="0086707C">
              <w:rPr>
                <w:rFonts w:ascii="Arial" w:hAnsi="Arial" w:cs="Arial"/>
                <w:sz w:val="22"/>
              </w:rPr>
              <w:t>1527</w:t>
            </w:r>
          </w:p>
        </w:tc>
        <w:tc>
          <w:tcPr>
            <w:tcW w:w="4386" w:type="dxa"/>
            <w:shd w:val="clear" w:color="auto" w:fill="E0DCCB" w:themeFill="accent4" w:themeFillTint="66"/>
          </w:tcPr>
          <w:p w:rsidR="00FB49A2" w:rsidRPr="0086707C" w:rsidRDefault="00FB49A2" w:rsidP="0086707C">
            <w:pPr>
              <w:pStyle w:val="epatitle"/>
              <w:spacing w:before="0" w:after="0" w:line="276" w:lineRule="auto"/>
              <w:ind w:left="0"/>
              <w:jc w:val="left"/>
              <w:rPr>
                <w:rFonts w:ascii="Arial" w:hAnsi="Arial" w:cs="Arial"/>
                <w:color w:val="4D4D4F" w:themeColor="text1"/>
                <w:sz w:val="22"/>
                <w:szCs w:val="22"/>
              </w:rPr>
            </w:pPr>
            <w:r w:rsidRPr="0086707C">
              <w:rPr>
                <w:rFonts w:ascii="Arial" w:hAnsi="Arial" w:cs="Arial"/>
                <w:color w:val="4D4D4F" w:themeColor="text1"/>
                <w:sz w:val="22"/>
                <w:szCs w:val="22"/>
              </w:rPr>
              <w:t>Western Australian Shark Hazard Mitigation Drum Line Program 2014-2017</w:t>
            </w:r>
          </w:p>
        </w:tc>
        <w:tc>
          <w:tcPr>
            <w:tcW w:w="2822" w:type="dxa"/>
            <w:shd w:val="clear" w:color="auto" w:fill="E0DCCB" w:themeFill="accent4" w:themeFillTint="66"/>
          </w:tcPr>
          <w:p w:rsidR="00FB49A2" w:rsidRPr="0086707C" w:rsidRDefault="00FB49A2" w:rsidP="0086707C">
            <w:pPr>
              <w:spacing w:after="0"/>
              <w:rPr>
                <w:rFonts w:ascii="Arial" w:hAnsi="Arial" w:cs="Arial"/>
                <w:sz w:val="22"/>
              </w:rPr>
            </w:pPr>
            <w:r w:rsidRPr="0086707C">
              <w:rPr>
                <w:rFonts w:ascii="Arial" w:hAnsi="Arial" w:cs="Arial"/>
                <w:sz w:val="22"/>
              </w:rPr>
              <w:t>Director General, Department of the Premier and Cabinet on behalf of the State of Western Australia</w:t>
            </w:r>
          </w:p>
        </w:tc>
        <w:tc>
          <w:tcPr>
            <w:tcW w:w="1404" w:type="dxa"/>
            <w:shd w:val="clear" w:color="auto" w:fill="E0DCCB" w:themeFill="accent4" w:themeFillTint="66"/>
          </w:tcPr>
          <w:p w:rsidR="00FB49A2" w:rsidRPr="0086707C" w:rsidRDefault="00FB49A2" w:rsidP="0086707C">
            <w:pPr>
              <w:spacing w:after="0"/>
              <w:rPr>
                <w:rFonts w:ascii="Arial" w:hAnsi="Arial" w:cs="Arial"/>
                <w:sz w:val="22"/>
              </w:rPr>
            </w:pPr>
            <w:r w:rsidRPr="0086707C">
              <w:rPr>
                <w:rFonts w:ascii="Arial" w:hAnsi="Arial" w:cs="Arial"/>
                <w:sz w:val="22"/>
              </w:rPr>
              <w:t>11/09/2014</w:t>
            </w:r>
          </w:p>
        </w:tc>
      </w:tr>
      <w:tr w:rsidR="00FB49A2" w:rsidRPr="008528F8" w:rsidTr="0086707C">
        <w:trPr>
          <w:cantSplit/>
        </w:trPr>
        <w:tc>
          <w:tcPr>
            <w:tcW w:w="993" w:type="dxa"/>
            <w:shd w:val="clear" w:color="auto" w:fill="auto"/>
          </w:tcPr>
          <w:p w:rsidR="00FB49A2" w:rsidRPr="0086707C" w:rsidRDefault="00FB49A2" w:rsidP="0086707C">
            <w:pPr>
              <w:spacing w:after="0"/>
              <w:rPr>
                <w:rFonts w:ascii="Arial" w:hAnsi="Arial" w:cs="Arial"/>
                <w:sz w:val="22"/>
              </w:rPr>
            </w:pPr>
            <w:r w:rsidRPr="0086707C">
              <w:rPr>
                <w:rFonts w:ascii="Arial" w:hAnsi="Arial" w:cs="Arial"/>
                <w:sz w:val="22"/>
              </w:rPr>
              <w:t>1533</w:t>
            </w:r>
          </w:p>
        </w:tc>
        <w:tc>
          <w:tcPr>
            <w:tcW w:w="4386" w:type="dxa"/>
            <w:shd w:val="clear" w:color="auto" w:fill="auto"/>
          </w:tcPr>
          <w:p w:rsidR="00FB49A2" w:rsidRPr="0086707C" w:rsidRDefault="00FB49A2" w:rsidP="0086707C">
            <w:pPr>
              <w:spacing w:after="0"/>
              <w:rPr>
                <w:rFonts w:ascii="Arial" w:hAnsi="Arial" w:cs="Arial"/>
                <w:sz w:val="22"/>
              </w:rPr>
            </w:pPr>
            <w:proofErr w:type="spellStart"/>
            <w:r w:rsidRPr="0086707C">
              <w:rPr>
                <w:rFonts w:ascii="Arial" w:hAnsi="Arial" w:cs="Arial"/>
                <w:sz w:val="22"/>
              </w:rPr>
              <w:t>Koodaideri</w:t>
            </w:r>
            <w:proofErr w:type="spellEnd"/>
            <w:r w:rsidRPr="0086707C">
              <w:rPr>
                <w:rFonts w:ascii="Arial" w:hAnsi="Arial" w:cs="Arial"/>
                <w:sz w:val="22"/>
              </w:rPr>
              <w:t xml:space="preserve"> Iron Ore and Infrastructure Project</w:t>
            </w:r>
          </w:p>
        </w:tc>
        <w:tc>
          <w:tcPr>
            <w:tcW w:w="2822" w:type="dxa"/>
          </w:tcPr>
          <w:p w:rsidR="00FB49A2" w:rsidRPr="0086707C" w:rsidRDefault="00FB49A2" w:rsidP="0086707C">
            <w:pPr>
              <w:spacing w:after="0"/>
              <w:rPr>
                <w:rFonts w:ascii="Arial" w:hAnsi="Arial" w:cs="Arial"/>
                <w:sz w:val="22"/>
              </w:rPr>
            </w:pPr>
            <w:r w:rsidRPr="0086707C">
              <w:rPr>
                <w:rFonts w:ascii="Arial" w:hAnsi="Arial" w:cs="Arial"/>
                <w:sz w:val="22"/>
              </w:rPr>
              <w:t>Mount Bruce Mining Pty Limited</w:t>
            </w:r>
          </w:p>
        </w:tc>
        <w:tc>
          <w:tcPr>
            <w:tcW w:w="1404" w:type="dxa"/>
            <w:shd w:val="clear" w:color="auto" w:fill="auto"/>
          </w:tcPr>
          <w:p w:rsidR="00FB49A2" w:rsidRPr="0086707C" w:rsidRDefault="00FB49A2" w:rsidP="0086707C">
            <w:pPr>
              <w:spacing w:after="0"/>
              <w:rPr>
                <w:rFonts w:ascii="Arial" w:hAnsi="Arial" w:cs="Arial"/>
                <w:sz w:val="22"/>
              </w:rPr>
            </w:pPr>
            <w:r w:rsidRPr="0086707C">
              <w:rPr>
                <w:rFonts w:ascii="Arial" w:hAnsi="Arial" w:cs="Arial"/>
                <w:sz w:val="22"/>
              </w:rPr>
              <w:t>18/11/2014</w:t>
            </w:r>
          </w:p>
        </w:tc>
      </w:tr>
      <w:tr w:rsidR="00FB49A2" w:rsidRPr="0086707C" w:rsidTr="0086707C">
        <w:trPr>
          <w:cantSplit/>
        </w:trPr>
        <w:tc>
          <w:tcPr>
            <w:tcW w:w="993" w:type="dxa"/>
            <w:shd w:val="clear" w:color="auto" w:fill="E0DCCB" w:themeFill="accent4" w:themeFillTint="66"/>
          </w:tcPr>
          <w:p w:rsidR="00FB49A2" w:rsidRPr="0086707C" w:rsidRDefault="00FB49A2" w:rsidP="0086707C">
            <w:pPr>
              <w:spacing w:after="0"/>
              <w:rPr>
                <w:rFonts w:ascii="Arial" w:hAnsi="Arial" w:cs="Arial"/>
                <w:sz w:val="22"/>
              </w:rPr>
            </w:pPr>
            <w:r w:rsidRPr="0086707C">
              <w:rPr>
                <w:rFonts w:ascii="Arial" w:hAnsi="Arial" w:cs="Arial"/>
                <w:sz w:val="22"/>
              </w:rPr>
              <w:t>1538</w:t>
            </w:r>
          </w:p>
        </w:tc>
        <w:tc>
          <w:tcPr>
            <w:tcW w:w="4386" w:type="dxa"/>
            <w:shd w:val="clear" w:color="auto" w:fill="E0DCCB" w:themeFill="accent4" w:themeFillTint="66"/>
          </w:tcPr>
          <w:p w:rsidR="00FB49A2" w:rsidRPr="0086707C" w:rsidRDefault="00FB49A2" w:rsidP="0086707C">
            <w:pPr>
              <w:spacing w:after="0"/>
              <w:rPr>
                <w:rFonts w:ascii="Arial" w:hAnsi="Arial" w:cs="Arial"/>
                <w:sz w:val="22"/>
              </w:rPr>
            </w:pPr>
            <w:r w:rsidRPr="0086707C">
              <w:rPr>
                <w:rFonts w:ascii="Arial" w:hAnsi="Arial" w:cs="Arial"/>
                <w:sz w:val="22"/>
              </w:rPr>
              <w:t>Kwinana Waste to Energy</w:t>
            </w:r>
          </w:p>
        </w:tc>
        <w:tc>
          <w:tcPr>
            <w:tcW w:w="2822" w:type="dxa"/>
            <w:shd w:val="clear" w:color="auto" w:fill="E0DCCB" w:themeFill="accent4" w:themeFillTint="66"/>
          </w:tcPr>
          <w:p w:rsidR="00FB49A2" w:rsidRPr="0086707C" w:rsidRDefault="00FB49A2" w:rsidP="0086707C">
            <w:pPr>
              <w:spacing w:after="0"/>
              <w:rPr>
                <w:rFonts w:ascii="Arial" w:hAnsi="Arial" w:cs="Arial"/>
                <w:sz w:val="22"/>
              </w:rPr>
            </w:pPr>
            <w:r w:rsidRPr="0086707C">
              <w:rPr>
                <w:rFonts w:ascii="Arial" w:hAnsi="Arial" w:cs="Arial"/>
                <w:sz w:val="22"/>
              </w:rPr>
              <w:t>Kwinana Waste to Energy Co Pty Ltd</w:t>
            </w:r>
          </w:p>
        </w:tc>
        <w:tc>
          <w:tcPr>
            <w:tcW w:w="1404" w:type="dxa"/>
            <w:shd w:val="clear" w:color="auto" w:fill="E0DCCB" w:themeFill="accent4" w:themeFillTint="66"/>
          </w:tcPr>
          <w:p w:rsidR="00FB49A2" w:rsidRPr="0086707C" w:rsidRDefault="00FB49A2" w:rsidP="0086707C">
            <w:pPr>
              <w:spacing w:after="0"/>
              <w:rPr>
                <w:rFonts w:ascii="Arial" w:hAnsi="Arial" w:cs="Arial"/>
                <w:sz w:val="22"/>
              </w:rPr>
            </w:pPr>
            <w:r w:rsidRPr="0086707C">
              <w:rPr>
                <w:rFonts w:ascii="Arial" w:hAnsi="Arial" w:cs="Arial"/>
                <w:sz w:val="22"/>
              </w:rPr>
              <w:t>2/2/2015</w:t>
            </w:r>
          </w:p>
        </w:tc>
      </w:tr>
      <w:tr w:rsidR="00FB49A2" w:rsidRPr="008528F8" w:rsidTr="0086707C">
        <w:trPr>
          <w:cantSplit/>
        </w:trPr>
        <w:tc>
          <w:tcPr>
            <w:tcW w:w="993" w:type="dxa"/>
            <w:shd w:val="clear" w:color="auto" w:fill="auto"/>
          </w:tcPr>
          <w:p w:rsidR="00FB49A2" w:rsidRPr="0086707C" w:rsidRDefault="00FB49A2" w:rsidP="0086707C">
            <w:pPr>
              <w:spacing w:after="0"/>
              <w:rPr>
                <w:rFonts w:ascii="Arial" w:hAnsi="Arial" w:cs="Arial"/>
                <w:sz w:val="22"/>
              </w:rPr>
            </w:pPr>
            <w:r w:rsidRPr="0086707C">
              <w:rPr>
                <w:rFonts w:ascii="Arial" w:hAnsi="Arial" w:cs="Arial"/>
                <w:sz w:val="22"/>
              </w:rPr>
              <w:t>1539</w:t>
            </w:r>
          </w:p>
        </w:tc>
        <w:tc>
          <w:tcPr>
            <w:tcW w:w="4386" w:type="dxa"/>
            <w:shd w:val="clear" w:color="auto" w:fill="auto"/>
          </w:tcPr>
          <w:p w:rsidR="00FB49A2" w:rsidRPr="0086707C" w:rsidRDefault="00FB49A2" w:rsidP="0086707C">
            <w:pPr>
              <w:spacing w:after="0"/>
              <w:rPr>
                <w:rFonts w:ascii="Arial" w:hAnsi="Arial" w:cs="Arial"/>
                <w:sz w:val="22"/>
              </w:rPr>
            </w:pPr>
            <w:r w:rsidRPr="0086707C">
              <w:rPr>
                <w:rFonts w:ascii="Arial" w:hAnsi="Arial" w:cs="Arial"/>
                <w:sz w:val="22"/>
              </w:rPr>
              <w:t>Gorgon Gas Development Fourth Train Expansion project, Barrow Island</w:t>
            </w:r>
          </w:p>
        </w:tc>
        <w:tc>
          <w:tcPr>
            <w:tcW w:w="2822" w:type="dxa"/>
          </w:tcPr>
          <w:p w:rsidR="00FB49A2" w:rsidRPr="0086707C" w:rsidRDefault="00FB49A2" w:rsidP="0086707C">
            <w:pPr>
              <w:spacing w:after="0"/>
              <w:rPr>
                <w:rFonts w:ascii="Arial" w:hAnsi="Arial" w:cs="Arial"/>
                <w:sz w:val="22"/>
              </w:rPr>
            </w:pPr>
            <w:r w:rsidRPr="0086707C">
              <w:rPr>
                <w:rFonts w:ascii="Arial" w:hAnsi="Arial" w:cs="Arial"/>
                <w:sz w:val="22"/>
              </w:rPr>
              <w:t>Chevron Australia Pty Ltd</w:t>
            </w:r>
          </w:p>
        </w:tc>
        <w:tc>
          <w:tcPr>
            <w:tcW w:w="1404" w:type="dxa"/>
            <w:shd w:val="clear" w:color="auto" w:fill="auto"/>
          </w:tcPr>
          <w:p w:rsidR="00FB49A2" w:rsidRPr="0086707C" w:rsidRDefault="00FB49A2" w:rsidP="0086707C">
            <w:pPr>
              <w:spacing w:after="0"/>
              <w:rPr>
                <w:rFonts w:ascii="Arial" w:hAnsi="Arial" w:cs="Arial"/>
                <w:sz w:val="22"/>
              </w:rPr>
            </w:pPr>
            <w:r w:rsidRPr="0086707C">
              <w:rPr>
                <w:rFonts w:ascii="Arial" w:hAnsi="Arial" w:cs="Arial"/>
                <w:sz w:val="22"/>
              </w:rPr>
              <w:t>3/3/2015</w:t>
            </w:r>
          </w:p>
        </w:tc>
      </w:tr>
      <w:tr w:rsidR="00FB49A2" w:rsidRPr="008528F8" w:rsidTr="0086707C">
        <w:trPr>
          <w:cantSplit/>
        </w:trPr>
        <w:tc>
          <w:tcPr>
            <w:tcW w:w="993" w:type="dxa"/>
            <w:shd w:val="clear" w:color="auto" w:fill="E0DCCB" w:themeFill="accent4" w:themeFillTint="66"/>
          </w:tcPr>
          <w:p w:rsidR="00FB49A2" w:rsidRPr="0086707C" w:rsidRDefault="00FB49A2" w:rsidP="0086707C">
            <w:pPr>
              <w:spacing w:after="0"/>
              <w:rPr>
                <w:rFonts w:ascii="Arial" w:hAnsi="Arial" w:cs="Arial"/>
                <w:sz w:val="22"/>
              </w:rPr>
            </w:pPr>
            <w:r w:rsidRPr="0086707C">
              <w:rPr>
                <w:rFonts w:ascii="Arial" w:hAnsi="Arial" w:cs="Arial"/>
                <w:sz w:val="22"/>
              </w:rPr>
              <w:t>1549</w:t>
            </w:r>
          </w:p>
        </w:tc>
        <w:tc>
          <w:tcPr>
            <w:tcW w:w="4386" w:type="dxa"/>
            <w:shd w:val="clear" w:color="auto" w:fill="E0DCCB" w:themeFill="accent4" w:themeFillTint="66"/>
          </w:tcPr>
          <w:p w:rsidR="00FB49A2" w:rsidRPr="0086707C" w:rsidRDefault="00FB49A2" w:rsidP="0086707C">
            <w:pPr>
              <w:spacing w:after="0"/>
              <w:rPr>
                <w:rFonts w:ascii="Arial" w:hAnsi="Arial" w:cs="Arial"/>
                <w:sz w:val="22"/>
              </w:rPr>
            </w:pPr>
            <w:r w:rsidRPr="0086707C">
              <w:rPr>
                <w:rFonts w:ascii="Arial" w:hAnsi="Arial" w:cs="Arial"/>
                <w:sz w:val="22"/>
              </w:rPr>
              <w:t>Exploration Drilling E70/2227 Feral Prospect</w:t>
            </w:r>
          </w:p>
        </w:tc>
        <w:tc>
          <w:tcPr>
            <w:tcW w:w="2822" w:type="dxa"/>
            <w:shd w:val="clear" w:color="auto" w:fill="E0DCCB" w:themeFill="accent4" w:themeFillTint="66"/>
          </w:tcPr>
          <w:p w:rsidR="00FB49A2" w:rsidRPr="0086707C" w:rsidRDefault="00FB49A2" w:rsidP="0086707C">
            <w:pPr>
              <w:spacing w:after="0"/>
              <w:rPr>
                <w:rFonts w:ascii="Arial" w:hAnsi="Arial" w:cs="Arial"/>
                <w:sz w:val="22"/>
              </w:rPr>
            </w:pPr>
            <w:r w:rsidRPr="0086707C">
              <w:rPr>
                <w:rFonts w:ascii="Arial" w:hAnsi="Arial" w:cs="Arial"/>
                <w:sz w:val="22"/>
              </w:rPr>
              <w:t>Hermitage Holdings Pty Ltd</w:t>
            </w:r>
          </w:p>
        </w:tc>
        <w:tc>
          <w:tcPr>
            <w:tcW w:w="1404" w:type="dxa"/>
            <w:shd w:val="clear" w:color="auto" w:fill="E0DCCB" w:themeFill="accent4" w:themeFillTint="66"/>
          </w:tcPr>
          <w:p w:rsidR="00FB49A2" w:rsidRPr="0086707C" w:rsidRDefault="00FB49A2" w:rsidP="0086707C">
            <w:pPr>
              <w:spacing w:after="0"/>
              <w:rPr>
                <w:rFonts w:ascii="Arial" w:hAnsi="Arial" w:cs="Arial"/>
                <w:sz w:val="22"/>
              </w:rPr>
            </w:pPr>
            <w:r w:rsidRPr="0086707C">
              <w:rPr>
                <w:rFonts w:ascii="Arial" w:hAnsi="Arial" w:cs="Arial"/>
                <w:sz w:val="22"/>
              </w:rPr>
              <w:t>25/5/2015</w:t>
            </w:r>
          </w:p>
        </w:tc>
      </w:tr>
    </w:tbl>
    <w:p w:rsidR="00FB49A2" w:rsidRPr="0086707C" w:rsidRDefault="00FB49A2" w:rsidP="0056569C">
      <w:pPr>
        <w:pStyle w:val="Financialsheading1"/>
        <w:spacing w:before="360"/>
      </w:pPr>
      <w:bookmarkStart w:id="378" w:name="_Toc428271008"/>
      <w:bookmarkStart w:id="379" w:name="_Toc428279239"/>
      <w:r w:rsidRPr="009D3A31">
        <w:t>A</w:t>
      </w:r>
      <w:r w:rsidRPr="0086707C">
        <w:t>ssessment on Proponent Information (API) – Category A</w:t>
      </w:r>
      <w:bookmarkEnd w:id="378"/>
      <w:bookmarkEnd w:id="379"/>
      <w:r w:rsidRPr="0086707C">
        <w:t xml:space="preserve"> </w:t>
      </w:r>
    </w:p>
    <w:tbl>
      <w:tblPr>
        <w:tblW w:w="9706" w:type="dxa"/>
        <w:tblLayout w:type="fixed"/>
        <w:tblCellMar>
          <w:top w:w="57" w:type="dxa"/>
          <w:left w:w="80" w:type="dxa"/>
          <w:bottom w:w="57" w:type="dxa"/>
          <w:right w:w="80" w:type="dxa"/>
        </w:tblCellMar>
        <w:tblLook w:val="0000" w:firstRow="0" w:lastRow="0" w:firstColumn="0" w:lastColumn="0" w:noHBand="0" w:noVBand="0"/>
      </w:tblPr>
      <w:tblGrid>
        <w:gridCol w:w="931"/>
        <w:gridCol w:w="4549"/>
        <w:gridCol w:w="2822"/>
        <w:gridCol w:w="1404"/>
      </w:tblGrid>
      <w:tr w:rsidR="00FB49A2" w:rsidRPr="0086707C" w:rsidTr="0056569C">
        <w:trPr>
          <w:cantSplit/>
          <w:tblHeader/>
        </w:trPr>
        <w:tc>
          <w:tcPr>
            <w:tcW w:w="931" w:type="dxa"/>
            <w:shd w:val="clear" w:color="auto" w:fill="D0CBB1" w:themeFill="accent4" w:themeFillTint="99"/>
          </w:tcPr>
          <w:p w:rsidR="00FB49A2" w:rsidRPr="0056569C" w:rsidRDefault="00FB49A2" w:rsidP="0056569C">
            <w:pPr>
              <w:spacing w:after="0"/>
              <w:rPr>
                <w:rFonts w:cs="Arial"/>
                <w:b/>
                <w:sz w:val="22"/>
              </w:rPr>
            </w:pPr>
            <w:r w:rsidRPr="0056569C">
              <w:rPr>
                <w:rFonts w:cs="Arial"/>
                <w:b/>
                <w:sz w:val="22"/>
              </w:rPr>
              <w:t>Report No.</w:t>
            </w:r>
          </w:p>
        </w:tc>
        <w:tc>
          <w:tcPr>
            <w:tcW w:w="4549" w:type="dxa"/>
            <w:shd w:val="clear" w:color="auto" w:fill="D0CBB1" w:themeFill="accent4" w:themeFillTint="99"/>
          </w:tcPr>
          <w:p w:rsidR="00FB49A2" w:rsidRPr="0056569C" w:rsidRDefault="00FB49A2" w:rsidP="0056569C">
            <w:pPr>
              <w:spacing w:after="0"/>
              <w:rPr>
                <w:rFonts w:cs="Arial"/>
                <w:b/>
                <w:sz w:val="22"/>
              </w:rPr>
            </w:pPr>
            <w:r w:rsidRPr="0056569C">
              <w:rPr>
                <w:rFonts w:cs="Arial"/>
                <w:b/>
                <w:sz w:val="22"/>
              </w:rPr>
              <w:t xml:space="preserve">Title </w:t>
            </w:r>
          </w:p>
        </w:tc>
        <w:tc>
          <w:tcPr>
            <w:tcW w:w="2822" w:type="dxa"/>
            <w:shd w:val="clear" w:color="auto" w:fill="D0CBB1" w:themeFill="accent4" w:themeFillTint="99"/>
          </w:tcPr>
          <w:p w:rsidR="00FB49A2" w:rsidRPr="0056569C" w:rsidRDefault="00FB49A2" w:rsidP="0056569C">
            <w:pPr>
              <w:spacing w:after="0"/>
              <w:rPr>
                <w:rFonts w:cs="Arial"/>
                <w:b/>
                <w:sz w:val="22"/>
              </w:rPr>
            </w:pPr>
            <w:r w:rsidRPr="0056569C">
              <w:rPr>
                <w:rFonts w:cs="Arial"/>
                <w:b/>
                <w:sz w:val="22"/>
              </w:rPr>
              <w:t>Proponent</w:t>
            </w:r>
          </w:p>
        </w:tc>
        <w:tc>
          <w:tcPr>
            <w:tcW w:w="1404" w:type="dxa"/>
            <w:shd w:val="clear" w:color="auto" w:fill="D0CBB1" w:themeFill="accent4" w:themeFillTint="99"/>
          </w:tcPr>
          <w:p w:rsidR="00FB49A2" w:rsidRPr="0056569C" w:rsidRDefault="00FB49A2" w:rsidP="0056569C">
            <w:pPr>
              <w:spacing w:after="0"/>
              <w:rPr>
                <w:rFonts w:cs="Arial"/>
                <w:b/>
                <w:sz w:val="22"/>
              </w:rPr>
            </w:pPr>
            <w:r w:rsidRPr="0056569C">
              <w:rPr>
                <w:rFonts w:cs="Arial"/>
                <w:b/>
                <w:sz w:val="22"/>
              </w:rPr>
              <w:t>Released</w:t>
            </w:r>
          </w:p>
        </w:tc>
      </w:tr>
      <w:tr w:rsidR="00FB49A2" w:rsidRPr="008528F8" w:rsidTr="0086707C">
        <w:trPr>
          <w:cantSplit/>
        </w:trPr>
        <w:tc>
          <w:tcPr>
            <w:tcW w:w="931" w:type="dxa"/>
            <w:shd w:val="clear" w:color="auto" w:fill="auto"/>
          </w:tcPr>
          <w:p w:rsidR="00FB49A2" w:rsidRPr="0056569C" w:rsidRDefault="00FB49A2" w:rsidP="0056569C">
            <w:pPr>
              <w:spacing w:after="0"/>
              <w:rPr>
                <w:rFonts w:ascii="Arial" w:hAnsi="Arial" w:cs="Arial"/>
                <w:sz w:val="22"/>
              </w:rPr>
            </w:pPr>
            <w:r w:rsidRPr="0056569C">
              <w:rPr>
                <w:rFonts w:ascii="Arial" w:hAnsi="Arial" w:cs="Arial"/>
                <w:sz w:val="22"/>
              </w:rPr>
              <w:t>1523</w:t>
            </w:r>
          </w:p>
        </w:tc>
        <w:tc>
          <w:tcPr>
            <w:tcW w:w="4549" w:type="dxa"/>
            <w:shd w:val="clear" w:color="auto" w:fill="auto"/>
          </w:tcPr>
          <w:p w:rsidR="00FB49A2" w:rsidRPr="0056569C" w:rsidRDefault="00FB49A2" w:rsidP="0056569C">
            <w:pPr>
              <w:pStyle w:val="epatitle"/>
              <w:spacing w:before="0" w:after="0" w:line="276" w:lineRule="auto"/>
              <w:ind w:left="0"/>
              <w:jc w:val="left"/>
              <w:rPr>
                <w:rFonts w:ascii="Arial" w:hAnsi="Arial" w:cs="Arial"/>
                <w:color w:val="4D4D4F" w:themeColor="text1"/>
                <w:sz w:val="22"/>
                <w:szCs w:val="22"/>
              </w:rPr>
            </w:pPr>
            <w:r w:rsidRPr="0056569C">
              <w:rPr>
                <w:rFonts w:ascii="Arial" w:hAnsi="Arial" w:cs="Arial"/>
                <w:color w:val="4D4D4F" w:themeColor="text1"/>
                <w:sz w:val="22"/>
                <w:szCs w:val="22"/>
              </w:rPr>
              <w:t>Brown’s Range Rare Earth Project</w:t>
            </w:r>
          </w:p>
        </w:tc>
        <w:tc>
          <w:tcPr>
            <w:tcW w:w="2822" w:type="dxa"/>
          </w:tcPr>
          <w:p w:rsidR="00FB49A2" w:rsidRPr="0056569C" w:rsidRDefault="00FB49A2" w:rsidP="0056569C">
            <w:pPr>
              <w:spacing w:after="0"/>
              <w:rPr>
                <w:rFonts w:ascii="Arial" w:hAnsi="Arial" w:cs="Arial"/>
                <w:sz w:val="22"/>
              </w:rPr>
            </w:pPr>
            <w:r w:rsidRPr="0056569C">
              <w:rPr>
                <w:rFonts w:ascii="Arial" w:hAnsi="Arial" w:cs="Arial"/>
                <w:sz w:val="22"/>
              </w:rPr>
              <w:t>Northern Minerals Limited</w:t>
            </w:r>
          </w:p>
        </w:tc>
        <w:tc>
          <w:tcPr>
            <w:tcW w:w="1404" w:type="dxa"/>
            <w:shd w:val="clear" w:color="auto" w:fill="auto"/>
          </w:tcPr>
          <w:p w:rsidR="00FB49A2" w:rsidRPr="0056569C" w:rsidRDefault="00FB49A2" w:rsidP="0056569C">
            <w:pPr>
              <w:spacing w:after="0"/>
              <w:rPr>
                <w:rFonts w:ascii="Arial" w:hAnsi="Arial" w:cs="Arial"/>
                <w:sz w:val="22"/>
              </w:rPr>
            </w:pPr>
            <w:r w:rsidRPr="0056569C">
              <w:rPr>
                <w:rFonts w:ascii="Arial" w:hAnsi="Arial" w:cs="Arial"/>
                <w:sz w:val="22"/>
              </w:rPr>
              <w:t>18/8/2014</w:t>
            </w:r>
          </w:p>
        </w:tc>
      </w:tr>
      <w:tr w:rsidR="00FB49A2" w:rsidRPr="008528F8" w:rsidTr="0056569C">
        <w:trPr>
          <w:cantSplit/>
        </w:trPr>
        <w:tc>
          <w:tcPr>
            <w:tcW w:w="931" w:type="dxa"/>
            <w:shd w:val="clear" w:color="auto" w:fill="E0DCCB" w:themeFill="accent4" w:themeFillTint="66"/>
          </w:tcPr>
          <w:p w:rsidR="00FB49A2" w:rsidRPr="0056569C" w:rsidRDefault="00FB49A2" w:rsidP="0056569C">
            <w:pPr>
              <w:spacing w:after="0"/>
              <w:rPr>
                <w:rFonts w:ascii="Arial" w:hAnsi="Arial" w:cs="Arial"/>
                <w:sz w:val="22"/>
              </w:rPr>
            </w:pPr>
            <w:r w:rsidRPr="0056569C">
              <w:rPr>
                <w:rFonts w:ascii="Arial" w:hAnsi="Arial" w:cs="Arial"/>
                <w:sz w:val="22"/>
              </w:rPr>
              <w:t>1530</w:t>
            </w:r>
          </w:p>
        </w:tc>
        <w:tc>
          <w:tcPr>
            <w:tcW w:w="4549" w:type="dxa"/>
            <w:shd w:val="clear" w:color="auto" w:fill="E0DCCB" w:themeFill="accent4" w:themeFillTint="66"/>
          </w:tcPr>
          <w:p w:rsidR="00FB49A2" w:rsidRPr="0056569C" w:rsidRDefault="00FB49A2" w:rsidP="0056569C">
            <w:pPr>
              <w:pStyle w:val="epatitle"/>
              <w:spacing w:before="0" w:after="0" w:line="276" w:lineRule="auto"/>
              <w:ind w:left="0"/>
              <w:jc w:val="left"/>
              <w:rPr>
                <w:rFonts w:ascii="Arial" w:hAnsi="Arial" w:cs="Arial"/>
                <w:color w:val="4D4D4F" w:themeColor="text1"/>
                <w:sz w:val="22"/>
                <w:szCs w:val="22"/>
              </w:rPr>
            </w:pPr>
            <w:r w:rsidRPr="0056569C">
              <w:rPr>
                <w:rFonts w:ascii="Arial" w:hAnsi="Arial" w:cs="Arial"/>
                <w:color w:val="4D4D4F" w:themeColor="text1"/>
                <w:sz w:val="22"/>
                <w:szCs w:val="22"/>
              </w:rPr>
              <w:t>EP413 3D seismic acquisition survey</w:t>
            </w:r>
          </w:p>
        </w:tc>
        <w:tc>
          <w:tcPr>
            <w:tcW w:w="2822" w:type="dxa"/>
            <w:shd w:val="clear" w:color="auto" w:fill="E0DCCB" w:themeFill="accent4" w:themeFillTint="66"/>
          </w:tcPr>
          <w:p w:rsidR="00FB49A2" w:rsidRPr="0056569C" w:rsidRDefault="00FB49A2" w:rsidP="0056569C">
            <w:pPr>
              <w:spacing w:after="0"/>
              <w:rPr>
                <w:rFonts w:ascii="Arial" w:hAnsi="Arial" w:cs="Arial"/>
                <w:sz w:val="22"/>
              </w:rPr>
            </w:pPr>
            <w:r w:rsidRPr="0056569C">
              <w:rPr>
                <w:rFonts w:ascii="Arial" w:hAnsi="Arial" w:cs="Arial"/>
                <w:sz w:val="22"/>
              </w:rPr>
              <w:t>Norwest Energy NL</w:t>
            </w:r>
          </w:p>
        </w:tc>
        <w:tc>
          <w:tcPr>
            <w:tcW w:w="1404" w:type="dxa"/>
            <w:shd w:val="clear" w:color="auto" w:fill="E0DCCB" w:themeFill="accent4" w:themeFillTint="66"/>
          </w:tcPr>
          <w:p w:rsidR="00FB49A2" w:rsidRPr="0056569C" w:rsidRDefault="00FB49A2" w:rsidP="0056569C">
            <w:pPr>
              <w:spacing w:after="0"/>
              <w:rPr>
                <w:rFonts w:ascii="Arial" w:hAnsi="Arial" w:cs="Arial"/>
                <w:sz w:val="22"/>
              </w:rPr>
            </w:pPr>
            <w:r w:rsidRPr="0056569C">
              <w:rPr>
                <w:rFonts w:ascii="Arial" w:hAnsi="Arial" w:cs="Arial"/>
                <w:sz w:val="22"/>
              </w:rPr>
              <w:t>6/10/2014</w:t>
            </w:r>
          </w:p>
        </w:tc>
      </w:tr>
      <w:tr w:rsidR="00FB49A2" w:rsidRPr="008528F8" w:rsidTr="0086707C">
        <w:trPr>
          <w:cantSplit/>
        </w:trPr>
        <w:tc>
          <w:tcPr>
            <w:tcW w:w="931" w:type="dxa"/>
            <w:shd w:val="clear" w:color="auto" w:fill="auto"/>
          </w:tcPr>
          <w:p w:rsidR="00FB49A2" w:rsidRPr="0056569C" w:rsidRDefault="00FB49A2" w:rsidP="0056569C">
            <w:pPr>
              <w:spacing w:after="0"/>
              <w:rPr>
                <w:rFonts w:ascii="Arial" w:hAnsi="Arial" w:cs="Arial"/>
                <w:sz w:val="22"/>
              </w:rPr>
            </w:pPr>
            <w:r w:rsidRPr="0056569C">
              <w:rPr>
                <w:rFonts w:ascii="Arial" w:hAnsi="Arial" w:cs="Arial"/>
                <w:sz w:val="22"/>
              </w:rPr>
              <w:t>1531</w:t>
            </w:r>
          </w:p>
        </w:tc>
        <w:tc>
          <w:tcPr>
            <w:tcW w:w="4549" w:type="dxa"/>
            <w:shd w:val="clear" w:color="auto" w:fill="auto"/>
          </w:tcPr>
          <w:p w:rsidR="00FB49A2" w:rsidRPr="0056569C" w:rsidRDefault="00FB49A2" w:rsidP="0056569C">
            <w:pPr>
              <w:pStyle w:val="epatitle"/>
              <w:spacing w:before="0" w:after="0" w:line="276" w:lineRule="auto"/>
              <w:ind w:left="0"/>
              <w:jc w:val="left"/>
              <w:rPr>
                <w:rFonts w:ascii="Arial" w:hAnsi="Arial" w:cs="Arial"/>
                <w:color w:val="4D4D4F" w:themeColor="text1"/>
                <w:sz w:val="22"/>
                <w:szCs w:val="22"/>
              </w:rPr>
            </w:pPr>
            <w:r w:rsidRPr="0056569C">
              <w:rPr>
                <w:rFonts w:ascii="Arial" w:hAnsi="Arial" w:cs="Arial"/>
                <w:color w:val="4D4D4F" w:themeColor="text1"/>
                <w:sz w:val="22"/>
                <w:szCs w:val="22"/>
              </w:rPr>
              <w:t>Brockman Syncline 4 Iron Ore Project</w:t>
            </w:r>
          </w:p>
        </w:tc>
        <w:tc>
          <w:tcPr>
            <w:tcW w:w="2822" w:type="dxa"/>
          </w:tcPr>
          <w:p w:rsidR="00FB49A2" w:rsidRPr="0056569C" w:rsidRDefault="00FB49A2" w:rsidP="0056569C">
            <w:pPr>
              <w:spacing w:after="0"/>
              <w:rPr>
                <w:rFonts w:ascii="Arial" w:hAnsi="Arial" w:cs="Arial"/>
                <w:sz w:val="22"/>
                <w:lang w:eastAsia="en-AU"/>
              </w:rPr>
            </w:pPr>
            <w:r w:rsidRPr="0056569C">
              <w:rPr>
                <w:rFonts w:ascii="Arial" w:hAnsi="Arial" w:cs="Arial"/>
                <w:sz w:val="22"/>
              </w:rPr>
              <w:t>Hamersley Iron Pty Limited</w:t>
            </w:r>
          </w:p>
        </w:tc>
        <w:tc>
          <w:tcPr>
            <w:tcW w:w="1404" w:type="dxa"/>
            <w:shd w:val="clear" w:color="auto" w:fill="auto"/>
          </w:tcPr>
          <w:p w:rsidR="00FB49A2" w:rsidRPr="0056569C" w:rsidRDefault="00FB49A2" w:rsidP="0056569C">
            <w:pPr>
              <w:spacing w:after="0"/>
              <w:rPr>
                <w:rFonts w:ascii="Arial" w:hAnsi="Arial" w:cs="Arial"/>
                <w:sz w:val="22"/>
                <w:lang w:eastAsia="en-AU"/>
              </w:rPr>
            </w:pPr>
            <w:r w:rsidRPr="0056569C">
              <w:rPr>
                <w:rFonts w:ascii="Arial" w:hAnsi="Arial" w:cs="Arial"/>
                <w:sz w:val="22"/>
                <w:lang w:eastAsia="en-AU"/>
              </w:rPr>
              <w:t>20/10/2014</w:t>
            </w:r>
          </w:p>
        </w:tc>
      </w:tr>
      <w:tr w:rsidR="00FB49A2" w:rsidRPr="008528F8" w:rsidTr="0056569C">
        <w:trPr>
          <w:cantSplit/>
        </w:trPr>
        <w:tc>
          <w:tcPr>
            <w:tcW w:w="931" w:type="dxa"/>
            <w:shd w:val="clear" w:color="auto" w:fill="E0DCCB" w:themeFill="accent4" w:themeFillTint="66"/>
          </w:tcPr>
          <w:p w:rsidR="00FB49A2" w:rsidRPr="0056569C" w:rsidRDefault="00FB49A2" w:rsidP="0056569C">
            <w:pPr>
              <w:spacing w:after="0"/>
              <w:rPr>
                <w:rFonts w:ascii="Arial" w:hAnsi="Arial" w:cs="Arial"/>
                <w:sz w:val="22"/>
              </w:rPr>
            </w:pPr>
            <w:r w:rsidRPr="0056569C">
              <w:rPr>
                <w:rFonts w:ascii="Arial" w:hAnsi="Arial" w:cs="Arial"/>
                <w:sz w:val="22"/>
              </w:rPr>
              <w:t>1540</w:t>
            </w:r>
          </w:p>
        </w:tc>
        <w:tc>
          <w:tcPr>
            <w:tcW w:w="4549" w:type="dxa"/>
            <w:shd w:val="clear" w:color="auto" w:fill="E0DCCB" w:themeFill="accent4" w:themeFillTint="66"/>
          </w:tcPr>
          <w:p w:rsidR="00FB49A2" w:rsidRPr="0056569C" w:rsidRDefault="00FB49A2" w:rsidP="0056569C">
            <w:pPr>
              <w:spacing w:after="0"/>
              <w:rPr>
                <w:rFonts w:ascii="Arial" w:hAnsi="Arial" w:cs="Arial"/>
                <w:sz w:val="22"/>
              </w:rPr>
            </w:pPr>
            <w:proofErr w:type="spellStart"/>
            <w:r w:rsidRPr="0056569C">
              <w:rPr>
                <w:rFonts w:ascii="Arial" w:hAnsi="Arial" w:cs="Arial"/>
                <w:sz w:val="22"/>
              </w:rPr>
              <w:t>Balla</w:t>
            </w:r>
            <w:proofErr w:type="spellEnd"/>
            <w:r w:rsidRPr="0056569C">
              <w:rPr>
                <w:rFonts w:ascii="Arial" w:hAnsi="Arial" w:cs="Arial"/>
                <w:sz w:val="22"/>
              </w:rPr>
              <w:t xml:space="preserve"> </w:t>
            </w:r>
            <w:proofErr w:type="spellStart"/>
            <w:r w:rsidRPr="0056569C">
              <w:rPr>
                <w:rFonts w:ascii="Arial" w:hAnsi="Arial" w:cs="Arial"/>
                <w:sz w:val="22"/>
              </w:rPr>
              <w:t>Balla</w:t>
            </w:r>
            <w:proofErr w:type="spellEnd"/>
            <w:r w:rsidRPr="0056569C">
              <w:rPr>
                <w:rFonts w:ascii="Arial" w:hAnsi="Arial" w:cs="Arial"/>
                <w:sz w:val="22"/>
              </w:rPr>
              <w:t xml:space="preserve"> Infrastructure Rail and Conveyor Project</w:t>
            </w:r>
          </w:p>
        </w:tc>
        <w:tc>
          <w:tcPr>
            <w:tcW w:w="2822" w:type="dxa"/>
            <w:shd w:val="clear" w:color="auto" w:fill="E0DCCB" w:themeFill="accent4" w:themeFillTint="66"/>
          </w:tcPr>
          <w:p w:rsidR="00FB49A2" w:rsidRPr="0056569C" w:rsidRDefault="00FB49A2" w:rsidP="0056569C">
            <w:pPr>
              <w:spacing w:after="0"/>
              <w:rPr>
                <w:rFonts w:ascii="Arial" w:hAnsi="Arial" w:cs="Arial"/>
                <w:sz w:val="22"/>
              </w:rPr>
            </w:pPr>
            <w:r w:rsidRPr="0056569C">
              <w:rPr>
                <w:rFonts w:ascii="Arial" w:hAnsi="Arial" w:cs="Arial"/>
                <w:sz w:val="22"/>
              </w:rPr>
              <w:t>Forge Resources Swan Pty Ltd</w:t>
            </w:r>
          </w:p>
        </w:tc>
        <w:tc>
          <w:tcPr>
            <w:tcW w:w="1404" w:type="dxa"/>
            <w:shd w:val="clear" w:color="auto" w:fill="E0DCCB" w:themeFill="accent4" w:themeFillTint="66"/>
          </w:tcPr>
          <w:p w:rsidR="00FB49A2" w:rsidRPr="0056569C" w:rsidRDefault="00FB49A2" w:rsidP="0056569C">
            <w:pPr>
              <w:spacing w:after="0"/>
              <w:rPr>
                <w:rFonts w:ascii="Arial" w:hAnsi="Arial" w:cs="Arial"/>
                <w:sz w:val="22"/>
              </w:rPr>
            </w:pPr>
            <w:r w:rsidRPr="0056569C">
              <w:rPr>
                <w:rFonts w:ascii="Arial" w:hAnsi="Arial" w:cs="Arial"/>
                <w:sz w:val="22"/>
              </w:rPr>
              <w:t>16/3/2015</w:t>
            </w:r>
          </w:p>
        </w:tc>
      </w:tr>
      <w:tr w:rsidR="00FB49A2" w:rsidRPr="008528F8" w:rsidTr="0086707C">
        <w:trPr>
          <w:cantSplit/>
        </w:trPr>
        <w:tc>
          <w:tcPr>
            <w:tcW w:w="931" w:type="dxa"/>
            <w:shd w:val="clear" w:color="auto" w:fill="auto"/>
          </w:tcPr>
          <w:p w:rsidR="00FB49A2" w:rsidRPr="0056569C" w:rsidRDefault="00FB49A2" w:rsidP="0056569C">
            <w:pPr>
              <w:spacing w:after="0"/>
              <w:rPr>
                <w:rFonts w:ascii="Arial" w:hAnsi="Arial" w:cs="Arial"/>
                <w:sz w:val="22"/>
              </w:rPr>
            </w:pPr>
            <w:r w:rsidRPr="0056569C">
              <w:rPr>
                <w:rFonts w:ascii="Arial" w:hAnsi="Arial" w:cs="Arial"/>
                <w:sz w:val="22"/>
              </w:rPr>
              <w:t>1541</w:t>
            </w:r>
          </w:p>
        </w:tc>
        <w:tc>
          <w:tcPr>
            <w:tcW w:w="4549" w:type="dxa"/>
            <w:shd w:val="clear" w:color="auto" w:fill="auto"/>
          </w:tcPr>
          <w:p w:rsidR="00FB49A2" w:rsidRPr="0056569C" w:rsidRDefault="00FB49A2" w:rsidP="0056569C">
            <w:pPr>
              <w:spacing w:after="0"/>
              <w:rPr>
                <w:rFonts w:ascii="Arial" w:hAnsi="Arial" w:cs="Arial"/>
                <w:sz w:val="22"/>
              </w:rPr>
            </w:pPr>
            <w:r w:rsidRPr="0056569C">
              <w:rPr>
                <w:rFonts w:ascii="Arial" w:hAnsi="Arial" w:cs="Arial"/>
                <w:sz w:val="22"/>
              </w:rPr>
              <w:t>Extension Mining Project, 70 km north of Newman, Shire of East Pilbara</w:t>
            </w:r>
          </w:p>
        </w:tc>
        <w:tc>
          <w:tcPr>
            <w:tcW w:w="2822" w:type="dxa"/>
          </w:tcPr>
          <w:p w:rsidR="00FB49A2" w:rsidRPr="0056569C" w:rsidRDefault="00FB49A2" w:rsidP="0056569C">
            <w:pPr>
              <w:spacing w:after="0"/>
              <w:rPr>
                <w:rFonts w:ascii="Arial" w:hAnsi="Arial" w:cs="Arial"/>
                <w:sz w:val="22"/>
              </w:rPr>
            </w:pPr>
            <w:r w:rsidRPr="0056569C">
              <w:rPr>
                <w:rFonts w:ascii="Arial" w:hAnsi="Arial" w:cs="Arial"/>
                <w:sz w:val="22"/>
              </w:rPr>
              <w:t>Australian Aboriginal Mining Corporation Pty Ltd</w:t>
            </w:r>
          </w:p>
        </w:tc>
        <w:tc>
          <w:tcPr>
            <w:tcW w:w="1404" w:type="dxa"/>
            <w:shd w:val="clear" w:color="auto" w:fill="auto"/>
          </w:tcPr>
          <w:p w:rsidR="00FB49A2" w:rsidRPr="0056569C" w:rsidRDefault="00FB49A2" w:rsidP="0056569C">
            <w:pPr>
              <w:spacing w:after="0"/>
              <w:rPr>
                <w:rFonts w:ascii="Arial" w:hAnsi="Arial" w:cs="Arial"/>
                <w:sz w:val="22"/>
              </w:rPr>
            </w:pPr>
            <w:r w:rsidRPr="0056569C">
              <w:rPr>
                <w:rFonts w:ascii="Arial" w:hAnsi="Arial" w:cs="Arial"/>
                <w:sz w:val="22"/>
              </w:rPr>
              <w:t>16/3/2015</w:t>
            </w:r>
          </w:p>
        </w:tc>
      </w:tr>
      <w:tr w:rsidR="00FB49A2" w:rsidRPr="008528F8" w:rsidTr="0056569C">
        <w:trPr>
          <w:cantSplit/>
        </w:trPr>
        <w:tc>
          <w:tcPr>
            <w:tcW w:w="931" w:type="dxa"/>
            <w:shd w:val="clear" w:color="auto" w:fill="E0DCCB" w:themeFill="accent4" w:themeFillTint="66"/>
          </w:tcPr>
          <w:p w:rsidR="00FB49A2" w:rsidRPr="0056569C" w:rsidRDefault="00FB49A2" w:rsidP="0056569C">
            <w:pPr>
              <w:spacing w:after="0"/>
              <w:rPr>
                <w:rFonts w:ascii="Arial" w:hAnsi="Arial" w:cs="Arial"/>
                <w:sz w:val="22"/>
              </w:rPr>
            </w:pPr>
            <w:r w:rsidRPr="0056569C">
              <w:rPr>
                <w:rFonts w:ascii="Arial" w:hAnsi="Arial" w:cs="Arial"/>
                <w:sz w:val="22"/>
              </w:rPr>
              <w:t>1544</w:t>
            </w:r>
          </w:p>
        </w:tc>
        <w:tc>
          <w:tcPr>
            <w:tcW w:w="4549" w:type="dxa"/>
            <w:shd w:val="clear" w:color="auto" w:fill="E0DCCB" w:themeFill="accent4" w:themeFillTint="66"/>
          </w:tcPr>
          <w:p w:rsidR="00FB49A2" w:rsidRPr="0056569C" w:rsidRDefault="00FB49A2" w:rsidP="0056569C">
            <w:pPr>
              <w:pStyle w:val="Default"/>
              <w:spacing w:line="276" w:lineRule="auto"/>
              <w:rPr>
                <w:color w:val="4D4D4F" w:themeColor="text1"/>
                <w:sz w:val="22"/>
                <w:szCs w:val="22"/>
              </w:rPr>
            </w:pPr>
            <w:r w:rsidRPr="0056569C">
              <w:rPr>
                <w:color w:val="4D4D4F" w:themeColor="text1"/>
                <w:sz w:val="22"/>
                <w:szCs w:val="22"/>
              </w:rPr>
              <w:t xml:space="preserve">Exploration Drilling </w:t>
            </w:r>
            <w:proofErr w:type="spellStart"/>
            <w:r w:rsidRPr="0056569C">
              <w:rPr>
                <w:color w:val="4D4D4F" w:themeColor="text1"/>
                <w:sz w:val="22"/>
                <w:szCs w:val="22"/>
              </w:rPr>
              <w:t>Mungada</w:t>
            </w:r>
            <w:proofErr w:type="spellEnd"/>
            <w:r w:rsidRPr="0056569C">
              <w:rPr>
                <w:color w:val="4D4D4F" w:themeColor="text1"/>
                <w:sz w:val="22"/>
                <w:szCs w:val="22"/>
              </w:rPr>
              <w:t xml:space="preserve"> Blue Hills East</w:t>
            </w:r>
          </w:p>
        </w:tc>
        <w:tc>
          <w:tcPr>
            <w:tcW w:w="2822" w:type="dxa"/>
            <w:shd w:val="clear" w:color="auto" w:fill="E0DCCB" w:themeFill="accent4" w:themeFillTint="66"/>
          </w:tcPr>
          <w:p w:rsidR="00FB49A2" w:rsidRPr="0056569C" w:rsidRDefault="00FB49A2" w:rsidP="0056569C">
            <w:pPr>
              <w:spacing w:after="0"/>
              <w:rPr>
                <w:rFonts w:ascii="Arial" w:hAnsi="Arial" w:cs="Arial"/>
                <w:sz w:val="22"/>
              </w:rPr>
            </w:pPr>
            <w:proofErr w:type="spellStart"/>
            <w:r w:rsidRPr="0056569C">
              <w:rPr>
                <w:rFonts w:ascii="Arial" w:hAnsi="Arial" w:cs="Arial"/>
                <w:sz w:val="22"/>
              </w:rPr>
              <w:t>Sinosteel</w:t>
            </w:r>
            <w:proofErr w:type="spellEnd"/>
            <w:r w:rsidRPr="0056569C">
              <w:rPr>
                <w:rFonts w:ascii="Arial" w:hAnsi="Arial" w:cs="Arial"/>
                <w:sz w:val="22"/>
              </w:rPr>
              <w:t xml:space="preserve"> Midwest Corporation Limited</w:t>
            </w:r>
          </w:p>
        </w:tc>
        <w:tc>
          <w:tcPr>
            <w:tcW w:w="1404" w:type="dxa"/>
            <w:shd w:val="clear" w:color="auto" w:fill="E0DCCB" w:themeFill="accent4" w:themeFillTint="66"/>
          </w:tcPr>
          <w:p w:rsidR="00FB49A2" w:rsidRPr="0056569C" w:rsidRDefault="00FB49A2" w:rsidP="0056569C">
            <w:pPr>
              <w:spacing w:after="0"/>
              <w:rPr>
                <w:rFonts w:ascii="Arial" w:hAnsi="Arial" w:cs="Arial"/>
                <w:sz w:val="22"/>
              </w:rPr>
            </w:pPr>
            <w:r w:rsidRPr="0056569C">
              <w:rPr>
                <w:rFonts w:ascii="Arial" w:hAnsi="Arial" w:cs="Arial"/>
                <w:sz w:val="22"/>
              </w:rPr>
              <w:t>23/3/2015</w:t>
            </w:r>
          </w:p>
        </w:tc>
      </w:tr>
      <w:tr w:rsidR="00FB49A2" w:rsidRPr="008528F8" w:rsidTr="0086707C">
        <w:trPr>
          <w:cantSplit/>
        </w:trPr>
        <w:tc>
          <w:tcPr>
            <w:tcW w:w="931" w:type="dxa"/>
            <w:shd w:val="clear" w:color="auto" w:fill="auto"/>
          </w:tcPr>
          <w:p w:rsidR="00FB49A2" w:rsidRPr="0056569C" w:rsidRDefault="00FB49A2" w:rsidP="0056569C">
            <w:pPr>
              <w:spacing w:after="0"/>
              <w:rPr>
                <w:rFonts w:ascii="Arial" w:hAnsi="Arial" w:cs="Arial"/>
                <w:sz w:val="22"/>
              </w:rPr>
            </w:pPr>
            <w:r w:rsidRPr="0056569C">
              <w:rPr>
                <w:rFonts w:ascii="Arial" w:hAnsi="Arial" w:cs="Arial"/>
                <w:sz w:val="22"/>
              </w:rPr>
              <w:t>1547</w:t>
            </w:r>
          </w:p>
        </w:tc>
        <w:tc>
          <w:tcPr>
            <w:tcW w:w="4549" w:type="dxa"/>
            <w:shd w:val="clear" w:color="auto" w:fill="auto"/>
          </w:tcPr>
          <w:p w:rsidR="00FB49A2" w:rsidRPr="0056569C" w:rsidRDefault="00FB49A2" w:rsidP="0056569C">
            <w:pPr>
              <w:pStyle w:val="Default"/>
              <w:spacing w:line="276" w:lineRule="auto"/>
              <w:rPr>
                <w:color w:val="4D4D4F" w:themeColor="text1"/>
                <w:sz w:val="22"/>
                <w:szCs w:val="22"/>
              </w:rPr>
            </w:pPr>
            <w:r w:rsidRPr="0056569C">
              <w:rPr>
                <w:color w:val="4D4D4F" w:themeColor="text1"/>
                <w:sz w:val="22"/>
                <w:szCs w:val="22"/>
              </w:rPr>
              <w:t xml:space="preserve">Increase in abstraction and reinjection at </w:t>
            </w:r>
            <w:proofErr w:type="spellStart"/>
            <w:r w:rsidRPr="0056569C">
              <w:rPr>
                <w:color w:val="4D4D4F" w:themeColor="text1"/>
                <w:sz w:val="22"/>
                <w:szCs w:val="22"/>
              </w:rPr>
              <w:t>Cloudbreak</w:t>
            </w:r>
            <w:proofErr w:type="spellEnd"/>
            <w:r w:rsidRPr="0056569C">
              <w:rPr>
                <w:color w:val="4D4D4F" w:themeColor="text1"/>
                <w:sz w:val="22"/>
                <w:szCs w:val="22"/>
              </w:rPr>
              <w:t xml:space="preserve"> Mine</w:t>
            </w:r>
          </w:p>
        </w:tc>
        <w:tc>
          <w:tcPr>
            <w:tcW w:w="2822" w:type="dxa"/>
          </w:tcPr>
          <w:p w:rsidR="00FB49A2" w:rsidRPr="0056569C" w:rsidRDefault="00FB49A2" w:rsidP="0056569C">
            <w:pPr>
              <w:spacing w:after="0"/>
              <w:rPr>
                <w:rFonts w:ascii="Arial" w:hAnsi="Arial" w:cs="Arial"/>
                <w:sz w:val="22"/>
              </w:rPr>
            </w:pPr>
            <w:r w:rsidRPr="0056569C">
              <w:rPr>
                <w:rFonts w:ascii="Arial" w:hAnsi="Arial" w:cs="Arial"/>
                <w:sz w:val="22"/>
              </w:rPr>
              <w:t>Fortescue Metals Group Limited</w:t>
            </w:r>
          </w:p>
        </w:tc>
        <w:tc>
          <w:tcPr>
            <w:tcW w:w="1404" w:type="dxa"/>
            <w:shd w:val="clear" w:color="auto" w:fill="auto"/>
          </w:tcPr>
          <w:p w:rsidR="00FB49A2" w:rsidRPr="0056569C" w:rsidRDefault="00FB49A2" w:rsidP="0056569C">
            <w:pPr>
              <w:spacing w:after="0"/>
              <w:rPr>
                <w:rFonts w:ascii="Arial" w:hAnsi="Arial" w:cs="Arial"/>
                <w:sz w:val="22"/>
              </w:rPr>
            </w:pPr>
            <w:r w:rsidRPr="0056569C">
              <w:rPr>
                <w:rFonts w:ascii="Arial" w:hAnsi="Arial" w:cs="Arial"/>
                <w:sz w:val="22"/>
              </w:rPr>
              <w:t>18/5/2015</w:t>
            </w:r>
          </w:p>
        </w:tc>
      </w:tr>
      <w:tr w:rsidR="00FB49A2" w:rsidRPr="008528F8" w:rsidTr="00BB435E">
        <w:trPr>
          <w:cantSplit/>
        </w:trPr>
        <w:tc>
          <w:tcPr>
            <w:tcW w:w="931" w:type="dxa"/>
            <w:shd w:val="clear" w:color="auto" w:fill="E0DCCB" w:themeFill="accent4" w:themeFillTint="66"/>
          </w:tcPr>
          <w:p w:rsidR="00FB49A2" w:rsidRPr="0056569C" w:rsidRDefault="00FB49A2" w:rsidP="0056569C">
            <w:pPr>
              <w:spacing w:after="0"/>
              <w:rPr>
                <w:rFonts w:ascii="Arial" w:hAnsi="Arial" w:cs="Arial"/>
                <w:sz w:val="22"/>
              </w:rPr>
            </w:pPr>
            <w:r w:rsidRPr="0056569C">
              <w:rPr>
                <w:rFonts w:ascii="Arial" w:hAnsi="Arial" w:cs="Arial"/>
                <w:sz w:val="22"/>
              </w:rPr>
              <w:t>1548</w:t>
            </w:r>
          </w:p>
        </w:tc>
        <w:tc>
          <w:tcPr>
            <w:tcW w:w="4549" w:type="dxa"/>
            <w:shd w:val="clear" w:color="auto" w:fill="E0DCCB" w:themeFill="accent4" w:themeFillTint="66"/>
          </w:tcPr>
          <w:p w:rsidR="00FB49A2" w:rsidRPr="0056569C" w:rsidRDefault="00FB49A2" w:rsidP="0056569C">
            <w:pPr>
              <w:pStyle w:val="Default"/>
              <w:spacing w:line="276" w:lineRule="auto"/>
              <w:rPr>
                <w:color w:val="4D4D4F" w:themeColor="text1"/>
                <w:sz w:val="22"/>
                <w:szCs w:val="22"/>
              </w:rPr>
            </w:pPr>
            <w:r w:rsidRPr="0056569C">
              <w:rPr>
                <w:color w:val="4D4D4F" w:themeColor="text1"/>
                <w:sz w:val="22"/>
                <w:szCs w:val="22"/>
              </w:rPr>
              <w:t>Pilbara Iron Ore Project - Revised Proposal</w:t>
            </w:r>
          </w:p>
        </w:tc>
        <w:tc>
          <w:tcPr>
            <w:tcW w:w="2822" w:type="dxa"/>
            <w:shd w:val="clear" w:color="auto" w:fill="E0DCCB" w:themeFill="accent4" w:themeFillTint="66"/>
          </w:tcPr>
          <w:p w:rsidR="00FB49A2" w:rsidRPr="0056569C" w:rsidRDefault="00FB49A2" w:rsidP="0056569C">
            <w:pPr>
              <w:spacing w:after="0"/>
              <w:rPr>
                <w:rFonts w:ascii="Arial" w:hAnsi="Arial" w:cs="Arial"/>
                <w:sz w:val="22"/>
              </w:rPr>
            </w:pPr>
            <w:r w:rsidRPr="0056569C">
              <w:rPr>
                <w:rFonts w:ascii="Arial" w:hAnsi="Arial" w:cs="Arial"/>
                <w:sz w:val="22"/>
              </w:rPr>
              <w:t>Flinders Mines Limited</w:t>
            </w:r>
          </w:p>
        </w:tc>
        <w:tc>
          <w:tcPr>
            <w:tcW w:w="1404" w:type="dxa"/>
            <w:shd w:val="clear" w:color="auto" w:fill="E0DCCB" w:themeFill="accent4" w:themeFillTint="66"/>
          </w:tcPr>
          <w:p w:rsidR="00FB49A2" w:rsidRPr="0056569C" w:rsidRDefault="00FB49A2" w:rsidP="0056569C">
            <w:pPr>
              <w:spacing w:after="0"/>
              <w:rPr>
                <w:rFonts w:ascii="Arial" w:hAnsi="Arial" w:cs="Arial"/>
                <w:sz w:val="22"/>
              </w:rPr>
            </w:pPr>
            <w:r w:rsidRPr="0056569C">
              <w:rPr>
                <w:rFonts w:ascii="Arial" w:hAnsi="Arial" w:cs="Arial"/>
                <w:sz w:val="22"/>
              </w:rPr>
              <w:t>18/5/2015</w:t>
            </w:r>
          </w:p>
        </w:tc>
      </w:tr>
      <w:tr w:rsidR="00FB49A2" w:rsidRPr="008528F8" w:rsidTr="00BB435E">
        <w:trPr>
          <w:cantSplit/>
        </w:trPr>
        <w:tc>
          <w:tcPr>
            <w:tcW w:w="931" w:type="dxa"/>
            <w:tcBorders>
              <w:bottom w:val="single" w:sz="4" w:space="0" w:color="B2A97E" w:themeColor="accent4"/>
            </w:tcBorders>
            <w:shd w:val="clear" w:color="auto" w:fill="auto"/>
          </w:tcPr>
          <w:p w:rsidR="00FB49A2" w:rsidRPr="0056569C" w:rsidRDefault="00FB49A2" w:rsidP="0056569C">
            <w:pPr>
              <w:spacing w:after="0"/>
              <w:rPr>
                <w:rFonts w:ascii="Arial" w:hAnsi="Arial" w:cs="Arial"/>
                <w:sz w:val="22"/>
              </w:rPr>
            </w:pPr>
            <w:r w:rsidRPr="0056569C">
              <w:rPr>
                <w:rFonts w:ascii="Arial" w:hAnsi="Arial" w:cs="Arial"/>
                <w:sz w:val="22"/>
              </w:rPr>
              <w:t>1551</w:t>
            </w:r>
          </w:p>
        </w:tc>
        <w:tc>
          <w:tcPr>
            <w:tcW w:w="4549" w:type="dxa"/>
            <w:tcBorders>
              <w:bottom w:val="single" w:sz="4" w:space="0" w:color="B2A97E" w:themeColor="accent4"/>
            </w:tcBorders>
            <w:shd w:val="clear" w:color="auto" w:fill="auto"/>
          </w:tcPr>
          <w:p w:rsidR="00FB49A2" w:rsidRPr="0056569C" w:rsidRDefault="00FB49A2" w:rsidP="0056569C">
            <w:pPr>
              <w:spacing w:after="0"/>
              <w:outlineLvl w:val="1"/>
              <w:rPr>
                <w:rFonts w:ascii="Arial" w:hAnsi="Arial" w:cs="Arial"/>
                <w:sz w:val="22"/>
                <w:lang w:eastAsia="en-AU"/>
              </w:rPr>
            </w:pPr>
            <w:r w:rsidRPr="0056569C">
              <w:rPr>
                <w:rFonts w:ascii="Arial" w:hAnsi="Arial" w:cs="Arial"/>
                <w:sz w:val="22"/>
                <w:lang w:eastAsia="en-AU"/>
              </w:rPr>
              <w:t xml:space="preserve">West </w:t>
            </w:r>
            <w:proofErr w:type="spellStart"/>
            <w:r w:rsidRPr="0056569C">
              <w:rPr>
                <w:rFonts w:ascii="Arial" w:hAnsi="Arial" w:cs="Arial"/>
                <w:sz w:val="22"/>
                <w:lang w:eastAsia="en-AU"/>
              </w:rPr>
              <w:t>Angelas</w:t>
            </w:r>
            <w:proofErr w:type="spellEnd"/>
            <w:r w:rsidRPr="0056569C">
              <w:rPr>
                <w:rFonts w:ascii="Arial" w:hAnsi="Arial" w:cs="Arial"/>
                <w:sz w:val="22"/>
                <w:lang w:eastAsia="en-AU"/>
              </w:rPr>
              <w:t xml:space="preserve"> Deposit A west and Deposit F - Revised Proposal</w:t>
            </w:r>
          </w:p>
        </w:tc>
        <w:tc>
          <w:tcPr>
            <w:tcW w:w="2822" w:type="dxa"/>
            <w:tcBorders>
              <w:bottom w:val="single" w:sz="4" w:space="0" w:color="B2A97E" w:themeColor="accent4"/>
            </w:tcBorders>
          </w:tcPr>
          <w:p w:rsidR="00FB49A2" w:rsidRPr="0056569C" w:rsidRDefault="00FB49A2" w:rsidP="0056569C">
            <w:pPr>
              <w:spacing w:after="0"/>
              <w:rPr>
                <w:rFonts w:ascii="Arial" w:hAnsi="Arial" w:cs="Arial"/>
                <w:sz w:val="22"/>
              </w:rPr>
            </w:pPr>
            <w:r w:rsidRPr="0056569C">
              <w:rPr>
                <w:rFonts w:ascii="Arial" w:hAnsi="Arial" w:cs="Arial"/>
                <w:sz w:val="22"/>
              </w:rPr>
              <w:t>Robe River Mining Co Pty Ltd</w:t>
            </w:r>
          </w:p>
        </w:tc>
        <w:tc>
          <w:tcPr>
            <w:tcW w:w="1404" w:type="dxa"/>
            <w:tcBorders>
              <w:bottom w:val="single" w:sz="4" w:space="0" w:color="B2A97E" w:themeColor="accent4"/>
            </w:tcBorders>
            <w:shd w:val="clear" w:color="auto" w:fill="auto"/>
          </w:tcPr>
          <w:p w:rsidR="00FB49A2" w:rsidRPr="0056569C" w:rsidRDefault="00FB49A2" w:rsidP="0056569C">
            <w:pPr>
              <w:spacing w:after="0"/>
              <w:rPr>
                <w:rFonts w:ascii="Arial" w:hAnsi="Arial" w:cs="Arial"/>
                <w:sz w:val="22"/>
              </w:rPr>
            </w:pPr>
            <w:r w:rsidRPr="0056569C">
              <w:rPr>
                <w:rFonts w:ascii="Arial" w:hAnsi="Arial" w:cs="Arial"/>
                <w:sz w:val="22"/>
              </w:rPr>
              <w:t>22/6/2015</w:t>
            </w:r>
          </w:p>
        </w:tc>
      </w:tr>
    </w:tbl>
    <w:p w:rsidR="00FB49A2" w:rsidRPr="0056569C" w:rsidRDefault="00FB49A2" w:rsidP="0056569C">
      <w:pPr>
        <w:pStyle w:val="Financialsheading1"/>
        <w:spacing w:before="360"/>
      </w:pPr>
      <w:bookmarkStart w:id="380" w:name="_Toc428271009"/>
      <w:bookmarkStart w:id="381" w:name="_Toc428279240"/>
      <w:r w:rsidRPr="009D3A31">
        <w:lastRenderedPageBreak/>
        <w:t>A</w:t>
      </w:r>
      <w:r w:rsidRPr="0056569C">
        <w:t>ssessment on Proponent Information (API) – Category B</w:t>
      </w:r>
      <w:bookmarkEnd w:id="380"/>
      <w:bookmarkEnd w:id="381"/>
      <w:r w:rsidRPr="0056569C">
        <w:t xml:space="preserve"> </w:t>
      </w:r>
    </w:p>
    <w:tbl>
      <w:tblPr>
        <w:tblW w:w="9706" w:type="dxa"/>
        <w:tblLayout w:type="fixed"/>
        <w:tblCellMar>
          <w:top w:w="57" w:type="dxa"/>
          <w:left w:w="80" w:type="dxa"/>
          <w:bottom w:w="57" w:type="dxa"/>
          <w:right w:w="80" w:type="dxa"/>
        </w:tblCellMar>
        <w:tblLook w:val="0000" w:firstRow="0" w:lastRow="0" w:firstColumn="0" w:lastColumn="0" w:noHBand="0" w:noVBand="0"/>
      </w:tblPr>
      <w:tblGrid>
        <w:gridCol w:w="931"/>
        <w:gridCol w:w="4549"/>
        <w:gridCol w:w="2822"/>
        <w:gridCol w:w="1404"/>
      </w:tblGrid>
      <w:tr w:rsidR="00FB49A2" w:rsidRPr="008528F8" w:rsidTr="00BB435E">
        <w:trPr>
          <w:cantSplit/>
        </w:trPr>
        <w:tc>
          <w:tcPr>
            <w:tcW w:w="931" w:type="dxa"/>
            <w:shd w:val="clear" w:color="auto" w:fill="D0CBB1" w:themeFill="accent4" w:themeFillTint="99"/>
          </w:tcPr>
          <w:p w:rsidR="00FB49A2" w:rsidRPr="00A4756F" w:rsidRDefault="00FB49A2" w:rsidP="0056569C">
            <w:pPr>
              <w:spacing w:after="0"/>
              <w:rPr>
                <w:rFonts w:ascii="Arial" w:hAnsi="Arial" w:cs="Arial"/>
                <w:b/>
                <w:sz w:val="22"/>
              </w:rPr>
            </w:pPr>
            <w:r w:rsidRPr="00A4756F">
              <w:rPr>
                <w:rFonts w:ascii="Arial" w:hAnsi="Arial" w:cs="Arial"/>
                <w:b/>
                <w:sz w:val="22"/>
              </w:rPr>
              <w:t>Report No.</w:t>
            </w:r>
          </w:p>
        </w:tc>
        <w:tc>
          <w:tcPr>
            <w:tcW w:w="4549" w:type="dxa"/>
            <w:shd w:val="clear" w:color="auto" w:fill="D0CBB1" w:themeFill="accent4" w:themeFillTint="99"/>
          </w:tcPr>
          <w:p w:rsidR="00FB49A2" w:rsidRPr="00A4756F" w:rsidRDefault="00FB49A2" w:rsidP="0056569C">
            <w:pPr>
              <w:pStyle w:val="epatitle"/>
              <w:spacing w:before="0" w:after="0" w:line="276" w:lineRule="auto"/>
              <w:ind w:left="0"/>
              <w:jc w:val="left"/>
              <w:rPr>
                <w:rFonts w:ascii="Arial" w:hAnsi="Arial" w:cs="Arial"/>
                <w:b/>
                <w:color w:val="4D4D4F" w:themeColor="text1"/>
                <w:sz w:val="22"/>
                <w:szCs w:val="22"/>
              </w:rPr>
            </w:pPr>
            <w:r w:rsidRPr="00A4756F">
              <w:rPr>
                <w:rFonts w:ascii="Arial" w:hAnsi="Arial" w:cs="Arial"/>
                <w:b/>
                <w:color w:val="4D4D4F" w:themeColor="text1"/>
                <w:sz w:val="22"/>
                <w:szCs w:val="22"/>
              </w:rPr>
              <w:t xml:space="preserve">Title </w:t>
            </w:r>
          </w:p>
        </w:tc>
        <w:tc>
          <w:tcPr>
            <w:tcW w:w="2822" w:type="dxa"/>
            <w:shd w:val="clear" w:color="auto" w:fill="D0CBB1" w:themeFill="accent4" w:themeFillTint="99"/>
          </w:tcPr>
          <w:p w:rsidR="00FB49A2" w:rsidRPr="00A4756F" w:rsidRDefault="00FB49A2" w:rsidP="0056569C">
            <w:pPr>
              <w:spacing w:after="0"/>
              <w:rPr>
                <w:rFonts w:ascii="Arial" w:hAnsi="Arial" w:cs="Arial"/>
                <w:b/>
                <w:sz w:val="22"/>
              </w:rPr>
            </w:pPr>
            <w:r w:rsidRPr="00A4756F">
              <w:rPr>
                <w:rFonts w:ascii="Arial" w:hAnsi="Arial" w:cs="Arial"/>
                <w:b/>
                <w:sz w:val="22"/>
              </w:rPr>
              <w:t>Proponent</w:t>
            </w:r>
          </w:p>
        </w:tc>
        <w:tc>
          <w:tcPr>
            <w:tcW w:w="1404" w:type="dxa"/>
            <w:shd w:val="clear" w:color="auto" w:fill="D0CBB1" w:themeFill="accent4" w:themeFillTint="99"/>
          </w:tcPr>
          <w:p w:rsidR="00FB49A2" w:rsidRPr="00A4756F" w:rsidRDefault="00FB49A2" w:rsidP="0056569C">
            <w:pPr>
              <w:spacing w:after="0"/>
              <w:rPr>
                <w:rFonts w:ascii="Arial" w:hAnsi="Arial" w:cs="Arial"/>
                <w:b/>
                <w:sz w:val="22"/>
              </w:rPr>
            </w:pPr>
            <w:r w:rsidRPr="00A4756F">
              <w:rPr>
                <w:rFonts w:ascii="Arial" w:hAnsi="Arial" w:cs="Arial"/>
                <w:b/>
                <w:sz w:val="22"/>
              </w:rPr>
              <w:t>Released</w:t>
            </w:r>
          </w:p>
        </w:tc>
      </w:tr>
      <w:tr w:rsidR="00FB49A2" w:rsidRPr="008528F8" w:rsidTr="00BB435E">
        <w:trPr>
          <w:cantSplit/>
        </w:trPr>
        <w:tc>
          <w:tcPr>
            <w:tcW w:w="931" w:type="dxa"/>
            <w:shd w:val="clear" w:color="auto" w:fill="auto"/>
          </w:tcPr>
          <w:p w:rsidR="00FB49A2" w:rsidRPr="00A4756F" w:rsidRDefault="00FB49A2" w:rsidP="0056569C">
            <w:pPr>
              <w:spacing w:after="0"/>
              <w:rPr>
                <w:rFonts w:ascii="Arial" w:hAnsi="Arial" w:cs="Arial"/>
                <w:sz w:val="22"/>
              </w:rPr>
            </w:pPr>
            <w:r w:rsidRPr="00A4756F">
              <w:rPr>
                <w:rFonts w:ascii="Arial" w:hAnsi="Arial" w:cs="Arial"/>
                <w:sz w:val="22"/>
              </w:rPr>
              <w:t>1532</w:t>
            </w:r>
          </w:p>
        </w:tc>
        <w:tc>
          <w:tcPr>
            <w:tcW w:w="4549" w:type="dxa"/>
            <w:shd w:val="clear" w:color="auto" w:fill="auto"/>
          </w:tcPr>
          <w:p w:rsidR="00FB49A2" w:rsidRPr="00A4756F" w:rsidRDefault="00FB49A2" w:rsidP="0056569C">
            <w:pPr>
              <w:pStyle w:val="epatitle"/>
              <w:spacing w:before="0" w:after="0" w:line="276" w:lineRule="auto"/>
              <w:ind w:left="0"/>
              <w:jc w:val="left"/>
              <w:rPr>
                <w:rFonts w:ascii="Arial" w:hAnsi="Arial" w:cs="Arial"/>
                <w:color w:val="4D4D4F" w:themeColor="text1"/>
                <w:sz w:val="22"/>
                <w:szCs w:val="22"/>
              </w:rPr>
            </w:pPr>
            <w:r w:rsidRPr="00A4756F">
              <w:rPr>
                <w:rFonts w:ascii="Arial" w:hAnsi="Arial" w:cs="Arial"/>
                <w:color w:val="4D4D4F" w:themeColor="text1"/>
                <w:sz w:val="22"/>
                <w:szCs w:val="22"/>
              </w:rPr>
              <w:t xml:space="preserve">Blue Hills </w:t>
            </w:r>
            <w:proofErr w:type="spellStart"/>
            <w:r w:rsidRPr="00A4756F">
              <w:rPr>
                <w:rFonts w:ascii="Arial" w:hAnsi="Arial" w:cs="Arial"/>
                <w:color w:val="4D4D4F" w:themeColor="text1"/>
                <w:sz w:val="22"/>
                <w:szCs w:val="22"/>
              </w:rPr>
              <w:t>Mungada</w:t>
            </w:r>
            <w:proofErr w:type="spellEnd"/>
            <w:r w:rsidRPr="00A4756F">
              <w:rPr>
                <w:rFonts w:ascii="Arial" w:hAnsi="Arial" w:cs="Arial"/>
                <w:color w:val="4D4D4F" w:themeColor="text1"/>
                <w:sz w:val="22"/>
                <w:szCs w:val="22"/>
              </w:rPr>
              <w:t xml:space="preserve"> East Expansion</w:t>
            </w:r>
          </w:p>
        </w:tc>
        <w:tc>
          <w:tcPr>
            <w:tcW w:w="2822" w:type="dxa"/>
          </w:tcPr>
          <w:p w:rsidR="00FB49A2" w:rsidRPr="00A4756F" w:rsidRDefault="00FB49A2" w:rsidP="0056569C">
            <w:pPr>
              <w:spacing w:after="0"/>
              <w:rPr>
                <w:rFonts w:ascii="Arial" w:hAnsi="Arial" w:cs="Arial"/>
                <w:sz w:val="22"/>
              </w:rPr>
            </w:pPr>
            <w:proofErr w:type="spellStart"/>
            <w:r w:rsidRPr="00A4756F">
              <w:rPr>
                <w:rFonts w:ascii="Arial" w:hAnsi="Arial" w:cs="Arial"/>
                <w:sz w:val="22"/>
              </w:rPr>
              <w:t>Sinosteel</w:t>
            </w:r>
            <w:proofErr w:type="spellEnd"/>
            <w:r w:rsidRPr="00A4756F">
              <w:rPr>
                <w:rFonts w:ascii="Arial" w:hAnsi="Arial" w:cs="Arial"/>
                <w:sz w:val="22"/>
              </w:rPr>
              <w:t xml:space="preserve"> Midwest Corporation Limited</w:t>
            </w:r>
          </w:p>
        </w:tc>
        <w:tc>
          <w:tcPr>
            <w:tcW w:w="1404" w:type="dxa"/>
            <w:shd w:val="clear" w:color="auto" w:fill="auto"/>
          </w:tcPr>
          <w:p w:rsidR="00FB49A2" w:rsidRPr="00A4756F" w:rsidRDefault="00FB49A2" w:rsidP="0056569C">
            <w:pPr>
              <w:spacing w:after="0"/>
              <w:rPr>
                <w:rFonts w:ascii="Arial" w:hAnsi="Arial" w:cs="Arial"/>
                <w:sz w:val="22"/>
              </w:rPr>
            </w:pPr>
            <w:r w:rsidRPr="00A4756F">
              <w:rPr>
                <w:rFonts w:ascii="Arial" w:hAnsi="Arial" w:cs="Arial"/>
                <w:sz w:val="22"/>
              </w:rPr>
              <w:t>10/11/2014</w:t>
            </w:r>
          </w:p>
        </w:tc>
      </w:tr>
      <w:tr w:rsidR="00FB49A2" w:rsidRPr="008528F8" w:rsidTr="00BB435E">
        <w:trPr>
          <w:cantSplit/>
        </w:trPr>
        <w:tc>
          <w:tcPr>
            <w:tcW w:w="931" w:type="dxa"/>
            <w:shd w:val="clear" w:color="auto" w:fill="E0DCCB" w:themeFill="accent4" w:themeFillTint="66"/>
          </w:tcPr>
          <w:p w:rsidR="00FB49A2" w:rsidRPr="00A4756F" w:rsidRDefault="00FB49A2" w:rsidP="0056569C">
            <w:pPr>
              <w:spacing w:after="0"/>
              <w:rPr>
                <w:rFonts w:ascii="Arial" w:hAnsi="Arial" w:cs="Arial"/>
                <w:sz w:val="22"/>
              </w:rPr>
            </w:pPr>
            <w:r w:rsidRPr="00A4756F">
              <w:rPr>
                <w:rFonts w:ascii="Arial" w:hAnsi="Arial" w:cs="Arial"/>
                <w:sz w:val="22"/>
              </w:rPr>
              <w:t>1537</w:t>
            </w:r>
          </w:p>
        </w:tc>
        <w:tc>
          <w:tcPr>
            <w:tcW w:w="4549" w:type="dxa"/>
            <w:shd w:val="clear" w:color="auto" w:fill="E0DCCB" w:themeFill="accent4" w:themeFillTint="66"/>
          </w:tcPr>
          <w:p w:rsidR="00FB49A2" w:rsidRPr="00A4756F" w:rsidRDefault="00FB49A2" w:rsidP="0056569C">
            <w:pPr>
              <w:spacing w:after="0"/>
              <w:rPr>
                <w:rFonts w:ascii="Arial" w:hAnsi="Arial" w:cs="Arial"/>
                <w:sz w:val="22"/>
              </w:rPr>
            </w:pPr>
            <w:r w:rsidRPr="00A4756F">
              <w:rPr>
                <w:rFonts w:ascii="Arial" w:hAnsi="Arial" w:cs="Arial"/>
                <w:sz w:val="22"/>
              </w:rPr>
              <w:t xml:space="preserve">Jackson 5 and </w:t>
            </w:r>
            <w:proofErr w:type="spellStart"/>
            <w:r w:rsidRPr="00A4756F">
              <w:rPr>
                <w:rFonts w:ascii="Arial" w:hAnsi="Arial" w:cs="Arial"/>
                <w:sz w:val="22"/>
              </w:rPr>
              <w:t>Bungalbin</w:t>
            </w:r>
            <w:proofErr w:type="spellEnd"/>
            <w:r w:rsidRPr="00A4756F">
              <w:rPr>
                <w:rFonts w:ascii="Arial" w:hAnsi="Arial" w:cs="Arial"/>
                <w:sz w:val="22"/>
              </w:rPr>
              <w:t xml:space="preserve"> East Iron Ore Project</w:t>
            </w:r>
          </w:p>
        </w:tc>
        <w:tc>
          <w:tcPr>
            <w:tcW w:w="2822" w:type="dxa"/>
            <w:shd w:val="clear" w:color="auto" w:fill="E0DCCB" w:themeFill="accent4" w:themeFillTint="66"/>
          </w:tcPr>
          <w:p w:rsidR="00FB49A2" w:rsidRPr="00A4756F" w:rsidRDefault="00FB49A2" w:rsidP="0056569C">
            <w:pPr>
              <w:spacing w:after="0"/>
              <w:rPr>
                <w:rFonts w:ascii="Arial" w:hAnsi="Arial" w:cs="Arial"/>
                <w:sz w:val="22"/>
              </w:rPr>
            </w:pPr>
            <w:r w:rsidRPr="00A4756F">
              <w:rPr>
                <w:rFonts w:ascii="Arial" w:hAnsi="Arial" w:cs="Arial"/>
                <w:sz w:val="22"/>
              </w:rPr>
              <w:t>Polaris Metals Pty Ltd</w:t>
            </w:r>
          </w:p>
        </w:tc>
        <w:tc>
          <w:tcPr>
            <w:tcW w:w="1404" w:type="dxa"/>
            <w:shd w:val="clear" w:color="auto" w:fill="E0DCCB" w:themeFill="accent4" w:themeFillTint="66"/>
          </w:tcPr>
          <w:p w:rsidR="00FB49A2" w:rsidRPr="00A4756F" w:rsidRDefault="00FB49A2" w:rsidP="0056569C">
            <w:pPr>
              <w:spacing w:after="0"/>
              <w:rPr>
                <w:rFonts w:ascii="Arial" w:hAnsi="Arial" w:cs="Arial"/>
                <w:sz w:val="22"/>
              </w:rPr>
            </w:pPr>
            <w:r w:rsidRPr="00A4756F">
              <w:rPr>
                <w:rFonts w:ascii="Arial" w:hAnsi="Arial" w:cs="Arial"/>
                <w:sz w:val="22"/>
              </w:rPr>
              <w:t>12/01/2015</w:t>
            </w:r>
          </w:p>
        </w:tc>
      </w:tr>
    </w:tbl>
    <w:p w:rsidR="00FB49A2" w:rsidRPr="00A4756F" w:rsidRDefault="00FB49A2" w:rsidP="00A4756F">
      <w:pPr>
        <w:pStyle w:val="Financialsheading1"/>
        <w:spacing w:before="360"/>
        <w:rPr>
          <w:sz w:val="22"/>
          <w:szCs w:val="22"/>
        </w:rPr>
      </w:pPr>
      <w:bookmarkStart w:id="382" w:name="_Toc428271010"/>
      <w:bookmarkStart w:id="383" w:name="_Toc428279241"/>
      <w:r w:rsidRPr="00A4756F">
        <w:t xml:space="preserve">Changes to conditions – proposals assessed under s46 of the </w:t>
      </w:r>
      <w:r w:rsidRPr="00A4756F">
        <w:rPr>
          <w:i/>
        </w:rPr>
        <w:t>Environmental Protection Act 1986</w:t>
      </w:r>
      <w:bookmarkEnd w:id="382"/>
      <w:bookmarkEnd w:id="383"/>
      <w:r w:rsidRPr="00A4756F">
        <w:rPr>
          <w:i/>
        </w:rPr>
        <w:t xml:space="preserve"> </w:t>
      </w:r>
    </w:p>
    <w:tbl>
      <w:tblPr>
        <w:tblW w:w="9719" w:type="dxa"/>
        <w:tblLayout w:type="fixed"/>
        <w:tblCellMar>
          <w:top w:w="57" w:type="dxa"/>
          <w:left w:w="80" w:type="dxa"/>
          <w:bottom w:w="57" w:type="dxa"/>
          <w:right w:w="80" w:type="dxa"/>
        </w:tblCellMar>
        <w:tblLook w:val="0000" w:firstRow="0" w:lastRow="0" w:firstColumn="0" w:lastColumn="0" w:noHBand="0" w:noVBand="0"/>
      </w:tblPr>
      <w:tblGrid>
        <w:gridCol w:w="931"/>
        <w:gridCol w:w="4536"/>
        <w:gridCol w:w="2835"/>
        <w:gridCol w:w="1404"/>
        <w:gridCol w:w="13"/>
      </w:tblGrid>
      <w:tr w:rsidR="00FB49A2" w:rsidRPr="00A4756F" w:rsidTr="00BB435E">
        <w:trPr>
          <w:gridAfter w:val="1"/>
          <w:wAfter w:w="13" w:type="dxa"/>
          <w:cantSplit/>
          <w:tblHeader/>
        </w:trPr>
        <w:tc>
          <w:tcPr>
            <w:tcW w:w="931" w:type="dxa"/>
            <w:shd w:val="clear" w:color="auto" w:fill="D0CBB1" w:themeFill="accent4" w:themeFillTint="99"/>
          </w:tcPr>
          <w:p w:rsidR="00FB49A2" w:rsidRPr="00A4756F" w:rsidRDefault="00FB49A2" w:rsidP="00A4756F">
            <w:pPr>
              <w:spacing w:after="0"/>
              <w:rPr>
                <w:rFonts w:ascii="Arial" w:hAnsi="Arial" w:cs="Arial"/>
                <w:b/>
                <w:sz w:val="22"/>
              </w:rPr>
            </w:pPr>
            <w:r w:rsidRPr="00A4756F">
              <w:rPr>
                <w:rFonts w:ascii="Arial" w:hAnsi="Arial" w:cs="Arial"/>
                <w:b/>
                <w:sz w:val="22"/>
              </w:rPr>
              <w:t>Report No.</w:t>
            </w:r>
          </w:p>
        </w:tc>
        <w:tc>
          <w:tcPr>
            <w:tcW w:w="4536" w:type="dxa"/>
            <w:shd w:val="clear" w:color="auto" w:fill="D0CBB1" w:themeFill="accent4" w:themeFillTint="99"/>
          </w:tcPr>
          <w:p w:rsidR="00FB49A2" w:rsidRPr="00A4756F" w:rsidRDefault="00FB49A2" w:rsidP="00A4756F">
            <w:pPr>
              <w:pStyle w:val="epatitle"/>
              <w:spacing w:before="0" w:after="0" w:line="276" w:lineRule="auto"/>
              <w:ind w:left="0"/>
              <w:jc w:val="left"/>
              <w:rPr>
                <w:rFonts w:ascii="Arial" w:hAnsi="Arial" w:cs="Arial"/>
                <w:b/>
                <w:color w:val="auto"/>
                <w:sz w:val="22"/>
                <w:szCs w:val="22"/>
              </w:rPr>
            </w:pPr>
            <w:r w:rsidRPr="00A4756F">
              <w:rPr>
                <w:rFonts w:ascii="Arial" w:hAnsi="Arial" w:cs="Arial"/>
                <w:b/>
                <w:color w:val="auto"/>
                <w:sz w:val="22"/>
                <w:szCs w:val="22"/>
              </w:rPr>
              <w:t xml:space="preserve">Title </w:t>
            </w:r>
          </w:p>
        </w:tc>
        <w:tc>
          <w:tcPr>
            <w:tcW w:w="2835" w:type="dxa"/>
            <w:shd w:val="clear" w:color="auto" w:fill="D0CBB1" w:themeFill="accent4" w:themeFillTint="99"/>
          </w:tcPr>
          <w:p w:rsidR="00FB49A2" w:rsidRPr="00A4756F" w:rsidRDefault="00FB49A2" w:rsidP="00A4756F">
            <w:pPr>
              <w:spacing w:after="0"/>
              <w:rPr>
                <w:rFonts w:ascii="Arial" w:hAnsi="Arial" w:cs="Arial"/>
                <w:b/>
                <w:color w:val="333333"/>
                <w:sz w:val="22"/>
              </w:rPr>
            </w:pPr>
            <w:r w:rsidRPr="00A4756F">
              <w:rPr>
                <w:rFonts w:ascii="Arial" w:hAnsi="Arial" w:cs="Arial"/>
                <w:b/>
                <w:color w:val="333333"/>
                <w:sz w:val="22"/>
              </w:rPr>
              <w:t>Proponent</w:t>
            </w:r>
          </w:p>
        </w:tc>
        <w:tc>
          <w:tcPr>
            <w:tcW w:w="1404" w:type="dxa"/>
            <w:shd w:val="clear" w:color="auto" w:fill="D0CBB1" w:themeFill="accent4" w:themeFillTint="99"/>
          </w:tcPr>
          <w:p w:rsidR="00FB49A2" w:rsidRPr="00A4756F" w:rsidRDefault="00FB49A2" w:rsidP="00A4756F">
            <w:pPr>
              <w:spacing w:after="0"/>
              <w:rPr>
                <w:rFonts w:ascii="Arial" w:hAnsi="Arial" w:cs="Arial"/>
                <w:b/>
                <w:sz w:val="22"/>
              </w:rPr>
            </w:pPr>
            <w:r w:rsidRPr="00A4756F">
              <w:rPr>
                <w:rFonts w:ascii="Arial" w:hAnsi="Arial" w:cs="Arial"/>
                <w:b/>
                <w:sz w:val="22"/>
              </w:rPr>
              <w:t>Released</w:t>
            </w:r>
          </w:p>
        </w:tc>
      </w:tr>
      <w:tr w:rsidR="00FB49A2" w:rsidRPr="00A4756F" w:rsidTr="00BB435E">
        <w:trPr>
          <w:cantSplit/>
        </w:trPr>
        <w:tc>
          <w:tcPr>
            <w:tcW w:w="931" w:type="dxa"/>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1521</w:t>
            </w:r>
          </w:p>
        </w:tc>
        <w:tc>
          <w:tcPr>
            <w:tcW w:w="4536" w:type="dxa"/>
            <w:shd w:val="clear" w:color="auto" w:fill="auto"/>
          </w:tcPr>
          <w:p w:rsidR="00FB49A2" w:rsidRPr="00A4756F" w:rsidRDefault="00FB49A2" w:rsidP="00A4756F">
            <w:pPr>
              <w:pStyle w:val="epatitle"/>
              <w:spacing w:before="0" w:after="0" w:line="276" w:lineRule="auto"/>
              <w:ind w:left="0"/>
              <w:jc w:val="left"/>
              <w:rPr>
                <w:rFonts w:ascii="Arial" w:hAnsi="Arial" w:cs="Arial"/>
                <w:color w:val="auto"/>
                <w:sz w:val="22"/>
                <w:szCs w:val="22"/>
              </w:rPr>
            </w:pPr>
            <w:proofErr w:type="spellStart"/>
            <w:r w:rsidRPr="00A4756F">
              <w:rPr>
                <w:rFonts w:ascii="Arial" w:hAnsi="Arial" w:cs="Arial"/>
                <w:color w:val="auto"/>
                <w:sz w:val="22"/>
                <w:szCs w:val="22"/>
              </w:rPr>
              <w:t>Yilgarn</w:t>
            </w:r>
            <w:proofErr w:type="spellEnd"/>
            <w:r w:rsidRPr="00A4756F">
              <w:rPr>
                <w:rFonts w:ascii="Arial" w:hAnsi="Arial" w:cs="Arial"/>
                <w:color w:val="auto"/>
                <w:sz w:val="22"/>
                <w:szCs w:val="22"/>
              </w:rPr>
              <w:t xml:space="preserve"> Operations – </w:t>
            </w:r>
            <w:proofErr w:type="spellStart"/>
            <w:r w:rsidRPr="00A4756F">
              <w:rPr>
                <w:rFonts w:ascii="Arial" w:hAnsi="Arial" w:cs="Arial"/>
                <w:color w:val="auto"/>
                <w:sz w:val="22"/>
                <w:szCs w:val="22"/>
              </w:rPr>
              <w:t>Windarling</w:t>
            </w:r>
            <w:proofErr w:type="spellEnd"/>
            <w:r w:rsidRPr="00A4756F">
              <w:rPr>
                <w:rFonts w:ascii="Arial" w:hAnsi="Arial" w:cs="Arial"/>
                <w:color w:val="auto"/>
                <w:sz w:val="22"/>
                <w:szCs w:val="22"/>
              </w:rPr>
              <w:t xml:space="preserve"> Range, Mt Jackson Range and Deception Deposit – inquiry under s46 of the </w:t>
            </w:r>
            <w:r w:rsidRPr="00A4756F">
              <w:rPr>
                <w:rFonts w:ascii="Arial" w:hAnsi="Arial" w:cs="Arial"/>
                <w:i/>
                <w:color w:val="auto"/>
                <w:sz w:val="22"/>
                <w:szCs w:val="22"/>
              </w:rPr>
              <w:t>Environmental Protection Act 1986</w:t>
            </w:r>
            <w:r w:rsidRPr="00A4756F">
              <w:rPr>
                <w:rFonts w:ascii="Arial" w:hAnsi="Arial" w:cs="Arial"/>
                <w:color w:val="auto"/>
                <w:sz w:val="22"/>
                <w:szCs w:val="22"/>
              </w:rPr>
              <w:t xml:space="preserve"> to amend Ministerial Statements 627, 802, 843, 874, 900, 907, and 909</w:t>
            </w:r>
          </w:p>
        </w:tc>
        <w:tc>
          <w:tcPr>
            <w:tcW w:w="2835" w:type="dxa"/>
          </w:tcPr>
          <w:p w:rsidR="00FB49A2" w:rsidRPr="00A4756F" w:rsidRDefault="00FB49A2" w:rsidP="00A4756F">
            <w:pPr>
              <w:spacing w:after="0"/>
              <w:rPr>
                <w:rFonts w:ascii="Arial" w:hAnsi="Arial" w:cs="Arial"/>
                <w:sz w:val="22"/>
              </w:rPr>
            </w:pPr>
            <w:r w:rsidRPr="00A4756F">
              <w:rPr>
                <w:rFonts w:ascii="Arial" w:hAnsi="Arial" w:cs="Arial"/>
                <w:color w:val="333333"/>
                <w:sz w:val="22"/>
              </w:rPr>
              <w:t>Cliffs Asia Pacific Iron Ore Pty Ltd</w:t>
            </w:r>
          </w:p>
        </w:tc>
        <w:tc>
          <w:tcPr>
            <w:tcW w:w="1417" w:type="dxa"/>
            <w:gridSpan w:val="2"/>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17/7/2014</w:t>
            </w:r>
          </w:p>
        </w:tc>
      </w:tr>
      <w:tr w:rsidR="00FB49A2" w:rsidRPr="00A4756F" w:rsidTr="00BB435E">
        <w:trPr>
          <w:cantSplit/>
        </w:trPr>
        <w:tc>
          <w:tcPr>
            <w:tcW w:w="931" w:type="dxa"/>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1524</w:t>
            </w:r>
          </w:p>
        </w:tc>
        <w:tc>
          <w:tcPr>
            <w:tcW w:w="4536" w:type="dxa"/>
            <w:shd w:val="clear" w:color="auto" w:fill="E0DCCB" w:themeFill="accent4" w:themeFillTint="66"/>
          </w:tcPr>
          <w:p w:rsidR="00FB49A2" w:rsidRPr="00A4756F" w:rsidRDefault="00FB49A2" w:rsidP="00A4756F">
            <w:pPr>
              <w:pStyle w:val="epatitle"/>
              <w:spacing w:before="0" w:after="0" w:line="276" w:lineRule="auto"/>
              <w:ind w:left="0"/>
              <w:jc w:val="left"/>
              <w:rPr>
                <w:rFonts w:ascii="Arial" w:hAnsi="Arial" w:cs="Arial"/>
                <w:color w:val="auto"/>
                <w:sz w:val="22"/>
                <w:szCs w:val="22"/>
              </w:rPr>
            </w:pPr>
            <w:proofErr w:type="spellStart"/>
            <w:r w:rsidRPr="00A4756F">
              <w:rPr>
                <w:rFonts w:ascii="Arial" w:hAnsi="Arial" w:cs="Arial"/>
                <w:color w:val="auto"/>
                <w:sz w:val="22"/>
                <w:szCs w:val="22"/>
              </w:rPr>
              <w:t>Yellowfin</w:t>
            </w:r>
            <w:proofErr w:type="spellEnd"/>
            <w:r w:rsidRPr="00A4756F">
              <w:rPr>
                <w:rFonts w:ascii="Arial" w:hAnsi="Arial" w:cs="Arial"/>
                <w:color w:val="auto"/>
                <w:sz w:val="22"/>
                <w:szCs w:val="22"/>
              </w:rPr>
              <w:t xml:space="preserve"> Tuna Aquaculture Trial, </w:t>
            </w:r>
            <w:proofErr w:type="spellStart"/>
            <w:r w:rsidRPr="00A4756F">
              <w:rPr>
                <w:rFonts w:ascii="Arial" w:hAnsi="Arial" w:cs="Arial"/>
                <w:color w:val="auto"/>
                <w:sz w:val="22"/>
                <w:szCs w:val="22"/>
              </w:rPr>
              <w:t>Zeewijk</w:t>
            </w:r>
            <w:proofErr w:type="spellEnd"/>
            <w:r w:rsidRPr="00A4756F">
              <w:rPr>
                <w:rFonts w:ascii="Arial" w:hAnsi="Arial" w:cs="Arial"/>
                <w:color w:val="auto"/>
                <w:sz w:val="22"/>
                <w:szCs w:val="22"/>
              </w:rPr>
              <w:t xml:space="preserve"> Channel, Abrolhos Islands - inquiry under s46 of the </w:t>
            </w:r>
            <w:r w:rsidRPr="00A4756F">
              <w:rPr>
                <w:rFonts w:ascii="Arial" w:hAnsi="Arial" w:cs="Arial"/>
                <w:i/>
                <w:color w:val="auto"/>
                <w:sz w:val="22"/>
                <w:szCs w:val="22"/>
              </w:rPr>
              <w:t xml:space="preserve">Environmental Protection Act 1986 </w:t>
            </w:r>
            <w:r w:rsidRPr="00A4756F">
              <w:rPr>
                <w:rFonts w:ascii="Arial" w:hAnsi="Arial" w:cs="Arial"/>
                <w:color w:val="auto"/>
                <w:sz w:val="22"/>
                <w:szCs w:val="22"/>
              </w:rPr>
              <w:t>to amend Ministerial Statement 929</w:t>
            </w:r>
          </w:p>
        </w:tc>
        <w:tc>
          <w:tcPr>
            <w:tcW w:w="2835" w:type="dxa"/>
            <w:shd w:val="clear" w:color="auto" w:fill="E0DCCB" w:themeFill="accent4" w:themeFillTint="66"/>
          </w:tcPr>
          <w:p w:rsidR="00FB49A2" w:rsidRPr="00A4756F" w:rsidRDefault="00FB49A2" w:rsidP="00A4756F">
            <w:pPr>
              <w:spacing w:after="0"/>
              <w:rPr>
                <w:rFonts w:ascii="Arial" w:hAnsi="Arial" w:cs="Arial"/>
                <w:sz w:val="22"/>
              </w:rPr>
            </w:pPr>
            <w:proofErr w:type="spellStart"/>
            <w:r w:rsidRPr="00A4756F">
              <w:rPr>
                <w:rFonts w:ascii="Arial" w:hAnsi="Arial" w:cs="Arial"/>
                <w:color w:val="333333"/>
                <w:sz w:val="22"/>
              </w:rPr>
              <w:t>Pelsaert</w:t>
            </w:r>
            <w:proofErr w:type="spellEnd"/>
            <w:r w:rsidRPr="00A4756F">
              <w:rPr>
                <w:rFonts w:ascii="Arial" w:hAnsi="Arial" w:cs="Arial"/>
                <w:color w:val="333333"/>
                <w:sz w:val="22"/>
              </w:rPr>
              <w:t xml:space="preserve"> Pty Ltd</w:t>
            </w:r>
          </w:p>
        </w:tc>
        <w:tc>
          <w:tcPr>
            <w:tcW w:w="1417" w:type="dxa"/>
            <w:gridSpan w:val="2"/>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8/9/2014</w:t>
            </w:r>
          </w:p>
        </w:tc>
      </w:tr>
      <w:tr w:rsidR="00FB49A2" w:rsidRPr="00A4756F" w:rsidTr="00BB435E">
        <w:trPr>
          <w:cantSplit/>
        </w:trPr>
        <w:tc>
          <w:tcPr>
            <w:tcW w:w="931" w:type="dxa"/>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1525</w:t>
            </w:r>
          </w:p>
        </w:tc>
        <w:tc>
          <w:tcPr>
            <w:tcW w:w="4536" w:type="dxa"/>
            <w:shd w:val="clear" w:color="auto" w:fill="auto"/>
          </w:tcPr>
          <w:p w:rsidR="00FB49A2" w:rsidRPr="00A4756F" w:rsidRDefault="00FB49A2" w:rsidP="00A4756F">
            <w:pPr>
              <w:pStyle w:val="epatitle"/>
              <w:spacing w:before="0" w:after="0" w:line="276" w:lineRule="auto"/>
              <w:ind w:left="0"/>
              <w:jc w:val="left"/>
              <w:rPr>
                <w:rFonts w:ascii="Arial" w:hAnsi="Arial" w:cs="Arial"/>
                <w:color w:val="auto"/>
                <w:sz w:val="22"/>
                <w:szCs w:val="22"/>
              </w:rPr>
            </w:pPr>
            <w:proofErr w:type="spellStart"/>
            <w:r w:rsidRPr="00A4756F">
              <w:rPr>
                <w:rFonts w:ascii="Arial" w:hAnsi="Arial" w:cs="Arial"/>
                <w:color w:val="auto"/>
                <w:sz w:val="22"/>
                <w:szCs w:val="22"/>
              </w:rPr>
              <w:t>Balla</w:t>
            </w:r>
            <w:proofErr w:type="spellEnd"/>
            <w:r w:rsidRPr="00A4756F">
              <w:rPr>
                <w:rFonts w:ascii="Arial" w:hAnsi="Arial" w:cs="Arial"/>
                <w:color w:val="auto"/>
                <w:sz w:val="22"/>
                <w:szCs w:val="22"/>
              </w:rPr>
              <w:t xml:space="preserve"> </w:t>
            </w:r>
            <w:proofErr w:type="spellStart"/>
            <w:r w:rsidRPr="00A4756F">
              <w:rPr>
                <w:rFonts w:ascii="Arial" w:hAnsi="Arial" w:cs="Arial"/>
                <w:color w:val="auto"/>
                <w:sz w:val="22"/>
                <w:szCs w:val="22"/>
              </w:rPr>
              <w:t>Balla</w:t>
            </w:r>
            <w:proofErr w:type="spellEnd"/>
            <w:r w:rsidRPr="00A4756F">
              <w:rPr>
                <w:rFonts w:ascii="Arial" w:hAnsi="Arial" w:cs="Arial"/>
                <w:color w:val="auto"/>
                <w:sz w:val="22"/>
                <w:szCs w:val="22"/>
              </w:rPr>
              <w:t xml:space="preserve"> Magnetite Mining Project - inquiry under s46 of the </w:t>
            </w:r>
            <w:r w:rsidRPr="00A4756F">
              <w:rPr>
                <w:rFonts w:ascii="Arial" w:hAnsi="Arial" w:cs="Arial"/>
                <w:i/>
                <w:color w:val="auto"/>
                <w:sz w:val="22"/>
                <w:szCs w:val="22"/>
              </w:rPr>
              <w:t xml:space="preserve">Environmental Protection Act 1986 </w:t>
            </w:r>
            <w:r w:rsidRPr="00A4756F">
              <w:rPr>
                <w:rFonts w:ascii="Arial" w:hAnsi="Arial" w:cs="Arial"/>
                <w:color w:val="auto"/>
                <w:sz w:val="22"/>
                <w:szCs w:val="22"/>
              </w:rPr>
              <w:t>to amend Ministerial Statement 794</w:t>
            </w:r>
          </w:p>
        </w:tc>
        <w:tc>
          <w:tcPr>
            <w:tcW w:w="2835" w:type="dxa"/>
          </w:tcPr>
          <w:p w:rsidR="00FB49A2" w:rsidRPr="00A4756F" w:rsidRDefault="00FB49A2" w:rsidP="00A4756F">
            <w:pPr>
              <w:spacing w:after="0"/>
              <w:rPr>
                <w:rFonts w:ascii="Arial" w:hAnsi="Arial" w:cs="Arial"/>
                <w:sz w:val="22"/>
              </w:rPr>
            </w:pPr>
            <w:r w:rsidRPr="00A4756F">
              <w:rPr>
                <w:rFonts w:ascii="Arial" w:hAnsi="Arial" w:cs="Arial"/>
                <w:color w:val="333333"/>
                <w:sz w:val="22"/>
              </w:rPr>
              <w:t>Forge Resources Swan Pty Ltd</w:t>
            </w:r>
          </w:p>
        </w:tc>
        <w:tc>
          <w:tcPr>
            <w:tcW w:w="1417" w:type="dxa"/>
            <w:gridSpan w:val="2"/>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8/9/2014</w:t>
            </w:r>
          </w:p>
        </w:tc>
      </w:tr>
      <w:tr w:rsidR="00FB49A2" w:rsidRPr="00A4756F" w:rsidTr="00BB435E">
        <w:trPr>
          <w:cantSplit/>
        </w:trPr>
        <w:tc>
          <w:tcPr>
            <w:tcW w:w="931" w:type="dxa"/>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1526</w:t>
            </w:r>
          </w:p>
        </w:tc>
        <w:tc>
          <w:tcPr>
            <w:tcW w:w="4536" w:type="dxa"/>
            <w:shd w:val="clear" w:color="auto" w:fill="E0DCCB" w:themeFill="accent4" w:themeFillTint="66"/>
          </w:tcPr>
          <w:p w:rsidR="00FB49A2" w:rsidRPr="00A4756F" w:rsidRDefault="00FB49A2" w:rsidP="00A4756F">
            <w:pPr>
              <w:pStyle w:val="epatitle"/>
              <w:spacing w:before="0" w:after="0" w:line="276" w:lineRule="auto"/>
              <w:ind w:left="0"/>
              <w:jc w:val="left"/>
              <w:rPr>
                <w:rFonts w:ascii="Arial" w:hAnsi="Arial" w:cs="Arial"/>
                <w:color w:val="auto"/>
                <w:sz w:val="22"/>
                <w:szCs w:val="22"/>
              </w:rPr>
            </w:pPr>
            <w:r w:rsidRPr="00A4756F">
              <w:rPr>
                <w:rFonts w:ascii="Arial" w:hAnsi="Arial" w:cs="Arial"/>
                <w:color w:val="auto"/>
                <w:sz w:val="22"/>
                <w:szCs w:val="22"/>
              </w:rPr>
              <w:t xml:space="preserve">Eglinton Beach proposal - inquiry under s46 of the </w:t>
            </w:r>
            <w:r w:rsidRPr="00A4756F">
              <w:rPr>
                <w:rFonts w:ascii="Arial" w:hAnsi="Arial" w:cs="Arial"/>
                <w:i/>
                <w:color w:val="auto"/>
                <w:sz w:val="22"/>
                <w:szCs w:val="22"/>
              </w:rPr>
              <w:t xml:space="preserve">Environmental Protection Act 1986 </w:t>
            </w:r>
            <w:r w:rsidRPr="00A4756F">
              <w:rPr>
                <w:rFonts w:ascii="Arial" w:hAnsi="Arial" w:cs="Arial"/>
                <w:color w:val="auto"/>
                <w:sz w:val="22"/>
                <w:szCs w:val="22"/>
              </w:rPr>
              <w:t>to amend Ministerial Statement 150</w:t>
            </w:r>
          </w:p>
        </w:tc>
        <w:tc>
          <w:tcPr>
            <w:tcW w:w="2835" w:type="dxa"/>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color w:val="333333"/>
                <w:sz w:val="22"/>
              </w:rPr>
              <w:t>Eglinton Estates Pty Ltd</w:t>
            </w:r>
          </w:p>
        </w:tc>
        <w:tc>
          <w:tcPr>
            <w:tcW w:w="1417" w:type="dxa"/>
            <w:gridSpan w:val="2"/>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8/9/2014</w:t>
            </w:r>
          </w:p>
        </w:tc>
      </w:tr>
      <w:tr w:rsidR="00FB49A2" w:rsidRPr="00A4756F" w:rsidTr="00BB435E">
        <w:trPr>
          <w:cantSplit/>
        </w:trPr>
        <w:tc>
          <w:tcPr>
            <w:tcW w:w="931" w:type="dxa"/>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1528</w:t>
            </w:r>
          </w:p>
        </w:tc>
        <w:tc>
          <w:tcPr>
            <w:tcW w:w="4536" w:type="dxa"/>
            <w:shd w:val="clear" w:color="auto" w:fill="auto"/>
          </w:tcPr>
          <w:p w:rsidR="00FB49A2" w:rsidRPr="00A4756F" w:rsidRDefault="00FB49A2" w:rsidP="00A4756F">
            <w:pPr>
              <w:pStyle w:val="epatitle"/>
              <w:spacing w:before="0" w:after="0" w:line="276" w:lineRule="auto"/>
              <w:ind w:left="0"/>
              <w:jc w:val="left"/>
              <w:rPr>
                <w:rFonts w:ascii="Arial" w:hAnsi="Arial" w:cs="Arial"/>
                <w:color w:val="auto"/>
                <w:sz w:val="22"/>
                <w:szCs w:val="22"/>
              </w:rPr>
            </w:pPr>
            <w:r w:rsidRPr="00A4756F">
              <w:rPr>
                <w:rFonts w:ascii="Arial" w:hAnsi="Arial" w:cs="Arial"/>
                <w:color w:val="auto"/>
                <w:sz w:val="22"/>
                <w:szCs w:val="22"/>
              </w:rPr>
              <w:t xml:space="preserve">Keysbrook Mineral Sands Mine – inquiry under s46 of the </w:t>
            </w:r>
            <w:r w:rsidRPr="00A4756F">
              <w:rPr>
                <w:rFonts w:ascii="Arial" w:hAnsi="Arial" w:cs="Arial"/>
                <w:i/>
                <w:color w:val="auto"/>
                <w:sz w:val="22"/>
                <w:szCs w:val="22"/>
              </w:rPr>
              <w:t>Environmental Protection Act 1986</w:t>
            </w:r>
            <w:r w:rsidRPr="00A4756F">
              <w:rPr>
                <w:rFonts w:ascii="Arial" w:hAnsi="Arial" w:cs="Arial"/>
                <w:color w:val="auto"/>
                <w:sz w:val="22"/>
                <w:szCs w:val="22"/>
              </w:rPr>
              <w:t xml:space="preserve"> to amend Ministerial Statement 810</w:t>
            </w:r>
          </w:p>
        </w:tc>
        <w:tc>
          <w:tcPr>
            <w:tcW w:w="2835" w:type="dxa"/>
          </w:tcPr>
          <w:p w:rsidR="00FB49A2" w:rsidRPr="00A4756F" w:rsidRDefault="00FB49A2" w:rsidP="00A4756F">
            <w:pPr>
              <w:spacing w:after="0"/>
              <w:rPr>
                <w:rFonts w:ascii="Arial" w:hAnsi="Arial" w:cs="Arial"/>
                <w:sz w:val="22"/>
              </w:rPr>
            </w:pPr>
            <w:r w:rsidRPr="00A4756F">
              <w:rPr>
                <w:rFonts w:ascii="Arial" w:hAnsi="Arial" w:cs="Arial"/>
                <w:color w:val="333333"/>
                <w:sz w:val="22"/>
              </w:rPr>
              <w:t>MZI Resources Ltd</w:t>
            </w:r>
          </w:p>
        </w:tc>
        <w:tc>
          <w:tcPr>
            <w:tcW w:w="1417" w:type="dxa"/>
            <w:gridSpan w:val="2"/>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19/09/2014</w:t>
            </w:r>
          </w:p>
        </w:tc>
      </w:tr>
      <w:tr w:rsidR="00FB49A2" w:rsidRPr="00A4756F" w:rsidTr="00BB435E">
        <w:trPr>
          <w:cantSplit/>
        </w:trPr>
        <w:tc>
          <w:tcPr>
            <w:tcW w:w="931" w:type="dxa"/>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1529</w:t>
            </w:r>
          </w:p>
        </w:tc>
        <w:tc>
          <w:tcPr>
            <w:tcW w:w="4536" w:type="dxa"/>
            <w:shd w:val="clear" w:color="auto" w:fill="E0DCCB" w:themeFill="accent4" w:themeFillTint="66"/>
          </w:tcPr>
          <w:p w:rsidR="00FB49A2" w:rsidRPr="00A4756F" w:rsidRDefault="00FB49A2" w:rsidP="00A4756F">
            <w:pPr>
              <w:pStyle w:val="epatitle"/>
              <w:spacing w:before="0" w:after="0" w:line="276" w:lineRule="auto"/>
              <w:ind w:left="0"/>
              <w:jc w:val="left"/>
              <w:rPr>
                <w:rFonts w:ascii="Arial" w:hAnsi="Arial" w:cs="Arial"/>
                <w:color w:val="auto"/>
                <w:sz w:val="22"/>
                <w:szCs w:val="22"/>
              </w:rPr>
            </w:pPr>
            <w:r w:rsidRPr="00A4756F">
              <w:rPr>
                <w:rFonts w:ascii="Arial" w:hAnsi="Arial" w:cs="Arial"/>
                <w:color w:val="auto"/>
                <w:sz w:val="22"/>
                <w:szCs w:val="22"/>
              </w:rPr>
              <w:t xml:space="preserve">Albany Iron Ore Project - Southdown Magnetite proposal – inquiry under s46 of the </w:t>
            </w:r>
            <w:r w:rsidRPr="00A4756F">
              <w:rPr>
                <w:rFonts w:ascii="Arial" w:hAnsi="Arial" w:cs="Arial"/>
                <w:i/>
                <w:color w:val="auto"/>
                <w:sz w:val="22"/>
                <w:szCs w:val="22"/>
              </w:rPr>
              <w:t>Environmental Protection Act 1986</w:t>
            </w:r>
            <w:r w:rsidRPr="00A4756F">
              <w:rPr>
                <w:rFonts w:ascii="Arial" w:hAnsi="Arial" w:cs="Arial"/>
                <w:color w:val="auto"/>
                <w:sz w:val="22"/>
                <w:szCs w:val="22"/>
              </w:rPr>
              <w:t xml:space="preserve"> to amend Ministerial Statement 810</w:t>
            </w:r>
          </w:p>
        </w:tc>
        <w:tc>
          <w:tcPr>
            <w:tcW w:w="2835" w:type="dxa"/>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color w:val="333333"/>
                <w:sz w:val="22"/>
              </w:rPr>
              <w:t>Grange Resources Limited</w:t>
            </w:r>
          </w:p>
        </w:tc>
        <w:tc>
          <w:tcPr>
            <w:tcW w:w="1417" w:type="dxa"/>
            <w:gridSpan w:val="2"/>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19/09/2014</w:t>
            </w:r>
          </w:p>
        </w:tc>
      </w:tr>
      <w:tr w:rsidR="00FB49A2" w:rsidRPr="00A4756F" w:rsidTr="00BB435E">
        <w:trPr>
          <w:cantSplit/>
        </w:trPr>
        <w:tc>
          <w:tcPr>
            <w:tcW w:w="931" w:type="dxa"/>
            <w:tcBorders>
              <w:bottom w:val="single" w:sz="4" w:space="0" w:color="B2A97E" w:themeColor="accent4"/>
            </w:tcBorders>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1534</w:t>
            </w:r>
          </w:p>
        </w:tc>
        <w:tc>
          <w:tcPr>
            <w:tcW w:w="4536" w:type="dxa"/>
            <w:tcBorders>
              <w:bottom w:val="single" w:sz="4" w:space="0" w:color="B2A97E" w:themeColor="accent4"/>
            </w:tcBorders>
            <w:shd w:val="clear" w:color="auto" w:fill="auto"/>
          </w:tcPr>
          <w:p w:rsidR="00FB49A2" w:rsidRPr="00A4756F" w:rsidRDefault="00FB49A2" w:rsidP="00A4756F">
            <w:pPr>
              <w:pStyle w:val="epatitle"/>
              <w:spacing w:before="0" w:after="0" w:line="276" w:lineRule="auto"/>
              <w:ind w:left="0"/>
              <w:jc w:val="left"/>
              <w:rPr>
                <w:rFonts w:ascii="Arial" w:hAnsi="Arial" w:cs="Arial"/>
                <w:color w:val="auto"/>
                <w:sz w:val="22"/>
                <w:szCs w:val="22"/>
              </w:rPr>
            </w:pPr>
            <w:proofErr w:type="spellStart"/>
            <w:r w:rsidRPr="00A4756F">
              <w:rPr>
                <w:rFonts w:ascii="Arial" w:hAnsi="Arial" w:cs="Arial"/>
                <w:color w:val="auto"/>
                <w:sz w:val="22"/>
                <w:szCs w:val="22"/>
              </w:rPr>
              <w:t>Kemerton</w:t>
            </w:r>
            <w:proofErr w:type="spellEnd"/>
            <w:r w:rsidRPr="00A4756F">
              <w:rPr>
                <w:rFonts w:ascii="Arial" w:hAnsi="Arial" w:cs="Arial"/>
                <w:color w:val="auto"/>
                <w:sz w:val="22"/>
                <w:szCs w:val="22"/>
              </w:rPr>
              <w:t xml:space="preserve"> silica sand mining proposal, additional mining areas and transfer of land for conservation - inquiry under s46 of the </w:t>
            </w:r>
            <w:r w:rsidRPr="00A4756F">
              <w:rPr>
                <w:rFonts w:ascii="Arial" w:hAnsi="Arial" w:cs="Arial"/>
                <w:i/>
                <w:color w:val="auto"/>
                <w:sz w:val="22"/>
                <w:szCs w:val="22"/>
                <w:lang w:eastAsia="en-US"/>
              </w:rPr>
              <w:t>Environmental Protection Act 1986</w:t>
            </w:r>
            <w:r w:rsidRPr="00A4756F">
              <w:rPr>
                <w:rFonts w:ascii="Arial" w:hAnsi="Arial" w:cs="Arial"/>
                <w:color w:val="auto"/>
                <w:sz w:val="22"/>
                <w:szCs w:val="22"/>
              </w:rPr>
              <w:t xml:space="preserve"> to amend Ministerial Statement 703</w:t>
            </w:r>
          </w:p>
        </w:tc>
        <w:tc>
          <w:tcPr>
            <w:tcW w:w="2835" w:type="dxa"/>
            <w:tcBorders>
              <w:bottom w:val="single" w:sz="4" w:space="0" w:color="B2A97E" w:themeColor="accent4"/>
            </w:tcBorders>
          </w:tcPr>
          <w:p w:rsidR="00FB49A2" w:rsidRPr="00A4756F" w:rsidRDefault="00FB49A2" w:rsidP="00A4756F">
            <w:pPr>
              <w:spacing w:after="0"/>
              <w:rPr>
                <w:rFonts w:ascii="Arial" w:hAnsi="Arial" w:cs="Arial"/>
                <w:sz w:val="22"/>
              </w:rPr>
            </w:pPr>
            <w:proofErr w:type="spellStart"/>
            <w:r w:rsidRPr="00A4756F">
              <w:rPr>
                <w:rFonts w:ascii="Arial" w:hAnsi="Arial" w:cs="Arial"/>
                <w:color w:val="333333"/>
                <w:sz w:val="22"/>
              </w:rPr>
              <w:t>Kemerton</w:t>
            </w:r>
            <w:proofErr w:type="spellEnd"/>
            <w:r w:rsidRPr="00A4756F">
              <w:rPr>
                <w:rFonts w:ascii="Arial" w:hAnsi="Arial" w:cs="Arial"/>
                <w:color w:val="333333"/>
                <w:sz w:val="22"/>
              </w:rPr>
              <w:t xml:space="preserve"> Silica Sand Pty Ltd</w:t>
            </w:r>
          </w:p>
        </w:tc>
        <w:tc>
          <w:tcPr>
            <w:tcW w:w="1417" w:type="dxa"/>
            <w:gridSpan w:val="2"/>
            <w:tcBorders>
              <w:bottom w:val="single" w:sz="4" w:space="0" w:color="B2A97E" w:themeColor="accent4"/>
            </w:tcBorders>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22/12/2014</w:t>
            </w:r>
          </w:p>
        </w:tc>
      </w:tr>
      <w:tr w:rsidR="00BB435E" w:rsidRPr="00A4756F" w:rsidTr="00BB435E">
        <w:trPr>
          <w:cantSplit/>
        </w:trPr>
        <w:tc>
          <w:tcPr>
            <w:tcW w:w="931" w:type="dxa"/>
            <w:tcBorders>
              <w:top w:val="single" w:sz="4" w:space="0" w:color="B2A97E" w:themeColor="accent4"/>
            </w:tcBorders>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lastRenderedPageBreak/>
              <w:t>1535</w:t>
            </w:r>
          </w:p>
        </w:tc>
        <w:tc>
          <w:tcPr>
            <w:tcW w:w="4536" w:type="dxa"/>
            <w:tcBorders>
              <w:top w:val="single" w:sz="4" w:space="0" w:color="B2A97E" w:themeColor="accent4"/>
            </w:tcBorders>
            <w:shd w:val="clear" w:color="auto" w:fill="auto"/>
          </w:tcPr>
          <w:p w:rsidR="00FB49A2" w:rsidRPr="00A4756F" w:rsidRDefault="00FB49A2" w:rsidP="00A4756F">
            <w:pPr>
              <w:pStyle w:val="epatitle"/>
              <w:spacing w:before="0" w:after="0" w:line="276" w:lineRule="auto"/>
              <w:ind w:left="0"/>
              <w:jc w:val="left"/>
              <w:rPr>
                <w:rFonts w:ascii="Arial" w:hAnsi="Arial" w:cs="Arial"/>
                <w:color w:val="auto"/>
                <w:sz w:val="22"/>
                <w:szCs w:val="22"/>
              </w:rPr>
            </w:pPr>
            <w:r w:rsidRPr="00A4756F">
              <w:rPr>
                <w:rFonts w:ascii="Arial" w:hAnsi="Arial" w:cs="Arial"/>
                <w:color w:val="auto"/>
                <w:sz w:val="22"/>
                <w:szCs w:val="22"/>
              </w:rPr>
              <w:t xml:space="preserve">Subdivision of Lot 21 Alumina Road, East Rockingham - inquiry under </w:t>
            </w:r>
            <w:proofErr w:type="gramStart"/>
            <w:r w:rsidRPr="00A4756F">
              <w:rPr>
                <w:rFonts w:ascii="Arial" w:hAnsi="Arial" w:cs="Arial"/>
                <w:color w:val="auto"/>
                <w:sz w:val="22"/>
                <w:szCs w:val="22"/>
              </w:rPr>
              <w:t>s46(</w:t>
            </w:r>
            <w:proofErr w:type="gramEnd"/>
            <w:r w:rsidRPr="00A4756F">
              <w:rPr>
                <w:rFonts w:ascii="Arial" w:hAnsi="Arial" w:cs="Arial"/>
                <w:color w:val="auto"/>
                <w:sz w:val="22"/>
                <w:szCs w:val="22"/>
              </w:rPr>
              <w:t xml:space="preserve">4) of the </w:t>
            </w:r>
            <w:r w:rsidRPr="00A4756F">
              <w:rPr>
                <w:rFonts w:ascii="Arial" w:hAnsi="Arial" w:cs="Arial"/>
                <w:i/>
                <w:color w:val="auto"/>
                <w:sz w:val="22"/>
                <w:szCs w:val="22"/>
              </w:rPr>
              <w:t>Environmental Protection Act 1986</w:t>
            </w:r>
            <w:r w:rsidRPr="00A4756F">
              <w:rPr>
                <w:rFonts w:ascii="Arial" w:hAnsi="Arial" w:cs="Arial"/>
                <w:color w:val="auto"/>
                <w:sz w:val="22"/>
                <w:szCs w:val="22"/>
              </w:rPr>
              <w:t xml:space="preserve"> into whether or not the conditions relating to the derived proposal should be changed.</w:t>
            </w:r>
          </w:p>
        </w:tc>
        <w:tc>
          <w:tcPr>
            <w:tcW w:w="2835" w:type="dxa"/>
            <w:tcBorders>
              <w:top w:val="single" w:sz="4" w:space="0" w:color="B2A97E" w:themeColor="accent4"/>
            </w:tcBorders>
            <w:shd w:val="clear" w:color="auto" w:fill="auto"/>
          </w:tcPr>
          <w:p w:rsidR="00FB49A2" w:rsidRPr="00A4756F" w:rsidRDefault="00FB49A2" w:rsidP="00A4756F">
            <w:pPr>
              <w:pStyle w:val="epatitle"/>
              <w:spacing w:before="0" w:after="0" w:line="276" w:lineRule="auto"/>
              <w:ind w:left="0"/>
              <w:jc w:val="left"/>
              <w:rPr>
                <w:rFonts w:ascii="Arial" w:hAnsi="Arial" w:cs="Arial"/>
                <w:color w:val="auto"/>
                <w:sz w:val="22"/>
                <w:szCs w:val="22"/>
              </w:rPr>
            </w:pPr>
          </w:p>
          <w:p w:rsidR="00FB49A2" w:rsidRPr="00A4756F" w:rsidRDefault="00FB49A2" w:rsidP="00A4756F">
            <w:pPr>
              <w:pStyle w:val="epatitle"/>
              <w:spacing w:before="0" w:after="0" w:line="276" w:lineRule="auto"/>
              <w:ind w:left="0"/>
              <w:jc w:val="left"/>
              <w:rPr>
                <w:rFonts w:ascii="Arial" w:hAnsi="Arial" w:cs="Arial"/>
                <w:color w:val="auto"/>
                <w:sz w:val="22"/>
                <w:szCs w:val="22"/>
              </w:rPr>
            </w:pPr>
            <w:r w:rsidRPr="00A4756F">
              <w:rPr>
                <w:rFonts w:ascii="Arial" w:hAnsi="Arial" w:cs="Arial"/>
                <w:color w:val="333333"/>
                <w:sz w:val="22"/>
                <w:szCs w:val="22"/>
              </w:rPr>
              <w:t xml:space="preserve">Western Australian Land Authority trading as </w:t>
            </w:r>
            <w:proofErr w:type="spellStart"/>
            <w:r w:rsidRPr="00A4756F">
              <w:rPr>
                <w:rFonts w:ascii="Arial" w:hAnsi="Arial" w:cs="Arial"/>
                <w:color w:val="333333"/>
                <w:sz w:val="22"/>
                <w:szCs w:val="22"/>
              </w:rPr>
              <w:t>LandCorp</w:t>
            </w:r>
            <w:proofErr w:type="spellEnd"/>
          </w:p>
        </w:tc>
        <w:tc>
          <w:tcPr>
            <w:tcW w:w="1417" w:type="dxa"/>
            <w:gridSpan w:val="2"/>
            <w:tcBorders>
              <w:top w:val="single" w:sz="4" w:space="0" w:color="B2A97E" w:themeColor="accent4"/>
            </w:tcBorders>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22/12/2014</w:t>
            </w:r>
          </w:p>
        </w:tc>
      </w:tr>
      <w:tr w:rsidR="00FB49A2" w:rsidRPr="00A4756F" w:rsidTr="00BB435E">
        <w:trPr>
          <w:cantSplit/>
        </w:trPr>
        <w:tc>
          <w:tcPr>
            <w:tcW w:w="931" w:type="dxa"/>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1536</w:t>
            </w:r>
          </w:p>
        </w:tc>
        <w:tc>
          <w:tcPr>
            <w:tcW w:w="4536" w:type="dxa"/>
            <w:shd w:val="clear" w:color="auto" w:fill="E0DCCB" w:themeFill="accent4" w:themeFillTint="66"/>
          </w:tcPr>
          <w:p w:rsidR="00FB49A2" w:rsidRPr="00A4756F" w:rsidRDefault="00FB49A2" w:rsidP="00A4756F">
            <w:pPr>
              <w:spacing w:after="0"/>
              <w:rPr>
                <w:rFonts w:ascii="Arial" w:hAnsi="Arial" w:cs="Arial"/>
                <w:sz w:val="22"/>
              </w:rPr>
            </w:pPr>
            <w:proofErr w:type="spellStart"/>
            <w:r w:rsidRPr="00A4756F">
              <w:rPr>
                <w:rFonts w:ascii="Arial" w:hAnsi="Arial" w:cs="Arial"/>
                <w:sz w:val="22"/>
              </w:rPr>
              <w:t>Tutunup</w:t>
            </w:r>
            <w:proofErr w:type="spellEnd"/>
            <w:r w:rsidRPr="00A4756F">
              <w:rPr>
                <w:rFonts w:ascii="Arial" w:hAnsi="Arial" w:cs="Arial"/>
                <w:sz w:val="22"/>
              </w:rPr>
              <w:t xml:space="preserve"> South Mineral Sands Project – inquiry under s46 of the </w:t>
            </w:r>
            <w:r w:rsidRPr="00A4756F">
              <w:rPr>
                <w:rFonts w:ascii="Arial" w:hAnsi="Arial" w:cs="Arial"/>
                <w:i/>
                <w:sz w:val="22"/>
              </w:rPr>
              <w:t>Environmental Protection Act 1986</w:t>
            </w:r>
            <w:r w:rsidRPr="00A4756F">
              <w:rPr>
                <w:rFonts w:ascii="Arial" w:hAnsi="Arial" w:cs="Arial"/>
                <w:sz w:val="22"/>
              </w:rPr>
              <w:t xml:space="preserve"> to amend Ministerial Statement 799</w:t>
            </w:r>
          </w:p>
        </w:tc>
        <w:tc>
          <w:tcPr>
            <w:tcW w:w="2835" w:type="dxa"/>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color w:val="333333"/>
                <w:sz w:val="22"/>
              </w:rPr>
              <w:t>Iluka Resources Limited</w:t>
            </w:r>
          </w:p>
        </w:tc>
        <w:tc>
          <w:tcPr>
            <w:tcW w:w="1417" w:type="dxa"/>
            <w:gridSpan w:val="2"/>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5/01/2015</w:t>
            </w:r>
          </w:p>
        </w:tc>
      </w:tr>
      <w:tr w:rsidR="00BB435E" w:rsidRPr="00A4756F" w:rsidTr="00BB435E">
        <w:trPr>
          <w:cantSplit/>
        </w:trPr>
        <w:tc>
          <w:tcPr>
            <w:tcW w:w="931" w:type="dxa"/>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1542</w:t>
            </w:r>
          </w:p>
        </w:tc>
        <w:tc>
          <w:tcPr>
            <w:tcW w:w="4536" w:type="dxa"/>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Albany Port Expansion Project - inquiry under s46 of the Environmental Protection Act 1986 to amend Ministerial Statement 846</w:t>
            </w:r>
          </w:p>
        </w:tc>
        <w:tc>
          <w:tcPr>
            <w:tcW w:w="2835" w:type="dxa"/>
            <w:shd w:val="clear" w:color="auto" w:fill="auto"/>
          </w:tcPr>
          <w:p w:rsidR="00FB49A2" w:rsidRPr="00A4756F" w:rsidRDefault="00FB49A2" w:rsidP="00A4756F">
            <w:pPr>
              <w:spacing w:after="0"/>
              <w:rPr>
                <w:rFonts w:ascii="Arial" w:hAnsi="Arial" w:cs="Arial"/>
                <w:sz w:val="22"/>
              </w:rPr>
            </w:pPr>
            <w:r w:rsidRPr="00A4756F">
              <w:rPr>
                <w:rFonts w:ascii="Arial" w:hAnsi="Arial" w:cs="Arial"/>
                <w:color w:val="333333"/>
                <w:sz w:val="22"/>
              </w:rPr>
              <w:t>Southern Ports Authority</w:t>
            </w:r>
          </w:p>
        </w:tc>
        <w:tc>
          <w:tcPr>
            <w:tcW w:w="1417" w:type="dxa"/>
            <w:gridSpan w:val="2"/>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23/3/2015</w:t>
            </w:r>
          </w:p>
        </w:tc>
      </w:tr>
      <w:tr w:rsidR="00FB49A2" w:rsidRPr="00A4756F" w:rsidTr="00BB435E">
        <w:trPr>
          <w:cantSplit/>
        </w:trPr>
        <w:tc>
          <w:tcPr>
            <w:tcW w:w="931" w:type="dxa"/>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1543</w:t>
            </w:r>
          </w:p>
        </w:tc>
        <w:tc>
          <w:tcPr>
            <w:tcW w:w="4536" w:type="dxa"/>
            <w:shd w:val="clear" w:color="auto" w:fill="E0DCCB" w:themeFill="accent4" w:themeFillTint="66"/>
          </w:tcPr>
          <w:p w:rsidR="00FB49A2" w:rsidRPr="00A4756F" w:rsidRDefault="00FB49A2" w:rsidP="00A4756F">
            <w:pPr>
              <w:spacing w:after="0"/>
              <w:rPr>
                <w:rFonts w:ascii="Arial" w:hAnsi="Arial" w:cs="Arial"/>
                <w:sz w:val="22"/>
              </w:rPr>
            </w:pPr>
            <w:proofErr w:type="spellStart"/>
            <w:r w:rsidRPr="00A4756F">
              <w:rPr>
                <w:rFonts w:ascii="Arial" w:hAnsi="Arial" w:cs="Arial"/>
                <w:sz w:val="22"/>
              </w:rPr>
              <w:t>Bluewaters</w:t>
            </w:r>
            <w:proofErr w:type="spellEnd"/>
            <w:r w:rsidRPr="00A4756F">
              <w:rPr>
                <w:rFonts w:ascii="Arial" w:hAnsi="Arial" w:cs="Arial"/>
                <w:sz w:val="22"/>
              </w:rPr>
              <w:t xml:space="preserve"> Power Station Expansion - Phase III and Phase IV Proposal - inquiry under s46 of the Environmental Protection Act 1986 to amend Ministerial Statement 837</w:t>
            </w:r>
          </w:p>
        </w:tc>
        <w:tc>
          <w:tcPr>
            <w:tcW w:w="2835" w:type="dxa"/>
            <w:shd w:val="clear" w:color="auto" w:fill="E0DCCB" w:themeFill="accent4" w:themeFillTint="66"/>
          </w:tcPr>
          <w:p w:rsidR="00FB49A2" w:rsidRPr="00A4756F" w:rsidRDefault="00FB49A2" w:rsidP="00A4756F">
            <w:pPr>
              <w:spacing w:after="0"/>
              <w:rPr>
                <w:rFonts w:ascii="Arial" w:hAnsi="Arial" w:cs="Arial"/>
                <w:sz w:val="22"/>
              </w:rPr>
            </w:pPr>
            <w:proofErr w:type="spellStart"/>
            <w:r w:rsidRPr="00A4756F">
              <w:rPr>
                <w:rFonts w:ascii="Arial" w:hAnsi="Arial" w:cs="Arial"/>
                <w:color w:val="333333"/>
                <w:sz w:val="22"/>
              </w:rPr>
              <w:t>Bluewaters</w:t>
            </w:r>
            <w:proofErr w:type="spellEnd"/>
            <w:r w:rsidRPr="00A4756F">
              <w:rPr>
                <w:rFonts w:ascii="Arial" w:hAnsi="Arial" w:cs="Arial"/>
                <w:color w:val="333333"/>
                <w:sz w:val="22"/>
              </w:rPr>
              <w:t xml:space="preserve"> Power 3 Pty Ltd</w:t>
            </w:r>
          </w:p>
        </w:tc>
        <w:tc>
          <w:tcPr>
            <w:tcW w:w="1417" w:type="dxa"/>
            <w:gridSpan w:val="2"/>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23/3/2015</w:t>
            </w:r>
          </w:p>
        </w:tc>
      </w:tr>
      <w:tr w:rsidR="00BB435E" w:rsidRPr="00A4756F" w:rsidTr="00BB435E">
        <w:trPr>
          <w:cantSplit/>
        </w:trPr>
        <w:tc>
          <w:tcPr>
            <w:tcW w:w="931" w:type="dxa"/>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1545</w:t>
            </w:r>
          </w:p>
        </w:tc>
        <w:tc>
          <w:tcPr>
            <w:tcW w:w="4536" w:type="dxa"/>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 xml:space="preserve">Heavy Mineral Sands Mine, </w:t>
            </w:r>
            <w:proofErr w:type="spellStart"/>
            <w:r w:rsidRPr="00A4756F">
              <w:rPr>
                <w:rFonts w:ascii="Arial" w:hAnsi="Arial" w:cs="Arial"/>
                <w:sz w:val="22"/>
              </w:rPr>
              <w:t>Beenup,Shire</w:t>
            </w:r>
            <w:proofErr w:type="spellEnd"/>
            <w:r w:rsidRPr="00A4756F">
              <w:rPr>
                <w:rFonts w:ascii="Arial" w:hAnsi="Arial" w:cs="Arial"/>
                <w:sz w:val="22"/>
              </w:rPr>
              <w:t xml:space="preserve"> of Augusta – Margaret River - inquiry under s46 of the Environmental Protection Act 1986 to amend Ministerial Statement 434</w:t>
            </w:r>
          </w:p>
        </w:tc>
        <w:tc>
          <w:tcPr>
            <w:tcW w:w="2835" w:type="dxa"/>
            <w:shd w:val="clear" w:color="auto" w:fill="auto"/>
          </w:tcPr>
          <w:p w:rsidR="00FB49A2" w:rsidRPr="00A4756F" w:rsidRDefault="00FB49A2" w:rsidP="00A4756F">
            <w:pPr>
              <w:spacing w:after="0"/>
              <w:rPr>
                <w:rFonts w:ascii="Arial" w:hAnsi="Arial" w:cs="Arial"/>
                <w:sz w:val="22"/>
              </w:rPr>
            </w:pPr>
            <w:r w:rsidRPr="00A4756F">
              <w:rPr>
                <w:rFonts w:ascii="Arial" w:hAnsi="Arial" w:cs="Arial"/>
                <w:color w:val="333333"/>
                <w:sz w:val="22"/>
              </w:rPr>
              <w:t>BHP Titanium Minerals Pty Ltd</w:t>
            </w:r>
          </w:p>
        </w:tc>
        <w:tc>
          <w:tcPr>
            <w:tcW w:w="1417" w:type="dxa"/>
            <w:gridSpan w:val="2"/>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15/4/2015</w:t>
            </w:r>
          </w:p>
        </w:tc>
      </w:tr>
      <w:tr w:rsidR="00FB49A2" w:rsidRPr="00A4756F" w:rsidTr="00BB435E">
        <w:trPr>
          <w:cantSplit/>
        </w:trPr>
        <w:tc>
          <w:tcPr>
            <w:tcW w:w="931" w:type="dxa"/>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1546</w:t>
            </w:r>
          </w:p>
        </w:tc>
        <w:tc>
          <w:tcPr>
            <w:tcW w:w="4536" w:type="dxa"/>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Busselton Regional Aerodrome - inquiry under s46 of the Environmental Protection Act 1986 to amend Ministerial Statement 901</w:t>
            </w:r>
          </w:p>
        </w:tc>
        <w:tc>
          <w:tcPr>
            <w:tcW w:w="2835" w:type="dxa"/>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color w:val="333333"/>
                <w:sz w:val="22"/>
              </w:rPr>
              <w:t>City of Busselton</w:t>
            </w:r>
          </w:p>
        </w:tc>
        <w:tc>
          <w:tcPr>
            <w:tcW w:w="1417" w:type="dxa"/>
            <w:gridSpan w:val="2"/>
            <w:shd w:val="clear" w:color="auto" w:fill="E0DCCB" w:themeFill="accent4" w:themeFillTint="66"/>
          </w:tcPr>
          <w:p w:rsidR="00FB49A2" w:rsidRPr="00A4756F" w:rsidRDefault="00FB49A2" w:rsidP="00A4756F">
            <w:pPr>
              <w:spacing w:after="0"/>
              <w:rPr>
                <w:rFonts w:ascii="Arial" w:hAnsi="Arial" w:cs="Arial"/>
                <w:sz w:val="22"/>
              </w:rPr>
            </w:pPr>
            <w:r w:rsidRPr="00A4756F">
              <w:rPr>
                <w:rFonts w:ascii="Arial" w:hAnsi="Arial" w:cs="Arial"/>
                <w:sz w:val="22"/>
              </w:rPr>
              <w:t>17/4/2015</w:t>
            </w:r>
          </w:p>
        </w:tc>
      </w:tr>
      <w:tr w:rsidR="00A4756F" w:rsidRPr="00A4756F" w:rsidTr="00BB435E">
        <w:trPr>
          <w:cantSplit/>
        </w:trPr>
        <w:tc>
          <w:tcPr>
            <w:tcW w:w="931" w:type="dxa"/>
            <w:tcBorders>
              <w:bottom w:val="single" w:sz="4" w:space="0" w:color="B2A97E" w:themeColor="accent4"/>
            </w:tcBorders>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1550</w:t>
            </w:r>
          </w:p>
        </w:tc>
        <w:tc>
          <w:tcPr>
            <w:tcW w:w="4536" w:type="dxa"/>
            <w:tcBorders>
              <w:bottom w:val="single" w:sz="4" w:space="0" w:color="B2A97E" w:themeColor="accent4"/>
            </w:tcBorders>
            <w:shd w:val="clear" w:color="auto" w:fill="auto"/>
          </w:tcPr>
          <w:p w:rsidR="00FB49A2" w:rsidRPr="00A4756F" w:rsidRDefault="00FB49A2" w:rsidP="00A4756F">
            <w:pPr>
              <w:pStyle w:val="epatitle"/>
              <w:spacing w:before="0" w:after="0" w:line="276" w:lineRule="auto"/>
              <w:ind w:left="0"/>
              <w:jc w:val="left"/>
              <w:rPr>
                <w:rFonts w:ascii="Arial" w:hAnsi="Arial" w:cs="Arial"/>
                <w:color w:val="4D4D4F" w:themeColor="text1"/>
                <w:sz w:val="22"/>
                <w:szCs w:val="22"/>
              </w:rPr>
            </w:pPr>
            <w:proofErr w:type="spellStart"/>
            <w:r w:rsidRPr="00A4756F">
              <w:rPr>
                <w:rFonts w:ascii="Arial" w:hAnsi="Arial" w:cs="Arial"/>
                <w:color w:val="4D4D4F" w:themeColor="text1"/>
                <w:sz w:val="22"/>
                <w:szCs w:val="22"/>
              </w:rPr>
              <w:t>Orebody</w:t>
            </w:r>
            <w:proofErr w:type="spellEnd"/>
            <w:r w:rsidRPr="00A4756F">
              <w:rPr>
                <w:rFonts w:ascii="Arial" w:hAnsi="Arial" w:cs="Arial"/>
                <w:color w:val="4D4D4F" w:themeColor="text1"/>
                <w:sz w:val="22"/>
                <w:szCs w:val="22"/>
              </w:rPr>
              <w:t xml:space="preserve"> 18 Iron Ore Mine - inquiry under s46 of the </w:t>
            </w:r>
            <w:r w:rsidRPr="00A4756F">
              <w:rPr>
                <w:rFonts w:ascii="Arial" w:hAnsi="Arial" w:cs="Arial"/>
                <w:i/>
                <w:color w:val="4D4D4F" w:themeColor="text1"/>
                <w:sz w:val="22"/>
                <w:szCs w:val="22"/>
              </w:rPr>
              <w:t>Environmental Protection Act 1986</w:t>
            </w:r>
            <w:r w:rsidRPr="00A4756F">
              <w:rPr>
                <w:rFonts w:ascii="Arial" w:hAnsi="Arial" w:cs="Arial"/>
                <w:color w:val="4D4D4F" w:themeColor="text1"/>
                <w:sz w:val="22"/>
                <w:szCs w:val="22"/>
              </w:rPr>
              <w:t xml:space="preserve"> to amend Ministerial Statement 439</w:t>
            </w:r>
          </w:p>
        </w:tc>
        <w:tc>
          <w:tcPr>
            <w:tcW w:w="2835" w:type="dxa"/>
            <w:tcBorders>
              <w:bottom w:val="single" w:sz="4" w:space="0" w:color="B2A97E" w:themeColor="accent4"/>
            </w:tcBorders>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BHP Billiton Iron Ore Pty Ltd</w:t>
            </w:r>
          </w:p>
        </w:tc>
        <w:tc>
          <w:tcPr>
            <w:tcW w:w="1417" w:type="dxa"/>
            <w:gridSpan w:val="2"/>
            <w:tcBorders>
              <w:bottom w:val="single" w:sz="4" w:space="0" w:color="B2A97E" w:themeColor="accent4"/>
            </w:tcBorders>
            <w:shd w:val="clear" w:color="auto" w:fill="auto"/>
          </w:tcPr>
          <w:p w:rsidR="00FB49A2" w:rsidRPr="00A4756F" w:rsidRDefault="00FB49A2" w:rsidP="00A4756F">
            <w:pPr>
              <w:spacing w:after="0"/>
              <w:rPr>
                <w:rFonts w:ascii="Arial" w:hAnsi="Arial" w:cs="Arial"/>
                <w:sz w:val="22"/>
              </w:rPr>
            </w:pPr>
            <w:r w:rsidRPr="00A4756F">
              <w:rPr>
                <w:rFonts w:ascii="Arial" w:hAnsi="Arial" w:cs="Arial"/>
                <w:sz w:val="22"/>
              </w:rPr>
              <w:t>2/7/2015*</w:t>
            </w:r>
          </w:p>
        </w:tc>
      </w:tr>
    </w:tbl>
    <w:p w:rsidR="00FB49A2" w:rsidRPr="00A4756F" w:rsidRDefault="00A4756F" w:rsidP="00A4756F">
      <w:pPr>
        <w:spacing w:before="120" w:after="120"/>
        <w:rPr>
          <w:sz w:val="20"/>
          <w:szCs w:val="20"/>
        </w:rPr>
      </w:pPr>
      <w:r w:rsidRPr="00A4756F">
        <w:rPr>
          <w:sz w:val="20"/>
          <w:szCs w:val="20"/>
        </w:rPr>
        <w:t>*</w:t>
      </w:r>
      <w:r w:rsidR="00FB49A2" w:rsidRPr="00A4756F">
        <w:rPr>
          <w:sz w:val="20"/>
          <w:szCs w:val="20"/>
        </w:rPr>
        <w:t>Rep 1550 transmitted to the Minister for Environment on 29 June 2015</w:t>
      </w:r>
    </w:p>
    <w:p w:rsidR="00FB49A2" w:rsidRDefault="00FB49A2" w:rsidP="00FB49A2"/>
    <w:p w:rsidR="00FB49A2" w:rsidRDefault="00FB49A2" w:rsidP="00FB49A2"/>
    <w:p w:rsidR="00FB49A2" w:rsidRDefault="00FB49A2" w:rsidP="00FB49A2"/>
    <w:p w:rsidR="00BB435E" w:rsidRDefault="00BB435E" w:rsidP="009F75DA">
      <w:r>
        <w:br w:type="page"/>
      </w:r>
    </w:p>
    <w:p w:rsidR="00FB49A2" w:rsidRDefault="00102B8F" w:rsidP="00011DFE">
      <w:pPr>
        <w:pStyle w:val="Heading1"/>
      </w:pPr>
      <w:bookmarkStart w:id="384" w:name="_Toc428279242"/>
      <w:r>
        <w:lastRenderedPageBreak/>
        <w:t xml:space="preserve">Appendix 2 </w:t>
      </w:r>
      <w:r w:rsidR="008C6105">
        <w:t xml:space="preserve">– </w:t>
      </w:r>
      <w:r w:rsidR="00011DFE">
        <w:t>Other EPA and OEPA publications during 2014–15</w:t>
      </w:r>
      <w:bookmarkEnd w:id="384"/>
    </w:p>
    <w:p w:rsidR="00011DFE" w:rsidRDefault="00011DFE" w:rsidP="00011DFE"/>
    <w:p w:rsidR="00011DFE" w:rsidRPr="00B220EE" w:rsidRDefault="00011DFE" w:rsidP="00011DFE">
      <w:pPr>
        <w:pStyle w:val="Financialsheading1"/>
      </w:pPr>
      <w:bookmarkStart w:id="385" w:name="_Toc428271012"/>
      <w:bookmarkStart w:id="386" w:name="_Toc428279243"/>
      <w:r>
        <w:t>A</w:t>
      </w:r>
      <w:r w:rsidRPr="00B220EE">
        <w:t xml:space="preserve">dvice </w:t>
      </w:r>
      <w:r>
        <w:t xml:space="preserve">to the Minister for Environment </w:t>
      </w:r>
      <w:r w:rsidRPr="00B220EE">
        <w:t xml:space="preserve">under section 16(e) of the </w:t>
      </w:r>
      <w:r w:rsidRPr="00011DFE">
        <w:rPr>
          <w:i/>
        </w:rPr>
        <w:t>Environmental Protection Act 1986</w:t>
      </w:r>
      <w:bookmarkEnd w:id="385"/>
      <w:bookmarkEnd w:id="386"/>
    </w:p>
    <w:p w:rsidR="00011DFE" w:rsidRDefault="00011DFE" w:rsidP="00011DFE">
      <w:r w:rsidRPr="002150B2">
        <w:rPr>
          <w:i/>
        </w:rPr>
        <w:t>Cumulative environmental impacts of development in the Pilbara region</w:t>
      </w:r>
      <w:r w:rsidRPr="00B220EE">
        <w:t xml:space="preserve"> </w:t>
      </w:r>
      <w:r>
        <w:t>(</w:t>
      </w:r>
      <w:r w:rsidRPr="00B220EE">
        <w:t>August 2014</w:t>
      </w:r>
      <w:r>
        <w:t>)</w:t>
      </w:r>
    </w:p>
    <w:p w:rsidR="00011DFE" w:rsidRDefault="00011DFE" w:rsidP="00011DFE">
      <w:pPr>
        <w:pStyle w:val="Financialsheading1"/>
      </w:pPr>
      <w:bookmarkStart w:id="387" w:name="_Toc428271013"/>
      <w:bookmarkStart w:id="388" w:name="_Toc428279244"/>
      <w:r>
        <w:t>Environmental assessment guidelines</w:t>
      </w:r>
      <w:r w:rsidR="002150B2">
        <w:t xml:space="preserve"> (EAGs)</w:t>
      </w:r>
      <w:bookmarkEnd w:id="387"/>
      <w:bookmarkEnd w:id="388"/>
    </w:p>
    <w:p w:rsidR="00011DFE" w:rsidRDefault="00011DFE" w:rsidP="00011DFE">
      <w:r w:rsidRPr="002150B2">
        <w:rPr>
          <w:i/>
        </w:rPr>
        <w:t>Consideration of environmen</w:t>
      </w:r>
      <w:r w:rsidR="002150B2" w:rsidRPr="002150B2">
        <w:rPr>
          <w:i/>
        </w:rPr>
        <w:t>tal impacts from noise</w:t>
      </w:r>
      <w:r w:rsidR="002150B2">
        <w:t xml:space="preserve"> (EAG 13) (</w:t>
      </w:r>
      <w:r>
        <w:t>September 2014</w:t>
      </w:r>
      <w:r w:rsidR="002150B2">
        <w:t>)</w:t>
      </w:r>
    </w:p>
    <w:p w:rsidR="00011DFE" w:rsidRDefault="00011DFE" w:rsidP="00011DFE">
      <w:r w:rsidRPr="00792CA3">
        <w:rPr>
          <w:i/>
        </w:rPr>
        <w:t xml:space="preserve">Preparation of an API – Category A Environmental Review Document </w:t>
      </w:r>
      <w:r>
        <w:t>(EAG 14)</w:t>
      </w:r>
      <w:r w:rsidR="00792CA3">
        <w:t xml:space="preserve"> (</w:t>
      </w:r>
      <w:r>
        <w:t>January 2015</w:t>
      </w:r>
      <w:r w:rsidR="002150B2">
        <w:t>)</w:t>
      </w:r>
    </w:p>
    <w:p w:rsidR="002150B2" w:rsidRDefault="002150B2" w:rsidP="002150B2">
      <w:r w:rsidRPr="00792CA3">
        <w:rPr>
          <w:i/>
        </w:rPr>
        <w:t xml:space="preserve">Referral of a proposal under s38 of the </w:t>
      </w:r>
      <w:r w:rsidRPr="00792CA3">
        <w:t>Environmental Protection Act 1986</w:t>
      </w:r>
      <w:r>
        <w:t xml:space="preserve"> (EAG 16) (January 2015)</w:t>
      </w:r>
    </w:p>
    <w:p w:rsidR="00011DFE" w:rsidRDefault="00011DFE" w:rsidP="00011DFE">
      <w:r w:rsidRPr="00792CA3">
        <w:rPr>
          <w:i/>
        </w:rPr>
        <w:t>Protecting the Quality of Western Australia’s Marine Environment</w:t>
      </w:r>
      <w:r>
        <w:t xml:space="preserve"> (EAG 15)</w:t>
      </w:r>
      <w:r w:rsidR="00792CA3">
        <w:t xml:space="preserve"> (</w:t>
      </w:r>
      <w:r>
        <w:t>March 2015</w:t>
      </w:r>
      <w:r w:rsidR="00792CA3">
        <w:t>)</w:t>
      </w:r>
    </w:p>
    <w:p w:rsidR="00011DFE" w:rsidRDefault="00011DFE" w:rsidP="00792CA3">
      <w:pPr>
        <w:pStyle w:val="Financialsheading1"/>
      </w:pPr>
      <w:bookmarkStart w:id="389" w:name="_Toc428271014"/>
      <w:bookmarkStart w:id="390" w:name="_Toc428279245"/>
      <w:r>
        <w:t xml:space="preserve">Environmental </w:t>
      </w:r>
      <w:r w:rsidR="002150B2">
        <w:t>p</w:t>
      </w:r>
      <w:r>
        <w:t xml:space="preserve">rotection </w:t>
      </w:r>
      <w:r w:rsidR="002150B2">
        <w:t>b</w:t>
      </w:r>
      <w:r>
        <w:t>ulletins</w:t>
      </w:r>
      <w:r w:rsidR="002150B2">
        <w:t xml:space="preserve"> (EPBs)</w:t>
      </w:r>
      <w:bookmarkEnd w:id="389"/>
      <w:bookmarkEnd w:id="390"/>
    </w:p>
    <w:p w:rsidR="00011DFE" w:rsidRDefault="00011DFE" w:rsidP="00011DFE">
      <w:r>
        <w:t xml:space="preserve">Environmental Protection Bulletin No. 1 - </w:t>
      </w:r>
      <w:r w:rsidRPr="00792CA3">
        <w:rPr>
          <w:i/>
        </w:rPr>
        <w:t xml:space="preserve">Environmental Offsets </w:t>
      </w:r>
      <w:r w:rsidR="00792CA3" w:rsidRPr="00792CA3">
        <w:rPr>
          <w:i/>
        </w:rPr>
        <w:t>–</w:t>
      </w:r>
      <w:r w:rsidRPr="00792CA3">
        <w:rPr>
          <w:i/>
        </w:rPr>
        <w:t xml:space="preserve"> Biodiversity</w:t>
      </w:r>
      <w:r w:rsidR="00792CA3" w:rsidRPr="00792CA3">
        <w:rPr>
          <w:i/>
        </w:rPr>
        <w:t xml:space="preserve"> </w:t>
      </w:r>
      <w:r w:rsidR="00792CA3">
        <w:t>(</w:t>
      </w:r>
      <w:r>
        <w:t>Updated August 2014</w:t>
      </w:r>
      <w:r w:rsidR="00792CA3">
        <w:t>)</w:t>
      </w:r>
    </w:p>
    <w:p w:rsidR="00011DFE" w:rsidRDefault="00011DFE" w:rsidP="00011DFE">
      <w:r>
        <w:t xml:space="preserve">Environmental Protection Bulletin No. 22 - </w:t>
      </w:r>
      <w:r w:rsidRPr="00792CA3">
        <w:rPr>
          <w:i/>
        </w:rPr>
        <w:t>Hydraulic fracturing for onshore natural gas from shale and tight rocks</w:t>
      </w:r>
      <w:r w:rsidR="00792CA3">
        <w:t xml:space="preserve"> (</w:t>
      </w:r>
      <w:r>
        <w:t>December 2014</w:t>
      </w:r>
      <w:r w:rsidR="00792CA3">
        <w:t>)</w:t>
      </w:r>
    </w:p>
    <w:p w:rsidR="002150B2" w:rsidRDefault="002150B2" w:rsidP="002150B2">
      <w:r w:rsidRPr="00792CA3">
        <w:rPr>
          <w:i/>
        </w:rPr>
        <w:t>Joint Guidelines for Preparing Mine Closure Plans</w:t>
      </w:r>
      <w:r>
        <w:t xml:space="preserve"> (Revised May 2015)</w:t>
      </w:r>
    </w:p>
    <w:p w:rsidR="00011DFE" w:rsidRDefault="00011DFE" w:rsidP="00792CA3">
      <w:pPr>
        <w:pStyle w:val="Financialsheading1"/>
      </w:pPr>
      <w:bookmarkStart w:id="391" w:name="_Toc428271015"/>
      <w:bookmarkStart w:id="392" w:name="_Toc428279246"/>
      <w:r>
        <w:t>Technical reports</w:t>
      </w:r>
      <w:bookmarkEnd w:id="391"/>
      <w:bookmarkEnd w:id="392"/>
    </w:p>
    <w:p w:rsidR="00011DFE" w:rsidRPr="00B220EE" w:rsidRDefault="00011DFE" w:rsidP="00011DFE">
      <w:r w:rsidRPr="00BC0E85">
        <w:rPr>
          <w:i/>
        </w:rPr>
        <w:t>Environmental Quality Criteria Reference Document for Cockburn Sound (March 2015)</w:t>
      </w:r>
      <w:r>
        <w:tab/>
        <w:t>March 2015</w:t>
      </w:r>
    </w:p>
    <w:p w:rsidR="00011DFE" w:rsidRDefault="00011DFE" w:rsidP="00011DFE"/>
    <w:p w:rsidR="002150B2" w:rsidRDefault="002150B2" w:rsidP="00011DFE">
      <w:r w:rsidRPr="002150B2">
        <w:rPr>
          <w:i/>
        </w:rPr>
        <w:t>Office of the Environmental Protection Authority Annual Report 2013–2014</w:t>
      </w:r>
      <w:r>
        <w:t>, September 2014</w:t>
      </w:r>
    </w:p>
    <w:p w:rsidR="005557D1" w:rsidRDefault="002150B2" w:rsidP="002150B2">
      <w:r w:rsidRPr="002150B2">
        <w:rPr>
          <w:i/>
        </w:rPr>
        <w:t>Environmental Protection Authority Annual Report 2013–2014</w:t>
      </w:r>
      <w:r>
        <w:t>, October 2014</w:t>
      </w:r>
    </w:p>
    <w:p w:rsidR="005557D1" w:rsidRDefault="005557D1">
      <w:pPr>
        <w:sectPr w:rsidR="005557D1" w:rsidSect="009F2869">
          <w:headerReference w:type="even" r:id="rId73"/>
          <w:headerReference w:type="default" r:id="rId74"/>
          <w:pgSz w:w="11906" w:h="16838"/>
          <w:pgMar w:top="1245" w:right="993" w:bottom="1134" w:left="1440" w:header="568" w:footer="0" w:gutter="0"/>
          <w:cols w:space="709"/>
          <w:docGrid w:linePitch="360"/>
        </w:sectPr>
      </w:pPr>
    </w:p>
    <w:p w:rsidR="005557D1" w:rsidRDefault="005557D1"/>
    <w:p w:rsidR="002150B2" w:rsidRDefault="002150B2" w:rsidP="002150B2"/>
    <w:p w:rsidR="008F6AA1" w:rsidRDefault="008F6AA1" w:rsidP="00011DFE">
      <w:pPr>
        <w:sectPr w:rsidR="008F6AA1" w:rsidSect="009F2869">
          <w:headerReference w:type="default" r:id="rId75"/>
          <w:footerReference w:type="default" r:id="rId76"/>
          <w:pgSz w:w="11906" w:h="16838"/>
          <w:pgMar w:top="1245" w:right="993" w:bottom="1134" w:left="1440" w:header="568" w:footer="0" w:gutter="0"/>
          <w:cols w:space="709"/>
          <w:docGrid w:linePitch="360"/>
        </w:sectPr>
      </w:pPr>
    </w:p>
    <w:p w:rsidR="002150B2" w:rsidRPr="00011DFE" w:rsidRDefault="008F6AA1" w:rsidP="00011DFE">
      <w:r>
        <w:rPr>
          <w:noProof/>
          <w:lang w:eastAsia="en-AU"/>
        </w:rPr>
        <w:lastRenderedPageBreak/>
        <w:drawing>
          <wp:anchor distT="0" distB="0" distL="114300" distR="114300" simplePos="0" relativeHeight="251711488" behindDoc="0" locked="0" layoutInCell="1" allowOverlap="1">
            <wp:simplePos x="0" y="0"/>
            <wp:positionH relativeFrom="column">
              <wp:posOffset>-914400</wp:posOffset>
            </wp:positionH>
            <wp:positionV relativeFrom="paragraph">
              <wp:posOffset>-790575</wp:posOffset>
            </wp:positionV>
            <wp:extent cx="7600950" cy="10750550"/>
            <wp:effectExtent l="0" t="0" r="0" b="0"/>
            <wp:wrapTopAndBottom/>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7600950" cy="10750550"/>
                    </a:xfrm>
                    <a:prstGeom prst="rect">
                      <a:avLst/>
                    </a:prstGeom>
                  </pic:spPr>
                </pic:pic>
              </a:graphicData>
            </a:graphic>
            <wp14:sizeRelH relativeFrom="page">
              <wp14:pctWidth>0</wp14:pctWidth>
            </wp14:sizeRelH>
            <wp14:sizeRelV relativeFrom="page">
              <wp14:pctHeight>0</wp14:pctHeight>
            </wp14:sizeRelV>
          </wp:anchor>
        </w:drawing>
      </w:r>
    </w:p>
    <w:sectPr w:rsidR="002150B2" w:rsidRPr="00011DFE" w:rsidSect="00E2543D">
      <w:footerReference w:type="even" r:id="rId78"/>
      <w:pgSz w:w="11906" w:h="16838"/>
      <w:pgMar w:top="1245" w:right="993" w:bottom="1440" w:left="1440" w:header="568" w:footer="0" w:gutter="0"/>
      <w:cols w:space="709"/>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621C6" w:rsidRDefault="00E621C6" w:rsidP="00795041">
      <w:pPr>
        <w:spacing w:after="0" w:line="240" w:lineRule="auto"/>
      </w:pPr>
      <w:r>
        <w:separator/>
      </w:r>
    </w:p>
    <w:p w:rsidR="00E621C6" w:rsidRDefault="00E621C6"/>
  </w:endnote>
  <w:endnote w:type="continuationSeparator" w:id="0">
    <w:p w:rsidR="00E621C6" w:rsidRDefault="00E621C6" w:rsidP="00795041">
      <w:pPr>
        <w:spacing w:after="0" w:line="240" w:lineRule="auto"/>
      </w:pPr>
      <w:r>
        <w:continuationSeparator/>
      </w:r>
    </w:p>
    <w:p w:rsidR="00E621C6" w:rsidRDefault="00E621C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NeueLT Com 65 Md">
    <w:panose1 w:val="020B0604020202020204"/>
    <w:charset w:val="00"/>
    <w:family w:val="swiss"/>
    <w:pitch w:val="variable"/>
    <w:sig w:usb0="800000AF" w:usb1="10002042" w:usb2="00000000" w:usb3="00000000" w:csb0="0000009B" w:csb1="00000000"/>
  </w:font>
  <w:font w:name="Arial Bold">
    <w:panose1 w:val="020B07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DaxOT-MediumItalic">
    <w:panose1 w:val="020B0604030101020102"/>
    <w:charset w:val="00"/>
    <w:family w:val="swiss"/>
    <w:notTrueType/>
    <w:pitch w:val="variable"/>
    <w:sig w:usb0="800000AF" w:usb1="4000A4FB"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Arial Narrow">
    <w:panose1 w:val="020B0606020202030204"/>
    <w:charset w:val="00"/>
    <w:family w:val="swiss"/>
    <w:pitch w:val="variable"/>
    <w:sig w:usb0="00000287" w:usb1="00000800" w:usb2="00000000" w:usb3="00000000" w:csb0="0000009F" w:csb1="00000000"/>
  </w:font>
  <w:font w:name="Chalet-NewYorkNineteenSixty">
    <w:panose1 w:val="00000000000000000000"/>
    <w:charset w:val="00"/>
    <w:family w:val="modern"/>
    <w:notTrueType/>
    <w:pitch w:val="variable"/>
    <w:sig w:usb0="800002AF" w:usb1="5000004A" w:usb2="00000000" w:usb3="00000000" w:csb0="0000009F" w:csb1="00000000"/>
  </w:font>
  <w:font w:name="HelveticaNeueLT Std Lt">
    <w:panose1 w:val="020B0403020202020204"/>
    <w:charset w:val="00"/>
    <w:family w:val="swiss"/>
    <w:notTrueType/>
    <w:pitch w:val="variable"/>
    <w:sig w:usb0="00000003" w:usb1="00000000" w:usb2="00000000" w:usb3="00000000" w:csb0="00000001" w:csb1="00000000"/>
  </w:font>
  <w:font w:name="HelveticaNeueLT Com 56 It">
    <w:panose1 w:val="020B0604020202090204"/>
    <w:charset w:val="00"/>
    <w:family w:val="swiss"/>
    <w:pitch w:val="variable"/>
    <w:sig w:usb0="800000AF" w:usb1="10002042" w:usb2="00000000" w:usb3="00000000" w:csb0="0000009B" w:csb1="00000000"/>
  </w:font>
  <w:font w:name="inherit">
    <w:altName w:val="Times New Roman"/>
    <w:panose1 w:val="00000000000000000000"/>
    <w:charset w:val="00"/>
    <w:family w:val="roman"/>
    <w:notTrueType/>
    <w:pitch w:val="default"/>
  </w:font>
  <w:font w:name="FranklinGothic-Book">
    <w:panose1 w:val="00000000000000000000"/>
    <w:charset w:val="00"/>
    <w:family w:val="swiss"/>
    <w:notTrueType/>
    <w:pitch w:val="default"/>
    <w:sig w:usb0="00000003" w:usb1="00000000" w:usb2="00000000" w:usb3="00000000" w:csb0="00000001" w:csb1="00000000"/>
  </w:font>
  <w:font w:name="FranklinGothic-BookIt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CellMar>
        <w:top w:w="72" w:type="dxa"/>
        <w:left w:w="115" w:type="dxa"/>
        <w:bottom w:w="72" w:type="dxa"/>
        <w:right w:w="115" w:type="dxa"/>
      </w:tblCellMar>
      <w:tblLook w:val="04A0" w:firstRow="1" w:lastRow="0" w:firstColumn="1" w:lastColumn="0" w:noHBand="0" w:noVBand="1"/>
    </w:tblPr>
    <w:tblGrid>
      <w:gridCol w:w="970"/>
      <w:gridCol w:w="8733"/>
    </w:tblGrid>
    <w:tr w:rsidR="00E621C6" w:rsidTr="00257F9A">
      <w:tc>
        <w:tcPr>
          <w:tcW w:w="500" w:type="pct"/>
          <w:tcBorders>
            <w:top w:val="single" w:sz="4" w:space="0" w:color="732918" w:themeColor="accent2" w:themeShade="BF"/>
          </w:tcBorders>
          <w:shd w:val="clear" w:color="auto" w:fill="B2A97E" w:themeFill="accent4"/>
        </w:tcPr>
        <w:p w:rsidR="00E621C6" w:rsidRPr="00257F9A" w:rsidRDefault="00E621C6">
          <w:pPr>
            <w:pStyle w:val="Footer"/>
            <w:jc w:val="right"/>
            <w:rPr>
              <w:b/>
              <w:bCs/>
              <w:color w:val="FFFFFF" w:themeColor="background1"/>
              <w:sz w:val="24"/>
              <w:szCs w:val="24"/>
            </w:rPr>
          </w:pPr>
          <w:r w:rsidRPr="00257F9A">
            <w:rPr>
              <w:b/>
              <w:color w:val="auto"/>
              <w:sz w:val="24"/>
              <w:szCs w:val="24"/>
            </w:rPr>
            <w:fldChar w:fldCharType="begin"/>
          </w:r>
          <w:r w:rsidRPr="00257F9A">
            <w:rPr>
              <w:b/>
              <w:sz w:val="24"/>
              <w:szCs w:val="24"/>
            </w:rPr>
            <w:instrText xml:space="preserve"> PAGE   \* MERGEFORMAT </w:instrText>
          </w:r>
          <w:r w:rsidRPr="00257F9A">
            <w:rPr>
              <w:b/>
              <w:color w:val="auto"/>
              <w:sz w:val="24"/>
              <w:szCs w:val="24"/>
            </w:rPr>
            <w:fldChar w:fldCharType="separate"/>
          </w:r>
          <w:r w:rsidRPr="007343DA">
            <w:rPr>
              <w:b/>
              <w:noProof/>
              <w:color w:val="FFFFFF" w:themeColor="background1"/>
              <w:sz w:val="24"/>
              <w:szCs w:val="24"/>
            </w:rPr>
            <w:t>2</w:t>
          </w:r>
          <w:r w:rsidRPr="00257F9A">
            <w:rPr>
              <w:b/>
              <w:noProof/>
              <w:color w:val="FFFFFF" w:themeColor="background1"/>
              <w:sz w:val="24"/>
              <w:szCs w:val="24"/>
            </w:rPr>
            <w:fldChar w:fldCharType="end"/>
          </w:r>
        </w:p>
      </w:tc>
      <w:sdt>
        <w:sdtPr>
          <w:alias w:val="Title"/>
          <w:tag w:val=""/>
          <w:id w:val="1310753552"/>
          <w:placeholder>
            <w:docPart w:val="E80B4B9F27394C5F971FCB4FB9238A83"/>
          </w:placeholder>
          <w:dataBinding w:prefixMappings="xmlns:ns0='http://purl.org/dc/elements/1.1/' xmlns:ns1='http://schemas.openxmlformats.org/package/2006/metadata/core-properties' " w:xpath="/ns1:coreProperties[1]/ns0:title[1]" w:storeItemID="{6C3C8BC8-F283-45AE-878A-BAB7291924A1}"/>
          <w:text/>
        </w:sdtPr>
        <w:sdtEndPr/>
        <w:sdtContent>
          <w:tc>
            <w:tcPr>
              <w:tcW w:w="4500" w:type="pct"/>
              <w:tcBorders>
                <w:top w:val="single" w:sz="4" w:space="0" w:color="auto"/>
              </w:tcBorders>
            </w:tcPr>
            <w:p w:rsidR="00E621C6" w:rsidRDefault="00E621C6" w:rsidP="00257F9A">
              <w:pPr>
                <w:pStyle w:val="Footer"/>
              </w:pPr>
              <w:r>
                <w:t>OEPA Annual Report 2014-2015</w:t>
              </w:r>
            </w:p>
          </w:tc>
        </w:sdtContent>
      </w:sdt>
    </w:tr>
  </w:tbl>
  <w:p w:rsidR="00E621C6" w:rsidRDefault="00E621C6">
    <w:pPr>
      <w:pStyle w:val="Footer"/>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69" w:type="pct"/>
      <w:tblCellMar>
        <w:top w:w="72" w:type="dxa"/>
        <w:left w:w="115" w:type="dxa"/>
        <w:bottom w:w="72" w:type="dxa"/>
        <w:right w:w="115" w:type="dxa"/>
      </w:tblCellMar>
      <w:tblLook w:val="04A0" w:firstRow="1" w:lastRow="0" w:firstColumn="1" w:lastColumn="0" w:noHBand="0" w:noVBand="1"/>
    </w:tblPr>
    <w:tblGrid>
      <w:gridCol w:w="9224"/>
      <w:gridCol w:w="690"/>
    </w:tblGrid>
    <w:tr w:rsidR="00E621C6" w:rsidTr="00FC300F">
      <w:tc>
        <w:tcPr>
          <w:tcW w:w="4652" w:type="pct"/>
          <w:tcBorders>
            <w:top w:val="single" w:sz="4" w:space="0" w:color="4D4D4F" w:themeColor="text1"/>
          </w:tcBorders>
        </w:tcPr>
        <w:p w:rsidR="00E621C6" w:rsidRDefault="00921835" w:rsidP="007677BC">
          <w:pPr>
            <w:pStyle w:val="Footer"/>
            <w:jc w:val="right"/>
          </w:pPr>
          <w:sdt>
            <w:sdtPr>
              <w:alias w:val="Title"/>
              <w:tag w:val=""/>
              <w:id w:val="259809121"/>
              <w:dataBinding w:prefixMappings="xmlns:ns0='http://purl.org/dc/elements/1.1/' xmlns:ns1='http://schemas.openxmlformats.org/package/2006/metadata/core-properties' " w:xpath="/ns1:coreProperties[1]/ns0:title[1]" w:storeItemID="{6C3C8BC8-F283-45AE-878A-BAB7291924A1}"/>
              <w:text/>
            </w:sdtPr>
            <w:sdtEndPr/>
            <w:sdtContent>
              <w:r w:rsidR="00E621C6">
                <w:t>OEPA Annual Report 2014-2015</w:t>
              </w:r>
            </w:sdtContent>
          </w:sdt>
        </w:p>
      </w:tc>
      <w:tc>
        <w:tcPr>
          <w:tcW w:w="348" w:type="pct"/>
          <w:tcBorders>
            <w:top w:val="single" w:sz="4" w:space="0" w:color="9A3821" w:themeColor="accent2"/>
          </w:tcBorders>
          <w:shd w:val="clear" w:color="auto" w:fill="B2A97E" w:themeFill="accent4"/>
        </w:tcPr>
        <w:p w:rsidR="00E621C6" w:rsidRPr="007677BC" w:rsidRDefault="00E621C6" w:rsidP="007677BC">
          <w:pPr>
            <w:pStyle w:val="Header"/>
            <w:jc w:val="right"/>
            <w:rPr>
              <w:b/>
              <w:color w:val="FFFFFF" w:themeColor="background1"/>
            </w:rPr>
          </w:pPr>
          <w:r w:rsidRPr="007677BC">
            <w:rPr>
              <w:b/>
              <w:color w:val="auto"/>
            </w:rPr>
            <w:fldChar w:fldCharType="begin"/>
          </w:r>
          <w:r w:rsidRPr="007677BC">
            <w:rPr>
              <w:b/>
            </w:rPr>
            <w:instrText xml:space="preserve"> PAGE   \* MERGEFORMAT </w:instrText>
          </w:r>
          <w:r w:rsidRPr="007677BC">
            <w:rPr>
              <w:b/>
              <w:color w:val="auto"/>
            </w:rPr>
            <w:fldChar w:fldCharType="separate"/>
          </w:r>
          <w:r w:rsidR="00921835" w:rsidRPr="00921835">
            <w:rPr>
              <w:b/>
              <w:noProof/>
              <w:color w:val="FFFFFF" w:themeColor="background1"/>
            </w:rPr>
            <w:t>85</w:t>
          </w:r>
          <w:r w:rsidRPr="007677BC">
            <w:rPr>
              <w:b/>
              <w:noProof/>
              <w:color w:val="FFFFFF" w:themeColor="background1"/>
            </w:rPr>
            <w:fldChar w:fldCharType="end"/>
          </w:r>
        </w:p>
      </w:tc>
    </w:tr>
  </w:tbl>
  <w:p w:rsidR="00E621C6" w:rsidRDefault="00E621C6"/>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69" w:type="pct"/>
      <w:tblCellMar>
        <w:top w:w="72" w:type="dxa"/>
        <w:left w:w="115" w:type="dxa"/>
        <w:bottom w:w="72" w:type="dxa"/>
        <w:right w:w="115" w:type="dxa"/>
      </w:tblCellMar>
      <w:tblLook w:val="04A0" w:firstRow="1" w:lastRow="0" w:firstColumn="1" w:lastColumn="0" w:noHBand="0" w:noVBand="1"/>
    </w:tblPr>
    <w:tblGrid>
      <w:gridCol w:w="8972"/>
      <w:gridCol w:w="671"/>
    </w:tblGrid>
    <w:tr w:rsidR="00E621C6" w:rsidTr="00FC300F">
      <w:tc>
        <w:tcPr>
          <w:tcW w:w="4652" w:type="pct"/>
          <w:tcBorders>
            <w:top w:val="single" w:sz="4" w:space="0" w:color="4D4D4F" w:themeColor="text1"/>
          </w:tcBorders>
        </w:tcPr>
        <w:p w:rsidR="00E621C6" w:rsidRDefault="00921835" w:rsidP="007677BC">
          <w:pPr>
            <w:pStyle w:val="Footer"/>
            <w:jc w:val="right"/>
          </w:pPr>
          <w:sdt>
            <w:sdtPr>
              <w:alias w:val="Title"/>
              <w:tag w:val=""/>
              <w:id w:val="1976645741"/>
              <w:dataBinding w:prefixMappings="xmlns:ns0='http://purl.org/dc/elements/1.1/' xmlns:ns1='http://schemas.openxmlformats.org/package/2006/metadata/core-properties' " w:xpath="/ns1:coreProperties[1]/ns0:title[1]" w:storeItemID="{6C3C8BC8-F283-45AE-878A-BAB7291924A1}"/>
              <w:text/>
            </w:sdtPr>
            <w:sdtEndPr/>
            <w:sdtContent>
              <w:r w:rsidR="00E621C6">
                <w:t>OEPA Annual Report 2014-2015</w:t>
              </w:r>
            </w:sdtContent>
          </w:sdt>
        </w:p>
      </w:tc>
      <w:tc>
        <w:tcPr>
          <w:tcW w:w="348" w:type="pct"/>
          <w:tcBorders>
            <w:top w:val="single" w:sz="4" w:space="0" w:color="9A3821" w:themeColor="accent2"/>
          </w:tcBorders>
          <w:shd w:val="clear" w:color="auto" w:fill="B2A97E" w:themeFill="accent4"/>
        </w:tcPr>
        <w:p w:rsidR="00E621C6" w:rsidRPr="007677BC" w:rsidRDefault="00E621C6" w:rsidP="007677BC">
          <w:pPr>
            <w:pStyle w:val="Header"/>
            <w:jc w:val="right"/>
            <w:rPr>
              <w:b/>
              <w:color w:val="FFFFFF" w:themeColor="background1"/>
            </w:rPr>
          </w:pPr>
          <w:r w:rsidRPr="007677BC">
            <w:rPr>
              <w:b/>
              <w:color w:val="auto"/>
            </w:rPr>
            <w:fldChar w:fldCharType="begin"/>
          </w:r>
          <w:r w:rsidRPr="007677BC">
            <w:rPr>
              <w:b/>
            </w:rPr>
            <w:instrText xml:space="preserve"> PAGE   \* MERGEFORMAT </w:instrText>
          </w:r>
          <w:r w:rsidRPr="007677BC">
            <w:rPr>
              <w:b/>
              <w:color w:val="auto"/>
            </w:rPr>
            <w:fldChar w:fldCharType="separate"/>
          </w:r>
          <w:r w:rsidR="00921835" w:rsidRPr="00921835">
            <w:rPr>
              <w:b/>
              <w:noProof/>
              <w:color w:val="FFFFFF" w:themeColor="background1"/>
            </w:rPr>
            <w:t>107</w:t>
          </w:r>
          <w:r w:rsidRPr="007677BC">
            <w:rPr>
              <w:b/>
              <w:noProof/>
              <w:color w:val="FFFFFF" w:themeColor="background1"/>
            </w:rPr>
            <w:fldChar w:fldCharType="end"/>
          </w:r>
        </w:p>
      </w:tc>
    </w:tr>
  </w:tbl>
  <w:p w:rsidR="00E621C6" w:rsidRDefault="00E621C6"/>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Default="00E621C6"/>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Default="00E621C6">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835" w:rsidRDefault="0092183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835" w:rsidRDefault="00921835">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Default="00E621C6">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Default="00E621C6"/>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4" w:space="0" w:color="auto"/>
      </w:tblBorders>
      <w:tblCellMar>
        <w:top w:w="72" w:type="dxa"/>
        <w:left w:w="115" w:type="dxa"/>
        <w:bottom w:w="72" w:type="dxa"/>
        <w:right w:w="115" w:type="dxa"/>
      </w:tblCellMar>
      <w:tblLook w:val="04A0" w:firstRow="1" w:lastRow="0" w:firstColumn="1" w:lastColumn="0" w:noHBand="0" w:noVBand="1"/>
    </w:tblPr>
    <w:tblGrid>
      <w:gridCol w:w="970"/>
      <w:gridCol w:w="8733"/>
    </w:tblGrid>
    <w:tr w:rsidR="00921835" w:rsidTr="00FF28B5">
      <w:tc>
        <w:tcPr>
          <w:tcW w:w="500" w:type="pct"/>
          <w:shd w:val="clear" w:color="auto" w:fill="B2A97E" w:themeFill="accent4"/>
        </w:tcPr>
        <w:p w:rsidR="00921835" w:rsidRPr="00257F9A" w:rsidRDefault="00921835" w:rsidP="00FF28B5">
          <w:pPr>
            <w:pStyle w:val="Footer"/>
            <w:jc w:val="right"/>
            <w:rPr>
              <w:b/>
              <w:bCs/>
              <w:color w:val="FFFFFF" w:themeColor="background1"/>
              <w:sz w:val="24"/>
              <w:szCs w:val="24"/>
            </w:rPr>
          </w:pPr>
          <w:r w:rsidRPr="00257F9A">
            <w:rPr>
              <w:b/>
              <w:color w:val="auto"/>
              <w:sz w:val="24"/>
              <w:szCs w:val="24"/>
            </w:rPr>
            <w:fldChar w:fldCharType="begin"/>
          </w:r>
          <w:r w:rsidRPr="00257F9A">
            <w:rPr>
              <w:b/>
              <w:sz w:val="24"/>
              <w:szCs w:val="24"/>
            </w:rPr>
            <w:instrText xml:space="preserve"> PAGE   \* MERGEFORMAT </w:instrText>
          </w:r>
          <w:r w:rsidRPr="00257F9A">
            <w:rPr>
              <w:b/>
              <w:color w:val="auto"/>
              <w:sz w:val="24"/>
              <w:szCs w:val="24"/>
            </w:rPr>
            <w:fldChar w:fldCharType="separate"/>
          </w:r>
          <w:r w:rsidRPr="00921835">
            <w:rPr>
              <w:b/>
              <w:noProof/>
              <w:color w:val="FFFFFF" w:themeColor="background1"/>
              <w:sz w:val="24"/>
              <w:szCs w:val="24"/>
            </w:rPr>
            <w:t>4</w:t>
          </w:r>
          <w:r w:rsidRPr="00257F9A">
            <w:rPr>
              <w:b/>
              <w:noProof/>
              <w:color w:val="FFFFFF" w:themeColor="background1"/>
              <w:sz w:val="24"/>
              <w:szCs w:val="24"/>
            </w:rPr>
            <w:fldChar w:fldCharType="end"/>
          </w:r>
        </w:p>
      </w:tc>
      <w:sdt>
        <w:sdtPr>
          <w:alias w:val="Title"/>
          <w:tag w:val=""/>
          <w:id w:val="-526021922"/>
          <w:dataBinding w:prefixMappings="xmlns:ns0='http://purl.org/dc/elements/1.1/' xmlns:ns1='http://schemas.openxmlformats.org/package/2006/metadata/core-properties' " w:xpath="/ns1:coreProperties[1]/ns0:title[1]" w:storeItemID="{6C3C8BC8-F283-45AE-878A-BAB7291924A1}"/>
          <w:text/>
        </w:sdtPr>
        <w:sdtContent>
          <w:tc>
            <w:tcPr>
              <w:tcW w:w="4500" w:type="pct"/>
            </w:tcPr>
            <w:p w:rsidR="00921835" w:rsidRDefault="00921835" w:rsidP="00FF28B5">
              <w:pPr>
                <w:pStyle w:val="Footer"/>
              </w:pPr>
              <w:r>
                <w:t>OEPA Annual Report 2014-2015</w:t>
              </w:r>
            </w:p>
          </w:tc>
        </w:sdtContent>
      </w:sdt>
    </w:tr>
  </w:tbl>
  <w:p w:rsidR="00921835" w:rsidRDefault="00921835">
    <w:pPr>
      <w:pStyle w:val="Footer"/>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4" w:space="0" w:color="auto"/>
      </w:tblBorders>
      <w:tblCellMar>
        <w:top w:w="72" w:type="dxa"/>
        <w:left w:w="115" w:type="dxa"/>
        <w:bottom w:w="72" w:type="dxa"/>
        <w:right w:w="115" w:type="dxa"/>
      </w:tblCellMar>
      <w:tblLook w:val="04A0" w:firstRow="1" w:lastRow="0" w:firstColumn="1" w:lastColumn="0" w:noHBand="0" w:noVBand="1"/>
    </w:tblPr>
    <w:tblGrid>
      <w:gridCol w:w="8733"/>
      <w:gridCol w:w="970"/>
    </w:tblGrid>
    <w:tr w:rsidR="00E621C6" w:rsidTr="00921835">
      <w:tc>
        <w:tcPr>
          <w:tcW w:w="4500" w:type="pct"/>
        </w:tcPr>
        <w:p w:rsidR="00E621C6" w:rsidRDefault="00921835" w:rsidP="007677BC">
          <w:pPr>
            <w:pStyle w:val="Footer"/>
            <w:jc w:val="right"/>
          </w:pPr>
          <w:sdt>
            <w:sdtPr>
              <w:alias w:val="Title"/>
              <w:tag w:val=""/>
              <w:id w:val="28075330"/>
              <w:dataBinding w:prefixMappings="xmlns:ns0='http://purl.org/dc/elements/1.1/' xmlns:ns1='http://schemas.openxmlformats.org/package/2006/metadata/core-properties' " w:xpath="/ns1:coreProperties[1]/ns0:title[1]" w:storeItemID="{6C3C8BC8-F283-45AE-878A-BAB7291924A1}"/>
              <w:text/>
            </w:sdtPr>
            <w:sdtEndPr/>
            <w:sdtContent>
              <w:r w:rsidR="00E621C6">
                <w:t>OEPA Annual Report 2014-2015</w:t>
              </w:r>
            </w:sdtContent>
          </w:sdt>
        </w:p>
      </w:tc>
      <w:tc>
        <w:tcPr>
          <w:tcW w:w="500" w:type="pct"/>
          <w:shd w:val="clear" w:color="auto" w:fill="B2A97E" w:themeFill="accent4"/>
        </w:tcPr>
        <w:p w:rsidR="00E621C6" w:rsidRPr="007677BC" w:rsidRDefault="00E621C6" w:rsidP="007677BC">
          <w:pPr>
            <w:pStyle w:val="Header"/>
            <w:jc w:val="right"/>
            <w:rPr>
              <w:b/>
              <w:color w:val="FFFFFF" w:themeColor="background1"/>
            </w:rPr>
          </w:pPr>
          <w:r w:rsidRPr="007677BC">
            <w:rPr>
              <w:b/>
              <w:color w:val="auto"/>
            </w:rPr>
            <w:fldChar w:fldCharType="begin"/>
          </w:r>
          <w:r w:rsidRPr="007677BC">
            <w:rPr>
              <w:b/>
            </w:rPr>
            <w:instrText xml:space="preserve"> PAGE   \* MERGEFORMAT </w:instrText>
          </w:r>
          <w:r w:rsidRPr="007677BC">
            <w:rPr>
              <w:b/>
              <w:color w:val="auto"/>
            </w:rPr>
            <w:fldChar w:fldCharType="separate"/>
          </w:r>
          <w:r w:rsidR="00921835" w:rsidRPr="00921835">
            <w:rPr>
              <w:b/>
              <w:noProof/>
              <w:color w:val="FFFFFF" w:themeColor="background1"/>
            </w:rPr>
            <w:t>13</w:t>
          </w:r>
          <w:r w:rsidRPr="007677BC">
            <w:rPr>
              <w:b/>
              <w:noProof/>
              <w:color w:val="FFFFFF" w:themeColor="background1"/>
            </w:rPr>
            <w:fldChar w:fldCharType="end"/>
          </w:r>
        </w:p>
      </w:tc>
    </w:tr>
  </w:tbl>
  <w:p w:rsidR="00E621C6" w:rsidRDefault="00E621C6"/>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4" w:space="0" w:color="auto"/>
      </w:tblBorders>
      <w:tblCellMar>
        <w:top w:w="72" w:type="dxa"/>
        <w:left w:w="115" w:type="dxa"/>
        <w:bottom w:w="72" w:type="dxa"/>
        <w:right w:w="115" w:type="dxa"/>
      </w:tblCellMar>
      <w:tblLook w:val="04A0" w:firstRow="1" w:lastRow="0" w:firstColumn="1" w:lastColumn="0" w:noHBand="0" w:noVBand="1"/>
    </w:tblPr>
    <w:tblGrid>
      <w:gridCol w:w="970"/>
      <w:gridCol w:w="8733"/>
    </w:tblGrid>
    <w:tr w:rsidR="00E621C6" w:rsidTr="00921835">
      <w:tc>
        <w:tcPr>
          <w:tcW w:w="500" w:type="pct"/>
          <w:shd w:val="clear" w:color="auto" w:fill="B2A97E" w:themeFill="accent4"/>
        </w:tcPr>
        <w:bookmarkStart w:id="8" w:name="_GoBack"/>
        <w:p w:rsidR="00E621C6" w:rsidRPr="00257F9A" w:rsidRDefault="00E621C6">
          <w:pPr>
            <w:pStyle w:val="Footer"/>
            <w:jc w:val="right"/>
            <w:rPr>
              <w:b/>
              <w:bCs/>
              <w:color w:val="FFFFFF" w:themeColor="background1"/>
              <w:sz w:val="24"/>
              <w:szCs w:val="24"/>
            </w:rPr>
          </w:pPr>
          <w:r w:rsidRPr="00257F9A">
            <w:rPr>
              <w:b/>
              <w:color w:val="auto"/>
              <w:sz w:val="24"/>
              <w:szCs w:val="24"/>
            </w:rPr>
            <w:fldChar w:fldCharType="begin"/>
          </w:r>
          <w:r w:rsidRPr="00257F9A">
            <w:rPr>
              <w:b/>
              <w:sz w:val="24"/>
              <w:szCs w:val="24"/>
            </w:rPr>
            <w:instrText xml:space="preserve"> PAGE   \* MERGEFORMAT </w:instrText>
          </w:r>
          <w:r w:rsidRPr="00257F9A">
            <w:rPr>
              <w:b/>
              <w:color w:val="auto"/>
              <w:sz w:val="24"/>
              <w:szCs w:val="24"/>
            </w:rPr>
            <w:fldChar w:fldCharType="separate"/>
          </w:r>
          <w:r w:rsidR="00921835" w:rsidRPr="00921835">
            <w:rPr>
              <w:b/>
              <w:noProof/>
              <w:color w:val="FFFFFF" w:themeColor="background1"/>
              <w:sz w:val="24"/>
              <w:szCs w:val="24"/>
            </w:rPr>
            <w:t>10</w:t>
          </w:r>
          <w:r w:rsidRPr="00257F9A">
            <w:rPr>
              <w:b/>
              <w:noProof/>
              <w:color w:val="FFFFFF" w:themeColor="background1"/>
              <w:sz w:val="24"/>
              <w:szCs w:val="24"/>
            </w:rPr>
            <w:fldChar w:fldCharType="end"/>
          </w:r>
        </w:p>
      </w:tc>
      <w:sdt>
        <w:sdtPr>
          <w:alias w:val="Title"/>
          <w:tag w:val=""/>
          <w:id w:val="-555004090"/>
          <w:dataBinding w:prefixMappings="xmlns:ns0='http://purl.org/dc/elements/1.1/' xmlns:ns1='http://schemas.openxmlformats.org/package/2006/metadata/core-properties' " w:xpath="/ns1:coreProperties[1]/ns0:title[1]" w:storeItemID="{6C3C8BC8-F283-45AE-878A-BAB7291924A1}"/>
          <w:text/>
        </w:sdtPr>
        <w:sdtEndPr/>
        <w:sdtContent>
          <w:tc>
            <w:tcPr>
              <w:tcW w:w="4500" w:type="pct"/>
            </w:tcPr>
            <w:p w:rsidR="00E621C6" w:rsidRDefault="00E621C6" w:rsidP="00257F9A">
              <w:pPr>
                <w:pStyle w:val="Footer"/>
              </w:pPr>
              <w:r>
                <w:t>OEPA Annual Report 2014-2015</w:t>
              </w:r>
            </w:p>
          </w:tc>
        </w:sdtContent>
      </w:sdt>
    </w:tr>
    <w:bookmarkEnd w:id="8"/>
  </w:tbl>
  <w:p w:rsidR="00E621C6" w:rsidRDefault="00E621C6">
    <w:pPr>
      <w:pStyle w:val="Footer"/>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4969" w:type="pct"/>
      <w:tblCellMar>
        <w:top w:w="72" w:type="dxa"/>
        <w:left w:w="115" w:type="dxa"/>
        <w:bottom w:w="72" w:type="dxa"/>
        <w:right w:w="115" w:type="dxa"/>
      </w:tblCellMar>
      <w:tblLook w:val="04A0" w:firstRow="1" w:lastRow="0" w:firstColumn="1" w:lastColumn="0" w:noHBand="0" w:noVBand="1"/>
    </w:tblPr>
    <w:tblGrid>
      <w:gridCol w:w="13297"/>
      <w:gridCol w:w="995"/>
    </w:tblGrid>
    <w:tr w:rsidR="00E621C6" w:rsidTr="00FC300F">
      <w:tc>
        <w:tcPr>
          <w:tcW w:w="4652" w:type="pct"/>
          <w:tcBorders>
            <w:top w:val="single" w:sz="4" w:space="0" w:color="4D4D4F" w:themeColor="text1"/>
          </w:tcBorders>
        </w:tcPr>
        <w:p w:rsidR="00E621C6" w:rsidRDefault="00921835" w:rsidP="007677BC">
          <w:pPr>
            <w:pStyle w:val="Footer"/>
            <w:jc w:val="right"/>
          </w:pPr>
          <w:sdt>
            <w:sdtPr>
              <w:alias w:val="Title"/>
              <w:tag w:val=""/>
              <w:id w:val="-1902359838"/>
              <w:dataBinding w:prefixMappings="xmlns:ns0='http://purl.org/dc/elements/1.1/' xmlns:ns1='http://schemas.openxmlformats.org/package/2006/metadata/core-properties' " w:xpath="/ns1:coreProperties[1]/ns0:title[1]" w:storeItemID="{6C3C8BC8-F283-45AE-878A-BAB7291924A1}"/>
              <w:text/>
            </w:sdtPr>
            <w:sdtEndPr/>
            <w:sdtContent>
              <w:r w:rsidR="00E621C6">
                <w:t>OEPA Annual Report 2014-2015</w:t>
              </w:r>
            </w:sdtContent>
          </w:sdt>
        </w:p>
      </w:tc>
      <w:tc>
        <w:tcPr>
          <w:tcW w:w="348" w:type="pct"/>
          <w:tcBorders>
            <w:top w:val="single" w:sz="4" w:space="0" w:color="9A3821" w:themeColor="accent2"/>
          </w:tcBorders>
          <w:shd w:val="clear" w:color="auto" w:fill="B2A97E" w:themeFill="accent4"/>
        </w:tcPr>
        <w:p w:rsidR="00E621C6" w:rsidRPr="007677BC" w:rsidRDefault="00E621C6" w:rsidP="007677BC">
          <w:pPr>
            <w:pStyle w:val="Header"/>
            <w:jc w:val="right"/>
            <w:rPr>
              <w:b/>
              <w:color w:val="FFFFFF" w:themeColor="background1"/>
            </w:rPr>
          </w:pPr>
          <w:r w:rsidRPr="007677BC">
            <w:rPr>
              <w:b/>
              <w:color w:val="auto"/>
            </w:rPr>
            <w:fldChar w:fldCharType="begin"/>
          </w:r>
          <w:r w:rsidRPr="007677BC">
            <w:rPr>
              <w:b/>
            </w:rPr>
            <w:instrText xml:space="preserve"> PAGE   \* MERGEFORMAT </w:instrText>
          </w:r>
          <w:r w:rsidRPr="007677BC">
            <w:rPr>
              <w:b/>
              <w:color w:val="auto"/>
            </w:rPr>
            <w:fldChar w:fldCharType="separate"/>
          </w:r>
          <w:r w:rsidR="00921835" w:rsidRPr="00921835">
            <w:rPr>
              <w:b/>
              <w:noProof/>
              <w:color w:val="FFFFFF" w:themeColor="background1"/>
            </w:rPr>
            <w:t>53</w:t>
          </w:r>
          <w:r w:rsidRPr="007677BC">
            <w:rPr>
              <w:b/>
              <w:noProof/>
              <w:color w:val="FFFFFF" w:themeColor="background1"/>
            </w:rPr>
            <w:fldChar w:fldCharType="end"/>
          </w:r>
        </w:p>
      </w:tc>
    </w:tr>
  </w:tbl>
  <w:p w:rsidR="00E621C6" w:rsidRDefault="00E621C6"/>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621C6" w:rsidRDefault="00E621C6" w:rsidP="00795041">
      <w:pPr>
        <w:spacing w:after="0" w:line="240" w:lineRule="auto"/>
      </w:pPr>
      <w:r>
        <w:separator/>
      </w:r>
    </w:p>
    <w:p w:rsidR="00E621C6" w:rsidRDefault="00E621C6"/>
  </w:footnote>
  <w:footnote w:type="continuationSeparator" w:id="0">
    <w:p w:rsidR="00E621C6" w:rsidRDefault="00E621C6" w:rsidP="00795041">
      <w:pPr>
        <w:spacing w:after="0" w:line="240" w:lineRule="auto"/>
      </w:pPr>
      <w:r>
        <w:continuationSeparator/>
      </w:r>
    </w:p>
    <w:p w:rsidR="00E621C6" w:rsidRDefault="00E621C6"/>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C4187B" w:rsidRDefault="00E621C6" w:rsidP="00C4187B">
    <w:pPr>
      <w:pStyle w:val="Header"/>
      <w:pBdr>
        <w:bottom w:val="single" w:sz="4" w:space="1" w:color="auto"/>
      </w:pBdr>
      <w:rPr>
        <w:rFonts w:ascii="Arial Narrow" w:hAnsi="Arial Narrow"/>
      </w:rPr>
    </w:pPr>
    <w:r w:rsidRPr="00C4187B">
      <w:rPr>
        <w:rFonts w:ascii="Arial Narrow" w:hAnsi="Arial Narrow"/>
      </w:rPr>
      <w:t>Home</w:t>
    </w:r>
    <w:r>
      <w:rPr>
        <w:rFonts w:ascii="Arial Narrow" w:hAnsi="Arial Narrow"/>
        <w:b/>
        <w:color w:val="9A3821" w:themeColor="accent2"/>
      </w:rPr>
      <w:t xml:space="preserve"> </w:t>
    </w:r>
    <w:r w:rsidRPr="008074E2">
      <w:rPr>
        <w:rFonts w:ascii="Arial Narrow" w:hAnsi="Arial Narrow"/>
      </w:rPr>
      <w:t xml:space="preserve"> | </w:t>
    </w:r>
    <w:r>
      <w:rPr>
        <w:rFonts w:ascii="Arial Narrow" w:hAnsi="Arial Narrow"/>
      </w:rPr>
      <w:t xml:space="preserve"> </w:t>
    </w:r>
    <w:r w:rsidRPr="004002C7">
      <w:rPr>
        <w:rFonts w:ascii="Arial Narrow" w:hAnsi="Arial Narrow"/>
      </w:rPr>
      <w:t>Contents</w:t>
    </w:r>
    <w:r w:rsidRPr="008074E2">
      <w:rPr>
        <w:rFonts w:ascii="Arial Narrow" w:hAnsi="Arial Narrow"/>
        <w:b/>
        <w:color w:val="9A3821" w:themeColor="accent2"/>
      </w:rPr>
      <w:t xml:space="preserve">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Overview</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C4187B">
      <w:rPr>
        <w:rFonts w:ascii="Arial Narrow" w:hAnsi="Arial Narrow"/>
        <w:b/>
        <w:color w:val="9A3821" w:themeColor="accent2"/>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Disclosures and legal compliance </w:t>
    </w:r>
    <w:r>
      <w:rPr>
        <w:rFonts w:ascii="Arial Narrow" w:hAnsi="Arial Narrow"/>
      </w:rPr>
      <w:t xml:space="preserve"> </w:t>
    </w:r>
    <w:r w:rsidRPr="008074E2">
      <w:rPr>
        <w:rFonts w:ascii="Arial Narrow" w:hAnsi="Arial Narrow"/>
      </w:rPr>
      <w:t xml:space="preserve">| </w:t>
    </w:r>
    <w:r>
      <w:rPr>
        <w:rFonts w:ascii="Arial Narrow" w:hAnsi="Arial Narrow"/>
      </w:rPr>
      <w:t xml:space="preserve"> Appendices</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C4187B" w:rsidRDefault="00E621C6" w:rsidP="00C4187B">
    <w:pPr>
      <w:pStyle w:val="Header"/>
      <w:pBdr>
        <w:bottom w:val="single" w:sz="4" w:space="1" w:color="auto"/>
      </w:pBdr>
      <w:rPr>
        <w:rFonts w:ascii="Arial Narrow" w:hAnsi="Arial Narrow"/>
      </w:rPr>
    </w:pPr>
    <w:r w:rsidRPr="00C4187B">
      <w:rPr>
        <w:rFonts w:ascii="Arial Narrow" w:hAnsi="Arial Narrow"/>
      </w:rPr>
      <w:t>Home</w:t>
    </w:r>
    <w:r>
      <w:rPr>
        <w:rFonts w:ascii="Arial Narrow" w:hAnsi="Arial Narrow"/>
        <w:b/>
        <w:color w:val="9A3821" w:themeColor="accent2"/>
      </w:rPr>
      <w:t xml:space="preserve"> </w:t>
    </w:r>
    <w:r w:rsidRPr="008074E2">
      <w:rPr>
        <w:rFonts w:ascii="Arial Narrow" w:hAnsi="Arial Narrow"/>
      </w:rPr>
      <w:t xml:space="preserve"> | </w:t>
    </w:r>
    <w:r>
      <w:rPr>
        <w:rFonts w:ascii="Arial Narrow" w:hAnsi="Arial Narrow"/>
      </w:rPr>
      <w:t xml:space="preserve"> </w:t>
    </w:r>
    <w:r w:rsidRPr="007A0B56">
      <w:rPr>
        <w:rFonts w:ascii="Arial Narrow" w:hAnsi="Arial Narrow"/>
      </w:rPr>
      <w:t xml:space="preserve">Contents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7A0B56">
      <w:rPr>
        <w:rFonts w:ascii="Arial Narrow" w:hAnsi="Arial Narrow"/>
        <w:b/>
        <w:color w:val="9A3821" w:themeColor="accent2"/>
      </w:rPr>
      <w:t xml:space="preserve">Overview  </w:t>
    </w:r>
    <w:r w:rsidRPr="008074E2">
      <w:rPr>
        <w:rFonts w:ascii="Arial Narrow" w:hAnsi="Arial Narrow"/>
      </w:rPr>
      <w:t xml:space="preserve">| </w:t>
    </w:r>
    <w:r>
      <w:rPr>
        <w:rFonts w:ascii="Arial Narrow" w:hAnsi="Arial Narrow"/>
      </w:rPr>
      <w:t xml:space="preserve"> </w:t>
    </w:r>
    <w:r w:rsidRPr="00C4187B">
      <w:rPr>
        <w:rFonts w:ascii="Arial Narrow" w:hAnsi="Arial Narrow"/>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Disclosures and legal compliance </w:t>
    </w:r>
    <w:r>
      <w:rPr>
        <w:rFonts w:ascii="Arial Narrow" w:hAnsi="Arial Narrow"/>
      </w:rPr>
      <w:t xml:space="preserve"> </w:t>
    </w:r>
    <w:r w:rsidRPr="008074E2">
      <w:rPr>
        <w:rFonts w:ascii="Arial Narrow" w:hAnsi="Arial Narrow"/>
      </w:rPr>
      <w:t xml:space="preserve">| </w:t>
    </w:r>
    <w:r>
      <w:rPr>
        <w:rFonts w:ascii="Arial Narrow" w:hAnsi="Arial Narrow"/>
      </w:rPr>
      <w:t xml:space="preserve"> Appendices</w:t>
    </w: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8074E2" w:rsidRDefault="00E621C6" w:rsidP="00814BB7">
    <w:pPr>
      <w:pStyle w:val="Header"/>
      <w:pBdr>
        <w:bottom w:val="single" w:sz="4" w:space="1" w:color="auto"/>
      </w:pBdr>
      <w:rPr>
        <w:rFonts w:ascii="Arial Narrow" w:hAnsi="Arial Narrow"/>
      </w:rPr>
    </w:pPr>
    <w:r w:rsidRPr="00C4187B">
      <w:rPr>
        <w:rFonts w:ascii="Arial Narrow" w:hAnsi="Arial Narrow"/>
      </w:rPr>
      <w:t>Home</w:t>
    </w:r>
    <w:r>
      <w:rPr>
        <w:rFonts w:ascii="Arial Narrow" w:hAnsi="Arial Narrow"/>
        <w:b/>
        <w:color w:val="9A3821" w:themeColor="accent2"/>
      </w:rPr>
      <w:t xml:space="preserve"> </w:t>
    </w:r>
    <w:r w:rsidRPr="008074E2">
      <w:rPr>
        <w:rFonts w:ascii="Arial Narrow" w:hAnsi="Arial Narrow"/>
      </w:rPr>
      <w:t xml:space="preserve"> | </w:t>
    </w:r>
    <w:r>
      <w:rPr>
        <w:rFonts w:ascii="Arial Narrow" w:hAnsi="Arial Narrow"/>
      </w:rPr>
      <w:t xml:space="preserve"> </w:t>
    </w:r>
    <w:r w:rsidRPr="004002C7">
      <w:rPr>
        <w:rFonts w:ascii="Arial Narrow" w:hAnsi="Arial Narrow"/>
      </w:rPr>
      <w:t>Contents</w:t>
    </w:r>
    <w:r w:rsidRPr="008074E2">
      <w:rPr>
        <w:rFonts w:ascii="Arial Narrow" w:hAnsi="Arial Narrow"/>
        <w:b/>
        <w:color w:val="9A3821" w:themeColor="accent2"/>
      </w:rPr>
      <w:t xml:space="preserve">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7A0B56">
      <w:rPr>
        <w:rFonts w:ascii="Arial Narrow" w:hAnsi="Arial Narrow"/>
        <w:b/>
        <w:color w:val="9A3821" w:themeColor="accent2"/>
      </w:rPr>
      <w:t>Overview</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7A0B56">
      <w:rPr>
        <w:rFonts w:ascii="Arial Narrow" w:hAnsi="Arial Narrow"/>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Disclosures and legal compliance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Appendices</w:t>
    </w:r>
  </w:p>
  <w:p w:rsidR="00E621C6" w:rsidRDefault="00E621C6"/>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C4187B" w:rsidRDefault="00E621C6" w:rsidP="00C4187B">
    <w:pPr>
      <w:pStyle w:val="Header"/>
      <w:pBdr>
        <w:bottom w:val="single" w:sz="4" w:space="1" w:color="auto"/>
      </w:pBdr>
      <w:rPr>
        <w:rFonts w:ascii="Arial Narrow" w:hAnsi="Arial Narrow"/>
      </w:rPr>
    </w:pPr>
    <w:r w:rsidRPr="00C4187B">
      <w:rPr>
        <w:rFonts w:ascii="Arial Narrow" w:hAnsi="Arial Narrow"/>
      </w:rPr>
      <w:t>Home</w:t>
    </w:r>
    <w:r>
      <w:rPr>
        <w:rFonts w:ascii="Arial Narrow" w:hAnsi="Arial Narrow"/>
        <w:b/>
        <w:color w:val="9A3821" w:themeColor="accent2"/>
      </w:rPr>
      <w:t xml:space="preserve"> </w:t>
    </w:r>
    <w:r w:rsidRPr="008074E2">
      <w:rPr>
        <w:rFonts w:ascii="Arial Narrow" w:hAnsi="Arial Narrow"/>
      </w:rPr>
      <w:t xml:space="preserve"> | </w:t>
    </w:r>
    <w:r>
      <w:rPr>
        <w:rFonts w:ascii="Arial Narrow" w:hAnsi="Arial Narrow"/>
      </w:rPr>
      <w:t xml:space="preserve"> </w:t>
    </w:r>
    <w:r w:rsidRPr="007A0B56">
      <w:rPr>
        <w:rFonts w:ascii="Arial Narrow" w:hAnsi="Arial Narrow"/>
      </w:rPr>
      <w:t xml:space="preserve">Contents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BC4EBC">
      <w:rPr>
        <w:rFonts w:ascii="Arial Narrow" w:hAnsi="Arial Narrow"/>
      </w:rPr>
      <w:t xml:space="preserve">Overview </w:t>
    </w:r>
    <w:r w:rsidRPr="007A0B56">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BC4EBC">
      <w:rPr>
        <w:rFonts w:ascii="Arial Narrow" w:hAnsi="Arial Narrow"/>
        <w:b/>
        <w:color w:val="9A3821" w:themeColor="accent2"/>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Disclosures and legal compliance </w:t>
    </w:r>
    <w:r>
      <w:rPr>
        <w:rFonts w:ascii="Arial Narrow" w:hAnsi="Arial Narrow"/>
      </w:rPr>
      <w:t xml:space="preserve"> </w:t>
    </w:r>
    <w:r w:rsidRPr="008074E2">
      <w:rPr>
        <w:rFonts w:ascii="Arial Narrow" w:hAnsi="Arial Narrow"/>
      </w:rPr>
      <w:t xml:space="preserve">| </w:t>
    </w:r>
    <w:r>
      <w:rPr>
        <w:rFonts w:ascii="Arial Narrow" w:hAnsi="Arial Narrow"/>
      </w:rPr>
      <w:t xml:space="preserve"> Appendices</w:t>
    </w:r>
  </w:p>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8074E2" w:rsidRDefault="00E621C6" w:rsidP="00814BB7">
    <w:pPr>
      <w:pStyle w:val="Header"/>
      <w:pBdr>
        <w:bottom w:val="single" w:sz="4" w:space="1" w:color="auto"/>
      </w:pBdr>
      <w:rPr>
        <w:rFonts w:ascii="Arial Narrow" w:hAnsi="Arial Narrow"/>
      </w:rPr>
    </w:pPr>
    <w:r w:rsidRPr="00C4187B">
      <w:rPr>
        <w:rFonts w:ascii="Arial Narrow" w:hAnsi="Arial Narrow"/>
      </w:rPr>
      <w:t>Home</w:t>
    </w:r>
    <w:r>
      <w:rPr>
        <w:rFonts w:ascii="Arial Narrow" w:hAnsi="Arial Narrow"/>
        <w:b/>
        <w:color w:val="9A3821" w:themeColor="accent2"/>
      </w:rPr>
      <w:t xml:space="preserve"> </w:t>
    </w:r>
    <w:r w:rsidRPr="008074E2">
      <w:rPr>
        <w:rFonts w:ascii="Arial Narrow" w:hAnsi="Arial Narrow"/>
      </w:rPr>
      <w:t xml:space="preserve"> | </w:t>
    </w:r>
    <w:r>
      <w:rPr>
        <w:rFonts w:ascii="Arial Narrow" w:hAnsi="Arial Narrow"/>
      </w:rPr>
      <w:t xml:space="preserve"> </w:t>
    </w:r>
    <w:r w:rsidRPr="004002C7">
      <w:rPr>
        <w:rFonts w:ascii="Arial Narrow" w:hAnsi="Arial Narrow"/>
      </w:rPr>
      <w:t>Contents</w:t>
    </w:r>
    <w:r w:rsidRPr="008074E2">
      <w:rPr>
        <w:rFonts w:ascii="Arial Narrow" w:hAnsi="Arial Narrow"/>
        <w:b/>
        <w:color w:val="9A3821" w:themeColor="accent2"/>
      </w:rPr>
      <w:t xml:space="preserve">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Overview</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C4187B">
      <w:rPr>
        <w:rFonts w:ascii="Arial Narrow" w:hAnsi="Arial Narrow"/>
        <w:b/>
        <w:color w:val="9A3821" w:themeColor="accent2"/>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Disclosures and legal compliance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Appendices</w:t>
    </w:r>
  </w:p>
  <w:p w:rsidR="00E621C6" w:rsidRDefault="00E621C6"/>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C4187B" w:rsidRDefault="00E621C6" w:rsidP="00C4187B">
    <w:pPr>
      <w:pStyle w:val="Header"/>
      <w:pBdr>
        <w:bottom w:val="single" w:sz="4" w:space="1" w:color="auto"/>
      </w:pBdr>
      <w:rPr>
        <w:rFonts w:ascii="Arial Narrow" w:hAnsi="Arial Narrow"/>
      </w:rPr>
    </w:pPr>
    <w:proofErr w:type="gramStart"/>
    <w:r w:rsidRPr="00C4187B">
      <w:rPr>
        <w:rFonts w:ascii="Arial Narrow" w:hAnsi="Arial Narrow"/>
      </w:rPr>
      <w:t>Home</w:t>
    </w:r>
    <w:r>
      <w:rPr>
        <w:rFonts w:ascii="Arial Narrow" w:hAnsi="Arial Narrow"/>
        <w:b/>
        <w:color w:val="9A3821" w:themeColor="accent2"/>
      </w:rPr>
      <w:t xml:space="preserve"> </w:t>
    </w:r>
    <w:r w:rsidRPr="008074E2">
      <w:rPr>
        <w:rFonts w:ascii="Arial Narrow" w:hAnsi="Arial Narrow"/>
      </w:rPr>
      <w:t xml:space="preserve"> |</w:t>
    </w:r>
    <w:proofErr w:type="gramEnd"/>
    <w:r w:rsidRPr="008074E2">
      <w:rPr>
        <w:rFonts w:ascii="Arial Narrow" w:hAnsi="Arial Narrow"/>
      </w:rPr>
      <w:t xml:space="preserve"> </w:t>
    </w:r>
    <w:r>
      <w:rPr>
        <w:rFonts w:ascii="Arial Narrow" w:hAnsi="Arial Narrow"/>
      </w:rPr>
      <w:t xml:space="preserve"> </w:t>
    </w:r>
    <w:r w:rsidRPr="007A0B56">
      <w:rPr>
        <w:rFonts w:ascii="Arial Narrow" w:hAnsi="Arial Narrow"/>
      </w:rPr>
      <w:t xml:space="preserve">Contents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BC4EBC">
      <w:rPr>
        <w:rFonts w:ascii="Arial Narrow" w:hAnsi="Arial Narrow"/>
      </w:rPr>
      <w:t xml:space="preserve">Overview </w:t>
    </w:r>
    <w:r w:rsidRPr="007A0B56">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DF7EB4">
      <w:rPr>
        <w:rFonts w:ascii="Arial Narrow" w:hAnsi="Arial Narrow"/>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sidRPr="00DF7EB4">
      <w:rPr>
        <w:rFonts w:ascii="Arial Narrow" w:hAnsi="Arial Narrow"/>
        <w:b/>
        <w:color w:val="9A3821" w:themeColor="accent2"/>
      </w:rPr>
      <w:t>Disclosures and legal compliance</w:t>
    </w:r>
    <w:r w:rsidRPr="008074E2">
      <w:rPr>
        <w:rFonts w:ascii="Arial Narrow" w:hAnsi="Arial Narrow"/>
      </w:rPr>
      <w:t xml:space="preserve"> | </w:t>
    </w:r>
    <w:r>
      <w:rPr>
        <w:rFonts w:ascii="Arial Narrow" w:hAnsi="Arial Narrow"/>
      </w:rPr>
      <w:t xml:space="preserve"> Appendices</w:t>
    </w: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8074E2" w:rsidRDefault="00E621C6" w:rsidP="00814BB7">
    <w:pPr>
      <w:pStyle w:val="Header"/>
      <w:pBdr>
        <w:bottom w:val="single" w:sz="4" w:space="1" w:color="auto"/>
      </w:pBdr>
      <w:rPr>
        <w:rFonts w:ascii="Arial Narrow" w:hAnsi="Arial Narrow"/>
      </w:rPr>
    </w:pPr>
    <w:proofErr w:type="gramStart"/>
    <w:r w:rsidRPr="00C4187B">
      <w:rPr>
        <w:rFonts w:ascii="Arial Narrow" w:hAnsi="Arial Narrow"/>
      </w:rPr>
      <w:t>Home</w:t>
    </w:r>
    <w:r w:rsidRPr="00DF7EB4">
      <w:rPr>
        <w:rFonts w:ascii="Arial Narrow" w:hAnsi="Arial Narrow"/>
        <w:color w:val="9A3821" w:themeColor="accent2"/>
      </w:rPr>
      <w:t xml:space="preserve"> </w:t>
    </w:r>
    <w:r w:rsidRPr="008074E2">
      <w:rPr>
        <w:rFonts w:ascii="Arial Narrow" w:hAnsi="Arial Narrow"/>
      </w:rPr>
      <w:t xml:space="preserve"> |</w:t>
    </w:r>
    <w:proofErr w:type="gramEnd"/>
    <w:r w:rsidRPr="008074E2">
      <w:rPr>
        <w:rFonts w:ascii="Arial Narrow" w:hAnsi="Arial Narrow"/>
      </w:rPr>
      <w:t xml:space="preserve"> </w:t>
    </w:r>
    <w:r>
      <w:rPr>
        <w:rFonts w:ascii="Arial Narrow" w:hAnsi="Arial Narrow"/>
      </w:rPr>
      <w:t xml:space="preserve"> </w:t>
    </w:r>
    <w:r w:rsidRPr="004002C7">
      <w:rPr>
        <w:rFonts w:ascii="Arial Narrow" w:hAnsi="Arial Narrow"/>
      </w:rPr>
      <w:t>Contents</w:t>
    </w:r>
    <w:r w:rsidRPr="00DF7EB4">
      <w:rPr>
        <w:rFonts w:ascii="Arial Narrow" w:hAnsi="Arial Narrow"/>
        <w:color w:val="9A3821" w:themeColor="accent2"/>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Overview</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B423AC">
      <w:rPr>
        <w:rFonts w:ascii="Arial Narrow" w:hAnsi="Arial Narrow"/>
      </w:rPr>
      <w:t>Agency performance</w:t>
    </w:r>
    <w:r w:rsidRPr="008074E2">
      <w:rPr>
        <w:rFonts w:ascii="Arial Narrow" w:hAnsi="Arial Narrow"/>
      </w:rPr>
      <w:t xml:space="preserve"> </w:t>
    </w:r>
    <w:r>
      <w:rPr>
        <w:rFonts w:ascii="Arial Narrow" w:hAnsi="Arial Narrow"/>
      </w:rPr>
      <w:t xml:space="preserve"> |</w:t>
    </w:r>
    <w:r w:rsidRPr="00B423AC">
      <w:rPr>
        <w:rFonts w:ascii="Arial Narrow" w:hAnsi="Arial Narrow"/>
        <w:b/>
        <w:color w:val="9A3821" w:themeColor="accent2"/>
      </w:rPr>
      <w:t xml:space="preserve"> Disclosures and legal compliance</w:t>
    </w:r>
    <w:r w:rsidRPr="008074E2">
      <w:rPr>
        <w:rFonts w:ascii="Arial Narrow" w:hAnsi="Arial Narrow"/>
      </w:rPr>
      <w:t xml:space="preserve"> | </w:t>
    </w:r>
    <w:r>
      <w:rPr>
        <w:rFonts w:ascii="Arial Narrow" w:hAnsi="Arial Narrow"/>
      </w:rPr>
      <w:t xml:space="preserve"> </w:t>
    </w:r>
    <w:r w:rsidRPr="008074E2">
      <w:rPr>
        <w:rFonts w:ascii="Arial Narrow" w:hAnsi="Arial Narrow"/>
      </w:rPr>
      <w:t>Appendices</w:t>
    </w:r>
  </w:p>
  <w:p w:rsidR="00E621C6" w:rsidRDefault="00E621C6"/>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C4187B" w:rsidRDefault="00E621C6" w:rsidP="00C4187B">
    <w:pPr>
      <w:pStyle w:val="Header"/>
      <w:pBdr>
        <w:bottom w:val="single" w:sz="4" w:space="1" w:color="auto"/>
      </w:pBdr>
      <w:rPr>
        <w:rFonts w:ascii="Arial Narrow" w:hAnsi="Arial Narrow"/>
      </w:rPr>
    </w:pPr>
    <w:r w:rsidRPr="00C4187B">
      <w:rPr>
        <w:rFonts w:ascii="Arial Narrow" w:hAnsi="Arial Narrow"/>
      </w:rPr>
      <w:t>Home</w:t>
    </w:r>
    <w:r>
      <w:rPr>
        <w:rFonts w:ascii="Arial Narrow" w:hAnsi="Arial Narrow"/>
        <w:b/>
        <w:color w:val="9A3821" w:themeColor="accent2"/>
      </w:rPr>
      <w:t xml:space="preserve"> </w:t>
    </w:r>
    <w:r w:rsidRPr="008074E2">
      <w:rPr>
        <w:rFonts w:ascii="Arial Narrow" w:hAnsi="Arial Narrow"/>
      </w:rPr>
      <w:t xml:space="preserve"> | </w:t>
    </w:r>
    <w:r>
      <w:rPr>
        <w:rFonts w:ascii="Arial Narrow" w:hAnsi="Arial Narrow"/>
      </w:rPr>
      <w:t xml:space="preserve"> </w:t>
    </w:r>
    <w:r w:rsidRPr="007A0B56">
      <w:rPr>
        <w:rFonts w:ascii="Arial Narrow" w:hAnsi="Arial Narrow"/>
      </w:rPr>
      <w:t xml:space="preserve">Contents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BC4EBC">
      <w:rPr>
        <w:rFonts w:ascii="Arial Narrow" w:hAnsi="Arial Narrow"/>
      </w:rPr>
      <w:t xml:space="preserve">Overview </w:t>
    </w:r>
    <w:r w:rsidRPr="007A0B56">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DF7EB4">
      <w:rPr>
        <w:rFonts w:ascii="Arial Narrow" w:hAnsi="Arial Narrow"/>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DF7EB4">
      <w:rPr>
        <w:rFonts w:ascii="Arial Narrow" w:hAnsi="Arial Narrow"/>
      </w:rPr>
      <w:t>Disclosures and legal compliance</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DF7EB4">
      <w:rPr>
        <w:rFonts w:ascii="Arial Narrow" w:hAnsi="Arial Narrow"/>
        <w:b/>
        <w:color w:val="9A3821" w:themeColor="accent2"/>
      </w:rPr>
      <w:t>Appendices</w:t>
    </w: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8074E2" w:rsidRDefault="00E621C6" w:rsidP="00814BB7">
    <w:pPr>
      <w:pStyle w:val="Header"/>
      <w:pBdr>
        <w:bottom w:val="single" w:sz="4" w:space="1" w:color="auto"/>
      </w:pBdr>
      <w:rPr>
        <w:rFonts w:ascii="Arial Narrow" w:hAnsi="Arial Narrow"/>
      </w:rPr>
    </w:pPr>
    <w:r w:rsidRPr="00C4187B">
      <w:rPr>
        <w:rFonts w:ascii="Arial Narrow" w:hAnsi="Arial Narrow"/>
      </w:rPr>
      <w:t>Home</w:t>
    </w:r>
    <w:r w:rsidRPr="00DF7EB4">
      <w:rPr>
        <w:rFonts w:ascii="Arial Narrow" w:hAnsi="Arial Narrow"/>
        <w:color w:val="9A3821" w:themeColor="accent2"/>
      </w:rPr>
      <w:t xml:space="preserve"> </w:t>
    </w:r>
    <w:r w:rsidRPr="008074E2">
      <w:rPr>
        <w:rFonts w:ascii="Arial Narrow" w:hAnsi="Arial Narrow"/>
      </w:rPr>
      <w:t xml:space="preserve"> | </w:t>
    </w:r>
    <w:r>
      <w:rPr>
        <w:rFonts w:ascii="Arial Narrow" w:hAnsi="Arial Narrow"/>
      </w:rPr>
      <w:t xml:space="preserve"> </w:t>
    </w:r>
    <w:r w:rsidRPr="004002C7">
      <w:rPr>
        <w:rFonts w:ascii="Arial Narrow" w:hAnsi="Arial Narrow"/>
      </w:rPr>
      <w:t>Contents</w:t>
    </w:r>
    <w:r w:rsidRPr="00DF7EB4">
      <w:rPr>
        <w:rFonts w:ascii="Arial Narrow" w:hAnsi="Arial Narrow"/>
        <w:color w:val="9A3821" w:themeColor="accent2"/>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Overview</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B423AC">
      <w:rPr>
        <w:rFonts w:ascii="Arial Narrow" w:hAnsi="Arial Narrow"/>
      </w:rPr>
      <w:t>Agency performance</w:t>
    </w:r>
    <w:r w:rsidRPr="008074E2">
      <w:rPr>
        <w:rFonts w:ascii="Arial Narrow" w:hAnsi="Arial Narrow"/>
      </w:rPr>
      <w:t xml:space="preserve"> </w:t>
    </w:r>
    <w:r>
      <w:rPr>
        <w:rFonts w:ascii="Arial Narrow" w:hAnsi="Arial Narrow"/>
      </w:rPr>
      <w:t xml:space="preserve"> |</w:t>
    </w:r>
    <w:r w:rsidRPr="00B423AC">
      <w:rPr>
        <w:rFonts w:ascii="Arial Narrow" w:hAnsi="Arial Narrow"/>
        <w:b/>
        <w:color w:val="9A3821" w:themeColor="accent2"/>
      </w:rPr>
      <w:t xml:space="preserve"> </w:t>
    </w:r>
    <w:r>
      <w:rPr>
        <w:rFonts w:ascii="Arial Narrow" w:hAnsi="Arial Narrow"/>
        <w:b/>
        <w:color w:val="9A3821" w:themeColor="accent2"/>
      </w:rPr>
      <w:t xml:space="preserve"> </w:t>
    </w:r>
    <w:r w:rsidRPr="00DF7EB4">
      <w:rPr>
        <w:rFonts w:ascii="Arial Narrow" w:hAnsi="Arial Narrow"/>
      </w:rPr>
      <w:t>Disclosures and legal compliance</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DF7EB4">
      <w:rPr>
        <w:rFonts w:ascii="Arial Narrow" w:hAnsi="Arial Narrow"/>
        <w:b/>
        <w:color w:val="9A3821" w:themeColor="accent2"/>
      </w:rPr>
      <w:t>Appendices</w:t>
    </w:r>
  </w:p>
  <w:p w:rsidR="00E621C6" w:rsidRDefault="00E621C6"/>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Default="00E621C6"/>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835" w:rsidRDefault="0092183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21835" w:rsidRDefault="00921835">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7A0B56" w:rsidRDefault="00E621C6" w:rsidP="007A0B56">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8074E2" w:rsidRDefault="00E621C6" w:rsidP="00814BB7">
    <w:pPr>
      <w:pStyle w:val="Header"/>
      <w:pBdr>
        <w:bottom w:val="single" w:sz="4" w:space="1" w:color="auto"/>
      </w:pBdr>
      <w:rPr>
        <w:rFonts w:ascii="Arial Narrow" w:hAnsi="Arial Narrow"/>
      </w:rPr>
    </w:pPr>
    <w:r w:rsidRPr="00C4187B">
      <w:rPr>
        <w:rFonts w:ascii="Arial Narrow" w:hAnsi="Arial Narrow"/>
      </w:rPr>
      <w:t>Home</w:t>
    </w:r>
    <w:r>
      <w:rPr>
        <w:rFonts w:ascii="Arial Narrow" w:hAnsi="Arial Narrow"/>
        <w:b/>
        <w:color w:val="9A3821" w:themeColor="accent2"/>
      </w:rPr>
      <w:t xml:space="preserve"> </w:t>
    </w:r>
    <w:r w:rsidRPr="008074E2">
      <w:rPr>
        <w:rFonts w:ascii="Arial Narrow" w:hAnsi="Arial Narrow"/>
      </w:rPr>
      <w:t xml:space="preserve"> | </w:t>
    </w:r>
    <w:r>
      <w:rPr>
        <w:rFonts w:ascii="Arial Narrow" w:hAnsi="Arial Narrow"/>
      </w:rPr>
      <w:t xml:space="preserve"> </w:t>
    </w:r>
    <w:r w:rsidRPr="004002C7">
      <w:rPr>
        <w:rFonts w:ascii="Arial Narrow" w:hAnsi="Arial Narrow"/>
      </w:rPr>
      <w:t>Contents</w:t>
    </w:r>
    <w:r w:rsidRPr="008074E2">
      <w:rPr>
        <w:rFonts w:ascii="Arial Narrow" w:hAnsi="Arial Narrow"/>
        <w:b/>
        <w:color w:val="9A3821" w:themeColor="accent2"/>
      </w:rPr>
      <w:t xml:space="preserve">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Overview</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C4187B">
      <w:rPr>
        <w:rFonts w:ascii="Arial Narrow" w:hAnsi="Arial Narrow"/>
        <w:b/>
        <w:color w:val="9A3821" w:themeColor="accent2"/>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Disclosures and legal compliance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Appendices</w:t>
    </w:r>
  </w:p>
  <w:p w:rsidR="00E621C6" w:rsidRDefault="00E621C6"/>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C4187B" w:rsidRDefault="00E621C6" w:rsidP="00C4187B">
    <w:pPr>
      <w:pStyle w:val="Header"/>
      <w:pBdr>
        <w:bottom w:val="single" w:sz="4" w:space="1" w:color="auto"/>
      </w:pBdr>
      <w:rPr>
        <w:rFonts w:ascii="Arial Narrow" w:hAnsi="Arial Narrow"/>
      </w:rPr>
    </w:pPr>
    <w:r w:rsidRPr="00BA56F7">
      <w:rPr>
        <w:rFonts w:ascii="Arial Narrow" w:hAnsi="Arial Narrow"/>
        <w:b/>
        <w:color w:val="9A3821" w:themeColor="accent2"/>
      </w:rPr>
      <w:t>Home</w:t>
    </w:r>
    <w:r>
      <w:rPr>
        <w:rFonts w:ascii="Arial Narrow" w:hAnsi="Arial Narrow"/>
        <w:b/>
        <w:color w:val="9A3821" w:themeColor="accent2"/>
      </w:rPr>
      <w:t xml:space="preserve"> </w:t>
    </w:r>
    <w:r w:rsidRPr="008074E2">
      <w:rPr>
        <w:rFonts w:ascii="Arial Narrow" w:hAnsi="Arial Narrow"/>
      </w:rPr>
      <w:t xml:space="preserve"> | </w:t>
    </w:r>
    <w:r>
      <w:rPr>
        <w:rFonts w:ascii="Arial Narrow" w:hAnsi="Arial Narrow"/>
      </w:rPr>
      <w:t xml:space="preserve"> </w:t>
    </w:r>
    <w:r w:rsidRPr="004002C7">
      <w:rPr>
        <w:rFonts w:ascii="Arial Narrow" w:hAnsi="Arial Narrow"/>
      </w:rPr>
      <w:t>Contents</w:t>
    </w:r>
    <w:r w:rsidRPr="008074E2">
      <w:rPr>
        <w:rFonts w:ascii="Arial Narrow" w:hAnsi="Arial Narrow"/>
        <w:b/>
        <w:color w:val="9A3821" w:themeColor="accent2"/>
      </w:rPr>
      <w:t xml:space="preserve">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BA56F7">
      <w:rPr>
        <w:rFonts w:ascii="Arial Narrow" w:hAnsi="Arial Narrow"/>
      </w:rPr>
      <w:t>Overview</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C4187B">
      <w:rPr>
        <w:rFonts w:ascii="Arial Narrow" w:hAnsi="Arial Narrow"/>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Disclosures and legal compliance </w:t>
    </w:r>
    <w:r>
      <w:rPr>
        <w:rFonts w:ascii="Arial Narrow" w:hAnsi="Arial Narrow"/>
      </w:rPr>
      <w:t xml:space="preserve"> </w:t>
    </w:r>
    <w:r w:rsidRPr="008074E2">
      <w:rPr>
        <w:rFonts w:ascii="Arial Narrow" w:hAnsi="Arial Narrow"/>
      </w:rPr>
      <w:t xml:space="preserve">| </w:t>
    </w:r>
    <w:r>
      <w:rPr>
        <w:rFonts w:ascii="Arial Narrow" w:hAnsi="Arial Narrow"/>
      </w:rPr>
      <w:t xml:space="preserve"> Appendices</w: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8074E2" w:rsidRDefault="00E621C6" w:rsidP="00814BB7">
    <w:pPr>
      <w:pStyle w:val="Header"/>
      <w:pBdr>
        <w:bottom w:val="single" w:sz="4" w:space="1" w:color="auto"/>
      </w:pBdr>
      <w:rPr>
        <w:rFonts w:ascii="Arial Narrow" w:hAnsi="Arial Narrow"/>
      </w:rPr>
    </w:pPr>
    <w:r w:rsidRPr="007A0B56">
      <w:rPr>
        <w:rFonts w:ascii="Arial Narrow" w:hAnsi="Arial Narrow"/>
        <w:b/>
        <w:color w:val="9A3821" w:themeColor="accent2"/>
      </w:rPr>
      <w:t>Home</w:t>
    </w:r>
    <w:r>
      <w:rPr>
        <w:rFonts w:ascii="Arial Narrow" w:hAnsi="Arial Narrow"/>
        <w:b/>
        <w:color w:val="9A3821" w:themeColor="accent2"/>
      </w:rPr>
      <w:t xml:space="preserve"> </w:t>
    </w:r>
    <w:r w:rsidRPr="008074E2">
      <w:rPr>
        <w:rFonts w:ascii="Arial Narrow" w:hAnsi="Arial Narrow"/>
      </w:rPr>
      <w:t xml:space="preserve"> | </w:t>
    </w:r>
    <w:r>
      <w:rPr>
        <w:rFonts w:ascii="Arial Narrow" w:hAnsi="Arial Narrow"/>
      </w:rPr>
      <w:t xml:space="preserve"> </w:t>
    </w:r>
    <w:r w:rsidRPr="004002C7">
      <w:rPr>
        <w:rFonts w:ascii="Arial Narrow" w:hAnsi="Arial Narrow"/>
      </w:rPr>
      <w:t>Contents</w:t>
    </w:r>
    <w:r w:rsidRPr="008074E2">
      <w:rPr>
        <w:rFonts w:ascii="Arial Narrow" w:hAnsi="Arial Narrow"/>
        <w:b/>
        <w:color w:val="9A3821" w:themeColor="accent2"/>
      </w:rPr>
      <w:t xml:space="preserve">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Overview</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7A0B56">
      <w:rPr>
        <w:rFonts w:ascii="Arial Narrow" w:hAnsi="Arial Narrow"/>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Disclosures and legal compliance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Appendices</w:t>
    </w:r>
  </w:p>
  <w:p w:rsidR="00E621C6" w:rsidRDefault="00E621C6"/>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C4187B" w:rsidRDefault="00E621C6" w:rsidP="00C4187B">
    <w:pPr>
      <w:pStyle w:val="Header"/>
      <w:pBdr>
        <w:bottom w:val="single" w:sz="4" w:space="1" w:color="auto"/>
      </w:pBdr>
      <w:rPr>
        <w:rFonts w:ascii="Arial Narrow" w:hAnsi="Arial Narrow"/>
      </w:rPr>
    </w:pPr>
    <w:r w:rsidRPr="00C4187B">
      <w:rPr>
        <w:rFonts w:ascii="Arial Narrow" w:hAnsi="Arial Narrow"/>
      </w:rPr>
      <w:t>Home</w:t>
    </w:r>
    <w:r>
      <w:rPr>
        <w:rFonts w:ascii="Arial Narrow" w:hAnsi="Arial Narrow"/>
        <w:b/>
        <w:color w:val="9A3821" w:themeColor="accent2"/>
      </w:rPr>
      <w:t xml:space="preserve"> </w:t>
    </w:r>
    <w:r w:rsidRPr="008074E2">
      <w:rPr>
        <w:rFonts w:ascii="Arial Narrow" w:hAnsi="Arial Narrow"/>
      </w:rPr>
      <w:t xml:space="preserve"> | </w:t>
    </w:r>
    <w:r>
      <w:rPr>
        <w:rFonts w:ascii="Arial Narrow" w:hAnsi="Arial Narrow"/>
      </w:rPr>
      <w:t xml:space="preserve"> </w:t>
    </w:r>
    <w:r w:rsidRPr="007A0B56">
      <w:rPr>
        <w:rFonts w:ascii="Arial Narrow" w:hAnsi="Arial Narrow"/>
        <w:b/>
        <w:color w:val="9A3821" w:themeColor="accent2"/>
      </w:rPr>
      <w:t>Contents</w:t>
    </w:r>
    <w:r w:rsidRPr="008074E2">
      <w:rPr>
        <w:rFonts w:ascii="Arial Narrow" w:hAnsi="Arial Narrow"/>
        <w:b/>
        <w:color w:val="9A3821" w:themeColor="accent2"/>
      </w:rPr>
      <w:t xml:space="preserve">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7A0B56">
      <w:rPr>
        <w:rFonts w:ascii="Arial Narrow" w:hAnsi="Arial Narrow"/>
      </w:rPr>
      <w:t>Overview</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C4187B">
      <w:rPr>
        <w:rFonts w:ascii="Arial Narrow" w:hAnsi="Arial Narrow"/>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Disclosures and legal compliance </w:t>
    </w:r>
    <w:r>
      <w:rPr>
        <w:rFonts w:ascii="Arial Narrow" w:hAnsi="Arial Narrow"/>
      </w:rPr>
      <w:t xml:space="preserve"> </w:t>
    </w:r>
    <w:r w:rsidRPr="008074E2">
      <w:rPr>
        <w:rFonts w:ascii="Arial Narrow" w:hAnsi="Arial Narrow"/>
      </w:rPr>
      <w:t xml:space="preserve">| </w:t>
    </w:r>
    <w:r>
      <w:rPr>
        <w:rFonts w:ascii="Arial Narrow" w:hAnsi="Arial Narrow"/>
      </w:rPr>
      <w:t xml:space="preserve"> Appendices</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E621C6" w:rsidRPr="008074E2" w:rsidRDefault="00E621C6" w:rsidP="00814BB7">
    <w:pPr>
      <w:pStyle w:val="Header"/>
      <w:pBdr>
        <w:bottom w:val="single" w:sz="4" w:space="1" w:color="auto"/>
      </w:pBdr>
      <w:rPr>
        <w:rFonts w:ascii="Arial Narrow" w:hAnsi="Arial Narrow"/>
      </w:rPr>
    </w:pPr>
    <w:r w:rsidRPr="00C4187B">
      <w:rPr>
        <w:rFonts w:ascii="Arial Narrow" w:hAnsi="Arial Narrow"/>
      </w:rPr>
      <w:t>Home</w:t>
    </w:r>
    <w:r>
      <w:rPr>
        <w:rFonts w:ascii="Arial Narrow" w:hAnsi="Arial Narrow"/>
        <w:b/>
        <w:color w:val="9A3821" w:themeColor="accent2"/>
      </w:rPr>
      <w:t xml:space="preserve"> </w:t>
    </w:r>
    <w:r w:rsidRPr="008074E2">
      <w:rPr>
        <w:rFonts w:ascii="Arial Narrow" w:hAnsi="Arial Narrow"/>
      </w:rPr>
      <w:t xml:space="preserve"> | </w:t>
    </w:r>
    <w:r>
      <w:rPr>
        <w:rFonts w:ascii="Arial Narrow" w:hAnsi="Arial Narrow"/>
      </w:rPr>
      <w:t xml:space="preserve"> </w:t>
    </w:r>
    <w:r w:rsidRPr="007A0B56">
      <w:rPr>
        <w:rFonts w:ascii="Arial Narrow" w:hAnsi="Arial Narrow"/>
        <w:b/>
        <w:color w:val="9A3821" w:themeColor="accent2"/>
      </w:rPr>
      <w:t>Contents</w:t>
    </w:r>
    <w:r w:rsidRPr="008074E2">
      <w:rPr>
        <w:rFonts w:ascii="Arial Narrow" w:hAnsi="Arial Narrow"/>
        <w:b/>
        <w:color w:val="9A3821" w:themeColor="accent2"/>
      </w:rPr>
      <w:t xml:space="preserve"> </w:t>
    </w:r>
    <w:r>
      <w:rPr>
        <w:rFonts w:ascii="Arial Narrow" w:hAnsi="Arial Narrow"/>
        <w:b/>
        <w:color w:val="9A3821" w:themeColor="accent2"/>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Overview</w:t>
    </w:r>
    <w:r>
      <w:rPr>
        <w:rFonts w:ascii="Arial Narrow" w:hAnsi="Arial Narrow"/>
      </w:rPr>
      <w:t xml:space="preserve"> </w:t>
    </w:r>
    <w:r w:rsidRPr="008074E2">
      <w:rPr>
        <w:rFonts w:ascii="Arial Narrow" w:hAnsi="Arial Narrow"/>
      </w:rPr>
      <w:t xml:space="preserve"> | </w:t>
    </w:r>
    <w:r>
      <w:rPr>
        <w:rFonts w:ascii="Arial Narrow" w:hAnsi="Arial Narrow"/>
      </w:rPr>
      <w:t xml:space="preserve"> </w:t>
    </w:r>
    <w:r w:rsidRPr="007A0B56">
      <w:rPr>
        <w:rFonts w:ascii="Arial Narrow" w:hAnsi="Arial Narrow"/>
      </w:rPr>
      <w:t>Agency performance</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 xml:space="preserve">Disclosures and legal compliance </w:t>
    </w:r>
    <w:r>
      <w:rPr>
        <w:rFonts w:ascii="Arial Narrow" w:hAnsi="Arial Narrow"/>
      </w:rPr>
      <w:t xml:space="preserve"> </w:t>
    </w:r>
    <w:r w:rsidRPr="008074E2">
      <w:rPr>
        <w:rFonts w:ascii="Arial Narrow" w:hAnsi="Arial Narrow"/>
      </w:rPr>
      <w:t xml:space="preserve">| </w:t>
    </w:r>
    <w:r>
      <w:rPr>
        <w:rFonts w:ascii="Arial Narrow" w:hAnsi="Arial Narrow"/>
      </w:rPr>
      <w:t xml:space="preserve"> </w:t>
    </w:r>
    <w:r w:rsidRPr="008074E2">
      <w:rPr>
        <w:rFonts w:ascii="Arial Narrow" w:hAnsi="Arial Narrow"/>
      </w:rPr>
      <w:t>Appendices</w:t>
    </w:r>
  </w:p>
  <w:p w:rsidR="00E621C6" w:rsidRDefault="00E621C6"/>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A9D86B08"/>
    <w:lvl w:ilvl="0">
      <w:start w:val="1"/>
      <w:numFmt w:val="decimal"/>
      <w:pStyle w:val="ListNumber5"/>
      <w:lvlText w:val="%1."/>
      <w:lvlJc w:val="left"/>
      <w:pPr>
        <w:tabs>
          <w:tab w:val="num" w:pos="1416"/>
        </w:tabs>
        <w:ind w:left="1416" w:hanging="360"/>
      </w:pPr>
    </w:lvl>
  </w:abstractNum>
  <w:abstractNum w:abstractNumId="1">
    <w:nsid w:val="FFFFFF7D"/>
    <w:multiLevelType w:val="singleLevel"/>
    <w:tmpl w:val="D592F838"/>
    <w:lvl w:ilvl="0">
      <w:start w:val="1"/>
      <w:numFmt w:val="decimal"/>
      <w:pStyle w:val="ListNumber4"/>
      <w:lvlText w:val="%1."/>
      <w:lvlJc w:val="left"/>
      <w:pPr>
        <w:tabs>
          <w:tab w:val="num" w:pos="1209"/>
        </w:tabs>
        <w:ind w:left="1209" w:hanging="360"/>
      </w:pPr>
    </w:lvl>
  </w:abstractNum>
  <w:abstractNum w:abstractNumId="2">
    <w:nsid w:val="FFFFFF7E"/>
    <w:multiLevelType w:val="singleLevel"/>
    <w:tmpl w:val="D7C65CC6"/>
    <w:lvl w:ilvl="0">
      <w:start w:val="1"/>
      <w:numFmt w:val="decimal"/>
      <w:pStyle w:val="ListNumber3"/>
      <w:lvlText w:val="%1."/>
      <w:lvlJc w:val="left"/>
      <w:pPr>
        <w:tabs>
          <w:tab w:val="num" w:pos="926"/>
        </w:tabs>
        <w:ind w:left="926" w:hanging="360"/>
      </w:pPr>
    </w:lvl>
  </w:abstractNum>
  <w:abstractNum w:abstractNumId="3">
    <w:nsid w:val="FFFFFF7F"/>
    <w:multiLevelType w:val="singleLevel"/>
    <w:tmpl w:val="2AEADDBC"/>
    <w:lvl w:ilvl="0">
      <w:start w:val="1"/>
      <w:numFmt w:val="decimal"/>
      <w:pStyle w:val="ListNumber2"/>
      <w:lvlText w:val="%1."/>
      <w:lvlJc w:val="left"/>
      <w:pPr>
        <w:tabs>
          <w:tab w:val="num" w:pos="643"/>
        </w:tabs>
        <w:ind w:left="643" w:hanging="360"/>
      </w:pPr>
    </w:lvl>
  </w:abstractNum>
  <w:abstractNum w:abstractNumId="4">
    <w:nsid w:val="FFFFFF80"/>
    <w:multiLevelType w:val="singleLevel"/>
    <w:tmpl w:val="72E436DC"/>
    <w:lvl w:ilvl="0">
      <w:start w:val="1"/>
      <w:numFmt w:val="bullet"/>
      <w:pStyle w:val="ListBullet5"/>
      <w:lvlText w:val=""/>
      <w:lvlJc w:val="left"/>
      <w:pPr>
        <w:tabs>
          <w:tab w:val="num" w:pos="1492"/>
        </w:tabs>
        <w:ind w:left="1492" w:hanging="360"/>
      </w:pPr>
      <w:rPr>
        <w:rFonts w:ascii="Symbol" w:hAnsi="Symbol" w:hint="default"/>
      </w:rPr>
    </w:lvl>
  </w:abstractNum>
  <w:abstractNum w:abstractNumId="5">
    <w:nsid w:val="FFFFFF81"/>
    <w:multiLevelType w:val="singleLevel"/>
    <w:tmpl w:val="2DAEB240"/>
    <w:lvl w:ilvl="0">
      <w:start w:val="1"/>
      <w:numFmt w:val="bullet"/>
      <w:pStyle w:val="ListBullet4"/>
      <w:lvlText w:val=""/>
      <w:lvlJc w:val="left"/>
      <w:pPr>
        <w:tabs>
          <w:tab w:val="num" w:pos="1209"/>
        </w:tabs>
        <w:ind w:left="1209" w:hanging="360"/>
      </w:pPr>
      <w:rPr>
        <w:rFonts w:ascii="Symbol" w:hAnsi="Symbol" w:hint="default"/>
      </w:rPr>
    </w:lvl>
  </w:abstractNum>
  <w:abstractNum w:abstractNumId="6">
    <w:nsid w:val="FFFFFF82"/>
    <w:multiLevelType w:val="singleLevel"/>
    <w:tmpl w:val="1E20169C"/>
    <w:lvl w:ilvl="0">
      <w:start w:val="1"/>
      <w:numFmt w:val="bullet"/>
      <w:pStyle w:val="ListBullet3"/>
      <w:lvlText w:val=""/>
      <w:lvlJc w:val="left"/>
      <w:pPr>
        <w:tabs>
          <w:tab w:val="num" w:pos="926"/>
        </w:tabs>
        <w:ind w:left="926" w:hanging="360"/>
      </w:pPr>
      <w:rPr>
        <w:rFonts w:ascii="Symbol" w:hAnsi="Symbol" w:hint="default"/>
      </w:rPr>
    </w:lvl>
  </w:abstractNum>
  <w:abstractNum w:abstractNumId="7">
    <w:nsid w:val="FFFFFF83"/>
    <w:multiLevelType w:val="singleLevel"/>
    <w:tmpl w:val="A4FAA66E"/>
    <w:lvl w:ilvl="0">
      <w:start w:val="1"/>
      <w:numFmt w:val="bullet"/>
      <w:pStyle w:val="ListBullet2"/>
      <w:lvlText w:val=""/>
      <w:lvlJc w:val="left"/>
      <w:pPr>
        <w:tabs>
          <w:tab w:val="num" w:pos="643"/>
        </w:tabs>
        <w:ind w:left="643" w:hanging="360"/>
      </w:pPr>
      <w:rPr>
        <w:rFonts w:ascii="Symbol" w:hAnsi="Symbol" w:hint="default"/>
      </w:rPr>
    </w:lvl>
  </w:abstractNum>
  <w:abstractNum w:abstractNumId="8">
    <w:nsid w:val="FFFFFF88"/>
    <w:multiLevelType w:val="singleLevel"/>
    <w:tmpl w:val="7E1446B6"/>
    <w:lvl w:ilvl="0">
      <w:start w:val="1"/>
      <w:numFmt w:val="decimal"/>
      <w:pStyle w:val="ListNumber"/>
      <w:lvlText w:val="%1."/>
      <w:lvlJc w:val="left"/>
      <w:pPr>
        <w:tabs>
          <w:tab w:val="num" w:pos="360"/>
        </w:tabs>
        <w:ind w:left="360" w:hanging="360"/>
      </w:pPr>
    </w:lvl>
  </w:abstractNum>
  <w:abstractNum w:abstractNumId="9">
    <w:nsid w:val="FFFFFF89"/>
    <w:multiLevelType w:val="singleLevel"/>
    <w:tmpl w:val="F8080B34"/>
    <w:lvl w:ilvl="0">
      <w:start w:val="1"/>
      <w:numFmt w:val="bullet"/>
      <w:pStyle w:val="ListBullet"/>
      <w:lvlText w:val=""/>
      <w:lvlJc w:val="left"/>
      <w:pPr>
        <w:tabs>
          <w:tab w:val="num" w:pos="360"/>
        </w:tabs>
        <w:ind w:left="360" w:hanging="360"/>
      </w:pPr>
      <w:rPr>
        <w:rFonts w:ascii="Symbol" w:hAnsi="Symbol" w:hint="default"/>
      </w:rPr>
    </w:lvl>
  </w:abstractNum>
  <w:abstractNum w:abstractNumId="10">
    <w:nsid w:val="030D2C1D"/>
    <w:multiLevelType w:val="hybridMultilevel"/>
    <w:tmpl w:val="8A8CC2B2"/>
    <w:lvl w:ilvl="0" w:tplc="9614E9D8">
      <w:start w:val="1"/>
      <w:numFmt w:val="lowerLetter"/>
      <w:lvlText w:val="(%1)"/>
      <w:lvlJc w:val="left"/>
      <w:pPr>
        <w:ind w:left="2138" w:hanging="360"/>
      </w:pPr>
      <w:rPr>
        <w:rFonts w:hint="default"/>
      </w:rPr>
    </w:lvl>
    <w:lvl w:ilvl="1" w:tplc="0C090019" w:tentative="1">
      <w:start w:val="1"/>
      <w:numFmt w:val="lowerLetter"/>
      <w:lvlText w:val="%2."/>
      <w:lvlJc w:val="left"/>
      <w:pPr>
        <w:ind w:left="2858" w:hanging="360"/>
      </w:pPr>
    </w:lvl>
    <w:lvl w:ilvl="2" w:tplc="0C09001B" w:tentative="1">
      <w:start w:val="1"/>
      <w:numFmt w:val="lowerRoman"/>
      <w:lvlText w:val="%3."/>
      <w:lvlJc w:val="right"/>
      <w:pPr>
        <w:ind w:left="3578" w:hanging="180"/>
      </w:pPr>
    </w:lvl>
    <w:lvl w:ilvl="3" w:tplc="0C09000F" w:tentative="1">
      <w:start w:val="1"/>
      <w:numFmt w:val="decimal"/>
      <w:lvlText w:val="%4."/>
      <w:lvlJc w:val="left"/>
      <w:pPr>
        <w:ind w:left="4298" w:hanging="360"/>
      </w:pPr>
    </w:lvl>
    <w:lvl w:ilvl="4" w:tplc="0C090019" w:tentative="1">
      <w:start w:val="1"/>
      <w:numFmt w:val="lowerLetter"/>
      <w:lvlText w:val="%5."/>
      <w:lvlJc w:val="left"/>
      <w:pPr>
        <w:ind w:left="5018" w:hanging="360"/>
      </w:pPr>
    </w:lvl>
    <w:lvl w:ilvl="5" w:tplc="0C09001B" w:tentative="1">
      <w:start w:val="1"/>
      <w:numFmt w:val="lowerRoman"/>
      <w:lvlText w:val="%6."/>
      <w:lvlJc w:val="right"/>
      <w:pPr>
        <w:ind w:left="5738" w:hanging="180"/>
      </w:pPr>
    </w:lvl>
    <w:lvl w:ilvl="6" w:tplc="0C09000F" w:tentative="1">
      <w:start w:val="1"/>
      <w:numFmt w:val="decimal"/>
      <w:lvlText w:val="%7."/>
      <w:lvlJc w:val="left"/>
      <w:pPr>
        <w:ind w:left="6458" w:hanging="360"/>
      </w:pPr>
    </w:lvl>
    <w:lvl w:ilvl="7" w:tplc="0C090019" w:tentative="1">
      <w:start w:val="1"/>
      <w:numFmt w:val="lowerLetter"/>
      <w:lvlText w:val="%8."/>
      <w:lvlJc w:val="left"/>
      <w:pPr>
        <w:ind w:left="7178" w:hanging="360"/>
      </w:pPr>
    </w:lvl>
    <w:lvl w:ilvl="8" w:tplc="0C09001B" w:tentative="1">
      <w:start w:val="1"/>
      <w:numFmt w:val="lowerRoman"/>
      <w:lvlText w:val="%9."/>
      <w:lvlJc w:val="right"/>
      <w:pPr>
        <w:ind w:left="7898" w:hanging="180"/>
      </w:pPr>
    </w:lvl>
  </w:abstractNum>
  <w:abstractNum w:abstractNumId="11">
    <w:nsid w:val="07212A15"/>
    <w:multiLevelType w:val="hybridMultilevel"/>
    <w:tmpl w:val="4B8CA2B6"/>
    <w:lvl w:ilvl="0" w:tplc="0C09000F">
      <w:start w:val="1"/>
      <w:numFmt w:val="decimal"/>
      <w:lvlText w:val="%1."/>
      <w:lvlJc w:val="left"/>
      <w:pPr>
        <w:ind w:left="2138" w:hanging="360"/>
      </w:pPr>
    </w:lvl>
    <w:lvl w:ilvl="1" w:tplc="0C090019" w:tentative="1">
      <w:start w:val="1"/>
      <w:numFmt w:val="lowerLetter"/>
      <w:lvlText w:val="%2."/>
      <w:lvlJc w:val="left"/>
      <w:pPr>
        <w:ind w:left="2858" w:hanging="360"/>
      </w:pPr>
    </w:lvl>
    <w:lvl w:ilvl="2" w:tplc="0C09001B" w:tentative="1">
      <w:start w:val="1"/>
      <w:numFmt w:val="lowerRoman"/>
      <w:lvlText w:val="%3."/>
      <w:lvlJc w:val="right"/>
      <w:pPr>
        <w:ind w:left="3578" w:hanging="180"/>
      </w:pPr>
    </w:lvl>
    <w:lvl w:ilvl="3" w:tplc="0C09000F" w:tentative="1">
      <w:start w:val="1"/>
      <w:numFmt w:val="decimal"/>
      <w:lvlText w:val="%4."/>
      <w:lvlJc w:val="left"/>
      <w:pPr>
        <w:ind w:left="4298" w:hanging="360"/>
      </w:pPr>
    </w:lvl>
    <w:lvl w:ilvl="4" w:tplc="0C090019" w:tentative="1">
      <w:start w:val="1"/>
      <w:numFmt w:val="lowerLetter"/>
      <w:lvlText w:val="%5."/>
      <w:lvlJc w:val="left"/>
      <w:pPr>
        <w:ind w:left="5018" w:hanging="360"/>
      </w:pPr>
    </w:lvl>
    <w:lvl w:ilvl="5" w:tplc="0C09001B" w:tentative="1">
      <w:start w:val="1"/>
      <w:numFmt w:val="lowerRoman"/>
      <w:lvlText w:val="%6."/>
      <w:lvlJc w:val="right"/>
      <w:pPr>
        <w:ind w:left="5738" w:hanging="180"/>
      </w:pPr>
    </w:lvl>
    <w:lvl w:ilvl="6" w:tplc="0C09000F" w:tentative="1">
      <w:start w:val="1"/>
      <w:numFmt w:val="decimal"/>
      <w:lvlText w:val="%7."/>
      <w:lvlJc w:val="left"/>
      <w:pPr>
        <w:ind w:left="6458" w:hanging="360"/>
      </w:pPr>
    </w:lvl>
    <w:lvl w:ilvl="7" w:tplc="0C090019" w:tentative="1">
      <w:start w:val="1"/>
      <w:numFmt w:val="lowerLetter"/>
      <w:lvlText w:val="%8."/>
      <w:lvlJc w:val="left"/>
      <w:pPr>
        <w:ind w:left="7178" w:hanging="360"/>
      </w:pPr>
    </w:lvl>
    <w:lvl w:ilvl="8" w:tplc="0C09001B" w:tentative="1">
      <w:start w:val="1"/>
      <w:numFmt w:val="lowerRoman"/>
      <w:lvlText w:val="%9."/>
      <w:lvlJc w:val="right"/>
      <w:pPr>
        <w:ind w:left="7898" w:hanging="180"/>
      </w:pPr>
    </w:lvl>
  </w:abstractNum>
  <w:abstractNum w:abstractNumId="12">
    <w:nsid w:val="0A631AF4"/>
    <w:multiLevelType w:val="hybridMultilevel"/>
    <w:tmpl w:val="88EAF3DC"/>
    <w:lvl w:ilvl="0" w:tplc="7D1CFC8E">
      <w:start w:val="1"/>
      <w:numFmt w:val="lowerLetter"/>
      <w:lvlText w:val="(%1)"/>
      <w:lvlJc w:val="left"/>
      <w:pPr>
        <w:ind w:left="1854" w:hanging="360"/>
      </w:pPr>
      <w:rPr>
        <w:rFonts w:hint="default"/>
      </w:rPr>
    </w:lvl>
    <w:lvl w:ilvl="1" w:tplc="0C090019" w:tentative="1">
      <w:start w:val="1"/>
      <w:numFmt w:val="lowerLetter"/>
      <w:lvlText w:val="%2."/>
      <w:lvlJc w:val="left"/>
      <w:pPr>
        <w:ind w:left="2574" w:hanging="360"/>
      </w:pPr>
    </w:lvl>
    <w:lvl w:ilvl="2" w:tplc="0C09001B" w:tentative="1">
      <w:start w:val="1"/>
      <w:numFmt w:val="lowerRoman"/>
      <w:lvlText w:val="%3."/>
      <w:lvlJc w:val="right"/>
      <w:pPr>
        <w:ind w:left="3294" w:hanging="180"/>
      </w:pPr>
    </w:lvl>
    <w:lvl w:ilvl="3" w:tplc="0C09000F" w:tentative="1">
      <w:start w:val="1"/>
      <w:numFmt w:val="decimal"/>
      <w:lvlText w:val="%4."/>
      <w:lvlJc w:val="left"/>
      <w:pPr>
        <w:ind w:left="4014" w:hanging="360"/>
      </w:pPr>
    </w:lvl>
    <w:lvl w:ilvl="4" w:tplc="0C090019" w:tentative="1">
      <w:start w:val="1"/>
      <w:numFmt w:val="lowerLetter"/>
      <w:lvlText w:val="%5."/>
      <w:lvlJc w:val="left"/>
      <w:pPr>
        <w:ind w:left="4734" w:hanging="360"/>
      </w:pPr>
    </w:lvl>
    <w:lvl w:ilvl="5" w:tplc="0C09001B" w:tentative="1">
      <w:start w:val="1"/>
      <w:numFmt w:val="lowerRoman"/>
      <w:lvlText w:val="%6."/>
      <w:lvlJc w:val="right"/>
      <w:pPr>
        <w:ind w:left="5454" w:hanging="180"/>
      </w:pPr>
    </w:lvl>
    <w:lvl w:ilvl="6" w:tplc="0C09000F" w:tentative="1">
      <w:start w:val="1"/>
      <w:numFmt w:val="decimal"/>
      <w:lvlText w:val="%7."/>
      <w:lvlJc w:val="left"/>
      <w:pPr>
        <w:ind w:left="6174" w:hanging="360"/>
      </w:pPr>
    </w:lvl>
    <w:lvl w:ilvl="7" w:tplc="0C090019" w:tentative="1">
      <w:start w:val="1"/>
      <w:numFmt w:val="lowerLetter"/>
      <w:lvlText w:val="%8."/>
      <w:lvlJc w:val="left"/>
      <w:pPr>
        <w:ind w:left="6894" w:hanging="360"/>
      </w:pPr>
    </w:lvl>
    <w:lvl w:ilvl="8" w:tplc="0C09001B" w:tentative="1">
      <w:start w:val="1"/>
      <w:numFmt w:val="lowerRoman"/>
      <w:lvlText w:val="%9."/>
      <w:lvlJc w:val="right"/>
      <w:pPr>
        <w:ind w:left="7614" w:hanging="180"/>
      </w:pPr>
    </w:lvl>
  </w:abstractNum>
  <w:abstractNum w:abstractNumId="13">
    <w:nsid w:val="0DF8140B"/>
    <w:multiLevelType w:val="hybridMultilevel"/>
    <w:tmpl w:val="8A8CC2B2"/>
    <w:lvl w:ilvl="0" w:tplc="9614E9D8">
      <w:start w:val="1"/>
      <w:numFmt w:val="lowerLetter"/>
      <w:lvlText w:val="(%1)"/>
      <w:lvlJc w:val="left"/>
      <w:pPr>
        <w:ind w:left="2138" w:hanging="360"/>
      </w:pPr>
      <w:rPr>
        <w:rFonts w:hint="default"/>
      </w:rPr>
    </w:lvl>
    <w:lvl w:ilvl="1" w:tplc="0C090019" w:tentative="1">
      <w:start w:val="1"/>
      <w:numFmt w:val="lowerLetter"/>
      <w:lvlText w:val="%2."/>
      <w:lvlJc w:val="left"/>
      <w:pPr>
        <w:ind w:left="2858" w:hanging="360"/>
      </w:pPr>
    </w:lvl>
    <w:lvl w:ilvl="2" w:tplc="0C09001B" w:tentative="1">
      <w:start w:val="1"/>
      <w:numFmt w:val="lowerRoman"/>
      <w:lvlText w:val="%3."/>
      <w:lvlJc w:val="right"/>
      <w:pPr>
        <w:ind w:left="3578" w:hanging="180"/>
      </w:pPr>
    </w:lvl>
    <w:lvl w:ilvl="3" w:tplc="0C09000F" w:tentative="1">
      <w:start w:val="1"/>
      <w:numFmt w:val="decimal"/>
      <w:lvlText w:val="%4."/>
      <w:lvlJc w:val="left"/>
      <w:pPr>
        <w:ind w:left="4298" w:hanging="360"/>
      </w:pPr>
    </w:lvl>
    <w:lvl w:ilvl="4" w:tplc="0C090019" w:tentative="1">
      <w:start w:val="1"/>
      <w:numFmt w:val="lowerLetter"/>
      <w:lvlText w:val="%5."/>
      <w:lvlJc w:val="left"/>
      <w:pPr>
        <w:ind w:left="5018" w:hanging="360"/>
      </w:pPr>
    </w:lvl>
    <w:lvl w:ilvl="5" w:tplc="0C09001B" w:tentative="1">
      <w:start w:val="1"/>
      <w:numFmt w:val="lowerRoman"/>
      <w:lvlText w:val="%6."/>
      <w:lvlJc w:val="right"/>
      <w:pPr>
        <w:ind w:left="5738" w:hanging="180"/>
      </w:pPr>
    </w:lvl>
    <w:lvl w:ilvl="6" w:tplc="0C09000F" w:tentative="1">
      <w:start w:val="1"/>
      <w:numFmt w:val="decimal"/>
      <w:lvlText w:val="%7."/>
      <w:lvlJc w:val="left"/>
      <w:pPr>
        <w:ind w:left="6458" w:hanging="360"/>
      </w:pPr>
    </w:lvl>
    <w:lvl w:ilvl="7" w:tplc="0C090019" w:tentative="1">
      <w:start w:val="1"/>
      <w:numFmt w:val="lowerLetter"/>
      <w:lvlText w:val="%8."/>
      <w:lvlJc w:val="left"/>
      <w:pPr>
        <w:ind w:left="7178" w:hanging="360"/>
      </w:pPr>
    </w:lvl>
    <w:lvl w:ilvl="8" w:tplc="0C09001B" w:tentative="1">
      <w:start w:val="1"/>
      <w:numFmt w:val="lowerRoman"/>
      <w:lvlText w:val="%9."/>
      <w:lvlJc w:val="right"/>
      <w:pPr>
        <w:ind w:left="7898" w:hanging="180"/>
      </w:pPr>
    </w:lvl>
  </w:abstractNum>
  <w:abstractNum w:abstractNumId="14">
    <w:nsid w:val="116B7192"/>
    <w:multiLevelType w:val="hybridMultilevel"/>
    <w:tmpl w:val="70E0A68E"/>
    <w:lvl w:ilvl="0" w:tplc="0C090001">
      <w:start w:val="1"/>
      <w:numFmt w:val="bullet"/>
      <w:lvlText w:val=""/>
      <w:lvlJc w:val="left"/>
      <w:pPr>
        <w:ind w:left="1854" w:hanging="360"/>
      </w:pPr>
      <w:rPr>
        <w:rFonts w:ascii="Symbol" w:hAnsi="Symbol" w:hint="default"/>
      </w:rPr>
    </w:lvl>
    <w:lvl w:ilvl="1" w:tplc="ACCC7C62">
      <w:start w:val="1"/>
      <w:numFmt w:val="bullet"/>
      <w:lvlText w:val="-"/>
      <w:lvlJc w:val="left"/>
      <w:pPr>
        <w:ind w:left="2574" w:hanging="360"/>
      </w:pPr>
      <w:rPr>
        <w:rFonts w:ascii="Courier New" w:hAnsi="Courier New" w:hint="default"/>
      </w:rPr>
    </w:lvl>
    <w:lvl w:ilvl="2" w:tplc="0C090005" w:tentative="1">
      <w:start w:val="1"/>
      <w:numFmt w:val="bullet"/>
      <w:lvlText w:val=""/>
      <w:lvlJc w:val="left"/>
      <w:pPr>
        <w:ind w:left="3294" w:hanging="360"/>
      </w:pPr>
      <w:rPr>
        <w:rFonts w:ascii="Wingdings" w:hAnsi="Wingdings" w:hint="default"/>
      </w:rPr>
    </w:lvl>
    <w:lvl w:ilvl="3" w:tplc="0C090001" w:tentative="1">
      <w:start w:val="1"/>
      <w:numFmt w:val="bullet"/>
      <w:lvlText w:val=""/>
      <w:lvlJc w:val="left"/>
      <w:pPr>
        <w:ind w:left="4014" w:hanging="360"/>
      </w:pPr>
      <w:rPr>
        <w:rFonts w:ascii="Symbol" w:hAnsi="Symbol" w:hint="default"/>
      </w:rPr>
    </w:lvl>
    <w:lvl w:ilvl="4" w:tplc="0C090003" w:tentative="1">
      <w:start w:val="1"/>
      <w:numFmt w:val="bullet"/>
      <w:lvlText w:val="o"/>
      <w:lvlJc w:val="left"/>
      <w:pPr>
        <w:ind w:left="4734" w:hanging="360"/>
      </w:pPr>
      <w:rPr>
        <w:rFonts w:ascii="Courier New" w:hAnsi="Courier New" w:cs="Courier New" w:hint="default"/>
      </w:rPr>
    </w:lvl>
    <w:lvl w:ilvl="5" w:tplc="0C090005" w:tentative="1">
      <w:start w:val="1"/>
      <w:numFmt w:val="bullet"/>
      <w:lvlText w:val=""/>
      <w:lvlJc w:val="left"/>
      <w:pPr>
        <w:ind w:left="5454" w:hanging="360"/>
      </w:pPr>
      <w:rPr>
        <w:rFonts w:ascii="Wingdings" w:hAnsi="Wingdings" w:hint="default"/>
      </w:rPr>
    </w:lvl>
    <w:lvl w:ilvl="6" w:tplc="0C090001" w:tentative="1">
      <w:start w:val="1"/>
      <w:numFmt w:val="bullet"/>
      <w:lvlText w:val=""/>
      <w:lvlJc w:val="left"/>
      <w:pPr>
        <w:ind w:left="6174" w:hanging="360"/>
      </w:pPr>
      <w:rPr>
        <w:rFonts w:ascii="Symbol" w:hAnsi="Symbol" w:hint="default"/>
      </w:rPr>
    </w:lvl>
    <w:lvl w:ilvl="7" w:tplc="0C090003" w:tentative="1">
      <w:start w:val="1"/>
      <w:numFmt w:val="bullet"/>
      <w:lvlText w:val="o"/>
      <w:lvlJc w:val="left"/>
      <w:pPr>
        <w:ind w:left="6894" w:hanging="360"/>
      </w:pPr>
      <w:rPr>
        <w:rFonts w:ascii="Courier New" w:hAnsi="Courier New" w:cs="Courier New" w:hint="default"/>
      </w:rPr>
    </w:lvl>
    <w:lvl w:ilvl="8" w:tplc="0C090005" w:tentative="1">
      <w:start w:val="1"/>
      <w:numFmt w:val="bullet"/>
      <w:lvlText w:val=""/>
      <w:lvlJc w:val="left"/>
      <w:pPr>
        <w:ind w:left="7614" w:hanging="360"/>
      </w:pPr>
      <w:rPr>
        <w:rFonts w:ascii="Wingdings" w:hAnsi="Wingdings" w:hint="default"/>
      </w:rPr>
    </w:lvl>
  </w:abstractNum>
  <w:abstractNum w:abstractNumId="15">
    <w:nsid w:val="1B0C5115"/>
    <w:multiLevelType w:val="hybridMultilevel"/>
    <w:tmpl w:val="41A6DF46"/>
    <w:lvl w:ilvl="0" w:tplc="49769964">
      <w:start w:val="1"/>
      <w:numFmt w:val="lowerLetter"/>
      <w:lvlText w:val="(%1)"/>
      <w:lvlJc w:val="left"/>
      <w:pPr>
        <w:ind w:left="1778" w:hanging="360"/>
      </w:pPr>
      <w:rPr>
        <w:rFonts w:hint="default"/>
      </w:rPr>
    </w:lvl>
    <w:lvl w:ilvl="1" w:tplc="0C090019" w:tentative="1">
      <w:start w:val="1"/>
      <w:numFmt w:val="lowerLetter"/>
      <w:lvlText w:val="%2."/>
      <w:lvlJc w:val="left"/>
      <w:pPr>
        <w:ind w:left="2498" w:hanging="360"/>
      </w:pPr>
    </w:lvl>
    <w:lvl w:ilvl="2" w:tplc="0C09001B" w:tentative="1">
      <w:start w:val="1"/>
      <w:numFmt w:val="lowerRoman"/>
      <w:lvlText w:val="%3."/>
      <w:lvlJc w:val="right"/>
      <w:pPr>
        <w:ind w:left="3218" w:hanging="180"/>
      </w:pPr>
    </w:lvl>
    <w:lvl w:ilvl="3" w:tplc="0C09000F" w:tentative="1">
      <w:start w:val="1"/>
      <w:numFmt w:val="decimal"/>
      <w:lvlText w:val="%4."/>
      <w:lvlJc w:val="left"/>
      <w:pPr>
        <w:ind w:left="3938" w:hanging="360"/>
      </w:pPr>
    </w:lvl>
    <w:lvl w:ilvl="4" w:tplc="0C090019" w:tentative="1">
      <w:start w:val="1"/>
      <w:numFmt w:val="lowerLetter"/>
      <w:lvlText w:val="%5."/>
      <w:lvlJc w:val="left"/>
      <w:pPr>
        <w:ind w:left="4658" w:hanging="360"/>
      </w:pPr>
    </w:lvl>
    <w:lvl w:ilvl="5" w:tplc="0C09001B" w:tentative="1">
      <w:start w:val="1"/>
      <w:numFmt w:val="lowerRoman"/>
      <w:lvlText w:val="%6."/>
      <w:lvlJc w:val="right"/>
      <w:pPr>
        <w:ind w:left="5378" w:hanging="180"/>
      </w:pPr>
    </w:lvl>
    <w:lvl w:ilvl="6" w:tplc="0C09000F" w:tentative="1">
      <w:start w:val="1"/>
      <w:numFmt w:val="decimal"/>
      <w:lvlText w:val="%7."/>
      <w:lvlJc w:val="left"/>
      <w:pPr>
        <w:ind w:left="6098" w:hanging="360"/>
      </w:pPr>
    </w:lvl>
    <w:lvl w:ilvl="7" w:tplc="0C090019" w:tentative="1">
      <w:start w:val="1"/>
      <w:numFmt w:val="lowerLetter"/>
      <w:lvlText w:val="%8."/>
      <w:lvlJc w:val="left"/>
      <w:pPr>
        <w:ind w:left="6818" w:hanging="360"/>
      </w:pPr>
    </w:lvl>
    <w:lvl w:ilvl="8" w:tplc="0C09001B" w:tentative="1">
      <w:start w:val="1"/>
      <w:numFmt w:val="lowerRoman"/>
      <w:lvlText w:val="%9."/>
      <w:lvlJc w:val="right"/>
      <w:pPr>
        <w:ind w:left="7538" w:hanging="180"/>
      </w:pPr>
    </w:lvl>
  </w:abstractNum>
  <w:abstractNum w:abstractNumId="16">
    <w:nsid w:val="23300ED7"/>
    <w:multiLevelType w:val="hybridMultilevel"/>
    <w:tmpl w:val="C758ED2A"/>
    <w:lvl w:ilvl="0" w:tplc="1CBCC404">
      <w:start w:val="1"/>
      <w:numFmt w:val="decimal"/>
      <w:lvlText w:val="%1."/>
      <w:lvlJc w:val="left"/>
      <w:pPr>
        <w:ind w:left="1353" w:hanging="360"/>
      </w:pPr>
      <w:rPr>
        <w:rFonts w:hint="default"/>
      </w:rPr>
    </w:lvl>
    <w:lvl w:ilvl="1" w:tplc="0C090019" w:tentative="1">
      <w:start w:val="1"/>
      <w:numFmt w:val="lowerLetter"/>
      <w:lvlText w:val="%2."/>
      <w:lvlJc w:val="left"/>
      <w:pPr>
        <w:ind w:left="2073" w:hanging="360"/>
      </w:pPr>
    </w:lvl>
    <w:lvl w:ilvl="2" w:tplc="0C09001B" w:tentative="1">
      <w:start w:val="1"/>
      <w:numFmt w:val="lowerRoman"/>
      <w:lvlText w:val="%3."/>
      <w:lvlJc w:val="right"/>
      <w:pPr>
        <w:ind w:left="2793" w:hanging="180"/>
      </w:pPr>
    </w:lvl>
    <w:lvl w:ilvl="3" w:tplc="0C09000F" w:tentative="1">
      <w:start w:val="1"/>
      <w:numFmt w:val="decimal"/>
      <w:lvlText w:val="%4."/>
      <w:lvlJc w:val="left"/>
      <w:pPr>
        <w:ind w:left="3513" w:hanging="360"/>
      </w:pPr>
    </w:lvl>
    <w:lvl w:ilvl="4" w:tplc="0C090019" w:tentative="1">
      <w:start w:val="1"/>
      <w:numFmt w:val="lowerLetter"/>
      <w:lvlText w:val="%5."/>
      <w:lvlJc w:val="left"/>
      <w:pPr>
        <w:ind w:left="4233" w:hanging="360"/>
      </w:pPr>
    </w:lvl>
    <w:lvl w:ilvl="5" w:tplc="0C09001B" w:tentative="1">
      <w:start w:val="1"/>
      <w:numFmt w:val="lowerRoman"/>
      <w:lvlText w:val="%6."/>
      <w:lvlJc w:val="right"/>
      <w:pPr>
        <w:ind w:left="4953" w:hanging="180"/>
      </w:pPr>
    </w:lvl>
    <w:lvl w:ilvl="6" w:tplc="0C09000F" w:tentative="1">
      <w:start w:val="1"/>
      <w:numFmt w:val="decimal"/>
      <w:lvlText w:val="%7."/>
      <w:lvlJc w:val="left"/>
      <w:pPr>
        <w:ind w:left="5673" w:hanging="360"/>
      </w:pPr>
    </w:lvl>
    <w:lvl w:ilvl="7" w:tplc="0C090019" w:tentative="1">
      <w:start w:val="1"/>
      <w:numFmt w:val="lowerLetter"/>
      <w:lvlText w:val="%8."/>
      <w:lvlJc w:val="left"/>
      <w:pPr>
        <w:ind w:left="6393" w:hanging="360"/>
      </w:pPr>
    </w:lvl>
    <w:lvl w:ilvl="8" w:tplc="0C09001B" w:tentative="1">
      <w:start w:val="1"/>
      <w:numFmt w:val="lowerRoman"/>
      <w:lvlText w:val="%9."/>
      <w:lvlJc w:val="right"/>
      <w:pPr>
        <w:ind w:left="7113" w:hanging="180"/>
      </w:pPr>
    </w:lvl>
  </w:abstractNum>
  <w:abstractNum w:abstractNumId="17">
    <w:nsid w:val="24F213C4"/>
    <w:multiLevelType w:val="hybridMultilevel"/>
    <w:tmpl w:val="13228182"/>
    <w:lvl w:ilvl="0" w:tplc="9614E9D8">
      <w:start w:val="1"/>
      <w:numFmt w:val="lowerLetter"/>
      <w:lvlText w:val="(%1)"/>
      <w:lvlJc w:val="left"/>
      <w:pPr>
        <w:ind w:left="2138" w:hanging="360"/>
      </w:pPr>
      <w:rPr>
        <w:rFonts w:hint="default"/>
      </w:rPr>
    </w:lvl>
    <w:lvl w:ilvl="1" w:tplc="0C090019" w:tentative="1">
      <w:start w:val="1"/>
      <w:numFmt w:val="lowerLetter"/>
      <w:lvlText w:val="%2."/>
      <w:lvlJc w:val="left"/>
      <w:pPr>
        <w:ind w:left="2858" w:hanging="360"/>
      </w:pPr>
    </w:lvl>
    <w:lvl w:ilvl="2" w:tplc="0C09001B" w:tentative="1">
      <w:start w:val="1"/>
      <w:numFmt w:val="lowerRoman"/>
      <w:lvlText w:val="%3."/>
      <w:lvlJc w:val="right"/>
      <w:pPr>
        <w:ind w:left="3578" w:hanging="180"/>
      </w:pPr>
    </w:lvl>
    <w:lvl w:ilvl="3" w:tplc="0C09000F" w:tentative="1">
      <w:start w:val="1"/>
      <w:numFmt w:val="decimal"/>
      <w:lvlText w:val="%4."/>
      <w:lvlJc w:val="left"/>
      <w:pPr>
        <w:ind w:left="4298" w:hanging="360"/>
      </w:pPr>
    </w:lvl>
    <w:lvl w:ilvl="4" w:tplc="0C090019" w:tentative="1">
      <w:start w:val="1"/>
      <w:numFmt w:val="lowerLetter"/>
      <w:lvlText w:val="%5."/>
      <w:lvlJc w:val="left"/>
      <w:pPr>
        <w:ind w:left="5018" w:hanging="360"/>
      </w:pPr>
    </w:lvl>
    <w:lvl w:ilvl="5" w:tplc="0C09001B" w:tentative="1">
      <w:start w:val="1"/>
      <w:numFmt w:val="lowerRoman"/>
      <w:lvlText w:val="%6."/>
      <w:lvlJc w:val="right"/>
      <w:pPr>
        <w:ind w:left="5738" w:hanging="180"/>
      </w:pPr>
    </w:lvl>
    <w:lvl w:ilvl="6" w:tplc="0C09000F" w:tentative="1">
      <w:start w:val="1"/>
      <w:numFmt w:val="decimal"/>
      <w:lvlText w:val="%7."/>
      <w:lvlJc w:val="left"/>
      <w:pPr>
        <w:ind w:left="6458" w:hanging="360"/>
      </w:pPr>
    </w:lvl>
    <w:lvl w:ilvl="7" w:tplc="0C090019" w:tentative="1">
      <w:start w:val="1"/>
      <w:numFmt w:val="lowerLetter"/>
      <w:lvlText w:val="%8."/>
      <w:lvlJc w:val="left"/>
      <w:pPr>
        <w:ind w:left="7178" w:hanging="360"/>
      </w:pPr>
    </w:lvl>
    <w:lvl w:ilvl="8" w:tplc="0C09001B" w:tentative="1">
      <w:start w:val="1"/>
      <w:numFmt w:val="lowerRoman"/>
      <w:lvlText w:val="%9."/>
      <w:lvlJc w:val="right"/>
      <w:pPr>
        <w:ind w:left="7898" w:hanging="180"/>
      </w:pPr>
    </w:lvl>
  </w:abstractNum>
  <w:abstractNum w:abstractNumId="18">
    <w:nsid w:val="28DB26C8"/>
    <w:multiLevelType w:val="hybridMultilevel"/>
    <w:tmpl w:val="F0AC98D2"/>
    <w:lvl w:ilvl="0" w:tplc="8AFA4056">
      <w:start w:val="1"/>
      <w:numFmt w:val="decimal"/>
      <w:lvlText w:val="Phase %1:"/>
      <w:lvlJc w:val="left"/>
      <w:pPr>
        <w:ind w:left="2138" w:hanging="360"/>
      </w:pPr>
      <w:rPr>
        <w:rFonts w:hint="default"/>
      </w:rPr>
    </w:lvl>
    <w:lvl w:ilvl="1" w:tplc="8AFA4056">
      <w:start w:val="1"/>
      <w:numFmt w:val="decimal"/>
      <w:lvlText w:val="Phase %2:"/>
      <w:lvlJc w:val="left"/>
      <w:pPr>
        <w:ind w:left="1440" w:hanging="360"/>
      </w:pPr>
      <w:rPr>
        <w:rFonts w:hint="default"/>
      </w:r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9">
    <w:nsid w:val="2AFC4381"/>
    <w:multiLevelType w:val="hybridMultilevel"/>
    <w:tmpl w:val="73B69E5A"/>
    <w:lvl w:ilvl="0" w:tplc="6832D4F6">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0">
    <w:nsid w:val="303B03D7"/>
    <w:multiLevelType w:val="hybridMultilevel"/>
    <w:tmpl w:val="375AF408"/>
    <w:lvl w:ilvl="0" w:tplc="7D1CFC8E">
      <w:start w:val="1"/>
      <w:numFmt w:val="lowerLetter"/>
      <w:lvlText w:val="(%1)"/>
      <w:lvlJc w:val="left"/>
      <w:pPr>
        <w:ind w:left="1854" w:hanging="360"/>
      </w:pPr>
      <w:rPr>
        <w:rFonts w:hint="default"/>
      </w:rPr>
    </w:lvl>
    <w:lvl w:ilvl="1" w:tplc="0C090019" w:tentative="1">
      <w:start w:val="1"/>
      <w:numFmt w:val="lowerLetter"/>
      <w:lvlText w:val="%2."/>
      <w:lvlJc w:val="left"/>
      <w:pPr>
        <w:ind w:left="2574" w:hanging="360"/>
      </w:pPr>
    </w:lvl>
    <w:lvl w:ilvl="2" w:tplc="0C09001B" w:tentative="1">
      <w:start w:val="1"/>
      <w:numFmt w:val="lowerRoman"/>
      <w:lvlText w:val="%3."/>
      <w:lvlJc w:val="right"/>
      <w:pPr>
        <w:ind w:left="3294" w:hanging="180"/>
      </w:pPr>
    </w:lvl>
    <w:lvl w:ilvl="3" w:tplc="0C09000F" w:tentative="1">
      <w:start w:val="1"/>
      <w:numFmt w:val="decimal"/>
      <w:lvlText w:val="%4."/>
      <w:lvlJc w:val="left"/>
      <w:pPr>
        <w:ind w:left="4014" w:hanging="360"/>
      </w:pPr>
    </w:lvl>
    <w:lvl w:ilvl="4" w:tplc="0C090019" w:tentative="1">
      <w:start w:val="1"/>
      <w:numFmt w:val="lowerLetter"/>
      <w:lvlText w:val="%5."/>
      <w:lvlJc w:val="left"/>
      <w:pPr>
        <w:ind w:left="4734" w:hanging="360"/>
      </w:pPr>
    </w:lvl>
    <w:lvl w:ilvl="5" w:tplc="0C09001B" w:tentative="1">
      <w:start w:val="1"/>
      <w:numFmt w:val="lowerRoman"/>
      <w:lvlText w:val="%6."/>
      <w:lvlJc w:val="right"/>
      <w:pPr>
        <w:ind w:left="5454" w:hanging="180"/>
      </w:pPr>
    </w:lvl>
    <w:lvl w:ilvl="6" w:tplc="0C09000F" w:tentative="1">
      <w:start w:val="1"/>
      <w:numFmt w:val="decimal"/>
      <w:lvlText w:val="%7."/>
      <w:lvlJc w:val="left"/>
      <w:pPr>
        <w:ind w:left="6174" w:hanging="360"/>
      </w:pPr>
    </w:lvl>
    <w:lvl w:ilvl="7" w:tplc="0C090019" w:tentative="1">
      <w:start w:val="1"/>
      <w:numFmt w:val="lowerLetter"/>
      <w:lvlText w:val="%8."/>
      <w:lvlJc w:val="left"/>
      <w:pPr>
        <w:ind w:left="6894" w:hanging="360"/>
      </w:pPr>
    </w:lvl>
    <w:lvl w:ilvl="8" w:tplc="0C09001B" w:tentative="1">
      <w:start w:val="1"/>
      <w:numFmt w:val="lowerRoman"/>
      <w:lvlText w:val="%9."/>
      <w:lvlJc w:val="right"/>
      <w:pPr>
        <w:ind w:left="7614" w:hanging="180"/>
      </w:pPr>
    </w:lvl>
  </w:abstractNum>
  <w:abstractNum w:abstractNumId="21">
    <w:nsid w:val="353B6284"/>
    <w:multiLevelType w:val="hybridMultilevel"/>
    <w:tmpl w:val="57E2EA12"/>
    <w:lvl w:ilvl="0" w:tplc="7D1CFC8E">
      <w:start w:val="1"/>
      <w:numFmt w:val="lowerLetter"/>
      <w:lvlText w:val="(%1)"/>
      <w:lvlJc w:val="left"/>
      <w:pPr>
        <w:ind w:left="1854" w:hanging="360"/>
      </w:pPr>
      <w:rPr>
        <w:rFonts w:hint="default"/>
      </w:rPr>
    </w:lvl>
    <w:lvl w:ilvl="1" w:tplc="0C090019" w:tentative="1">
      <w:start w:val="1"/>
      <w:numFmt w:val="lowerLetter"/>
      <w:lvlText w:val="%2."/>
      <w:lvlJc w:val="left"/>
      <w:pPr>
        <w:ind w:left="2574" w:hanging="360"/>
      </w:pPr>
    </w:lvl>
    <w:lvl w:ilvl="2" w:tplc="0C09001B" w:tentative="1">
      <w:start w:val="1"/>
      <w:numFmt w:val="lowerRoman"/>
      <w:lvlText w:val="%3."/>
      <w:lvlJc w:val="right"/>
      <w:pPr>
        <w:ind w:left="3294" w:hanging="180"/>
      </w:pPr>
    </w:lvl>
    <w:lvl w:ilvl="3" w:tplc="0C09000F" w:tentative="1">
      <w:start w:val="1"/>
      <w:numFmt w:val="decimal"/>
      <w:lvlText w:val="%4."/>
      <w:lvlJc w:val="left"/>
      <w:pPr>
        <w:ind w:left="4014" w:hanging="360"/>
      </w:pPr>
    </w:lvl>
    <w:lvl w:ilvl="4" w:tplc="0C090019" w:tentative="1">
      <w:start w:val="1"/>
      <w:numFmt w:val="lowerLetter"/>
      <w:lvlText w:val="%5."/>
      <w:lvlJc w:val="left"/>
      <w:pPr>
        <w:ind w:left="4734" w:hanging="360"/>
      </w:pPr>
    </w:lvl>
    <w:lvl w:ilvl="5" w:tplc="0C09001B" w:tentative="1">
      <w:start w:val="1"/>
      <w:numFmt w:val="lowerRoman"/>
      <w:lvlText w:val="%6."/>
      <w:lvlJc w:val="right"/>
      <w:pPr>
        <w:ind w:left="5454" w:hanging="180"/>
      </w:pPr>
    </w:lvl>
    <w:lvl w:ilvl="6" w:tplc="0C09000F" w:tentative="1">
      <w:start w:val="1"/>
      <w:numFmt w:val="decimal"/>
      <w:lvlText w:val="%7."/>
      <w:lvlJc w:val="left"/>
      <w:pPr>
        <w:ind w:left="6174" w:hanging="360"/>
      </w:pPr>
    </w:lvl>
    <w:lvl w:ilvl="7" w:tplc="0C090019" w:tentative="1">
      <w:start w:val="1"/>
      <w:numFmt w:val="lowerLetter"/>
      <w:lvlText w:val="%8."/>
      <w:lvlJc w:val="left"/>
      <w:pPr>
        <w:ind w:left="6894" w:hanging="360"/>
      </w:pPr>
    </w:lvl>
    <w:lvl w:ilvl="8" w:tplc="0C09001B" w:tentative="1">
      <w:start w:val="1"/>
      <w:numFmt w:val="lowerRoman"/>
      <w:lvlText w:val="%9."/>
      <w:lvlJc w:val="right"/>
      <w:pPr>
        <w:ind w:left="7614" w:hanging="180"/>
      </w:pPr>
    </w:lvl>
  </w:abstractNum>
  <w:abstractNum w:abstractNumId="22">
    <w:nsid w:val="37FA2A9C"/>
    <w:multiLevelType w:val="hybridMultilevel"/>
    <w:tmpl w:val="12523EEE"/>
    <w:lvl w:ilvl="0" w:tplc="2F949DA4">
      <w:start w:val="1"/>
      <w:numFmt w:val="decimal"/>
      <w:lvlText w:val="%1."/>
      <w:lvlJc w:val="left"/>
      <w:pPr>
        <w:ind w:left="1778" w:hanging="360"/>
      </w:pPr>
      <w:rPr>
        <w:rFonts w:hint="default"/>
      </w:rPr>
    </w:lvl>
    <w:lvl w:ilvl="1" w:tplc="0C090019" w:tentative="1">
      <w:start w:val="1"/>
      <w:numFmt w:val="lowerLetter"/>
      <w:lvlText w:val="%2."/>
      <w:lvlJc w:val="left"/>
      <w:pPr>
        <w:ind w:left="2498" w:hanging="360"/>
      </w:pPr>
    </w:lvl>
    <w:lvl w:ilvl="2" w:tplc="0C09001B" w:tentative="1">
      <w:start w:val="1"/>
      <w:numFmt w:val="lowerRoman"/>
      <w:lvlText w:val="%3."/>
      <w:lvlJc w:val="right"/>
      <w:pPr>
        <w:ind w:left="3218" w:hanging="180"/>
      </w:pPr>
    </w:lvl>
    <w:lvl w:ilvl="3" w:tplc="0C09000F" w:tentative="1">
      <w:start w:val="1"/>
      <w:numFmt w:val="decimal"/>
      <w:lvlText w:val="%4."/>
      <w:lvlJc w:val="left"/>
      <w:pPr>
        <w:ind w:left="3938" w:hanging="360"/>
      </w:pPr>
    </w:lvl>
    <w:lvl w:ilvl="4" w:tplc="0C090019" w:tentative="1">
      <w:start w:val="1"/>
      <w:numFmt w:val="lowerLetter"/>
      <w:lvlText w:val="%5."/>
      <w:lvlJc w:val="left"/>
      <w:pPr>
        <w:ind w:left="4658" w:hanging="360"/>
      </w:pPr>
    </w:lvl>
    <w:lvl w:ilvl="5" w:tplc="0C09001B" w:tentative="1">
      <w:start w:val="1"/>
      <w:numFmt w:val="lowerRoman"/>
      <w:lvlText w:val="%6."/>
      <w:lvlJc w:val="right"/>
      <w:pPr>
        <w:ind w:left="5378" w:hanging="180"/>
      </w:pPr>
    </w:lvl>
    <w:lvl w:ilvl="6" w:tplc="0C09000F" w:tentative="1">
      <w:start w:val="1"/>
      <w:numFmt w:val="decimal"/>
      <w:lvlText w:val="%7."/>
      <w:lvlJc w:val="left"/>
      <w:pPr>
        <w:ind w:left="6098" w:hanging="360"/>
      </w:pPr>
    </w:lvl>
    <w:lvl w:ilvl="7" w:tplc="0C090019" w:tentative="1">
      <w:start w:val="1"/>
      <w:numFmt w:val="lowerLetter"/>
      <w:lvlText w:val="%8."/>
      <w:lvlJc w:val="left"/>
      <w:pPr>
        <w:ind w:left="6818" w:hanging="360"/>
      </w:pPr>
    </w:lvl>
    <w:lvl w:ilvl="8" w:tplc="0C09001B" w:tentative="1">
      <w:start w:val="1"/>
      <w:numFmt w:val="lowerRoman"/>
      <w:lvlText w:val="%9."/>
      <w:lvlJc w:val="right"/>
      <w:pPr>
        <w:ind w:left="7538" w:hanging="180"/>
      </w:pPr>
    </w:lvl>
  </w:abstractNum>
  <w:abstractNum w:abstractNumId="23">
    <w:nsid w:val="38431BAC"/>
    <w:multiLevelType w:val="hybridMultilevel"/>
    <w:tmpl w:val="863EA09C"/>
    <w:lvl w:ilvl="0" w:tplc="276CBEF6">
      <w:start w:val="1"/>
      <w:numFmt w:val="decimal"/>
      <w:pStyle w:val="KPIsubheading"/>
      <w:lvlText w:val="%1."/>
      <w:lvlJc w:val="left"/>
      <w:pPr>
        <w:ind w:left="1854" w:hanging="360"/>
      </w:pPr>
    </w:lvl>
    <w:lvl w:ilvl="1" w:tplc="0C090019" w:tentative="1">
      <w:start w:val="1"/>
      <w:numFmt w:val="lowerLetter"/>
      <w:lvlText w:val="%2."/>
      <w:lvlJc w:val="left"/>
      <w:pPr>
        <w:ind w:left="2574" w:hanging="360"/>
      </w:pPr>
    </w:lvl>
    <w:lvl w:ilvl="2" w:tplc="0C09001B" w:tentative="1">
      <w:start w:val="1"/>
      <w:numFmt w:val="lowerRoman"/>
      <w:lvlText w:val="%3."/>
      <w:lvlJc w:val="right"/>
      <w:pPr>
        <w:ind w:left="3294" w:hanging="180"/>
      </w:pPr>
    </w:lvl>
    <w:lvl w:ilvl="3" w:tplc="0C09000F" w:tentative="1">
      <w:start w:val="1"/>
      <w:numFmt w:val="decimal"/>
      <w:lvlText w:val="%4."/>
      <w:lvlJc w:val="left"/>
      <w:pPr>
        <w:ind w:left="4014" w:hanging="360"/>
      </w:pPr>
    </w:lvl>
    <w:lvl w:ilvl="4" w:tplc="0C090019" w:tentative="1">
      <w:start w:val="1"/>
      <w:numFmt w:val="lowerLetter"/>
      <w:lvlText w:val="%5."/>
      <w:lvlJc w:val="left"/>
      <w:pPr>
        <w:ind w:left="4734" w:hanging="360"/>
      </w:pPr>
    </w:lvl>
    <w:lvl w:ilvl="5" w:tplc="0C09001B" w:tentative="1">
      <w:start w:val="1"/>
      <w:numFmt w:val="lowerRoman"/>
      <w:lvlText w:val="%6."/>
      <w:lvlJc w:val="right"/>
      <w:pPr>
        <w:ind w:left="5454" w:hanging="180"/>
      </w:pPr>
    </w:lvl>
    <w:lvl w:ilvl="6" w:tplc="0C09000F" w:tentative="1">
      <w:start w:val="1"/>
      <w:numFmt w:val="decimal"/>
      <w:lvlText w:val="%7."/>
      <w:lvlJc w:val="left"/>
      <w:pPr>
        <w:ind w:left="6174" w:hanging="360"/>
      </w:pPr>
    </w:lvl>
    <w:lvl w:ilvl="7" w:tplc="0C090019" w:tentative="1">
      <w:start w:val="1"/>
      <w:numFmt w:val="lowerLetter"/>
      <w:lvlText w:val="%8."/>
      <w:lvlJc w:val="left"/>
      <w:pPr>
        <w:ind w:left="6894" w:hanging="360"/>
      </w:pPr>
    </w:lvl>
    <w:lvl w:ilvl="8" w:tplc="0C09001B" w:tentative="1">
      <w:start w:val="1"/>
      <w:numFmt w:val="lowerRoman"/>
      <w:lvlText w:val="%9."/>
      <w:lvlJc w:val="right"/>
      <w:pPr>
        <w:ind w:left="7614" w:hanging="180"/>
      </w:pPr>
    </w:lvl>
  </w:abstractNum>
  <w:abstractNum w:abstractNumId="24">
    <w:nsid w:val="3C473BE2"/>
    <w:multiLevelType w:val="hybridMultilevel"/>
    <w:tmpl w:val="1C5A0D5C"/>
    <w:lvl w:ilvl="0" w:tplc="915E5CE4">
      <w:start w:val="1"/>
      <w:numFmt w:val="lowerLet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25">
    <w:nsid w:val="3CF67892"/>
    <w:multiLevelType w:val="hybridMultilevel"/>
    <w:tmpl w:val="D786DB02"/>
    <w:lvl w:ilvl="0" w:tplc="999CA578">
      <w:start w:val="1"/>
      <w:numFmt w:val="bullet"/>
      <w:pStyle w:val="ListParagraph2"/>
      <w:lvlText w:val=""/>
      <w:lvlJc w:val="left"/>
      <w:pPr>
        <w:ind w:left="3087" w:hanging="360"/>
      </w:pPr>
      <w:rPr>
        <w:rFonts w:ascii="Wingdings" w:hAnsi="Wingdings" w:hint="default"/>
      </w:rPr>
    </w:lvl>
    <w:lvl w:ilvl="1" w:tplc="0C090003" w:tentative="1">
      <w:start w:val="1"/>
      <w:numFmt w:val="bullet"/>
      <w:lvlText w:val="o"/>
      <w:lvlJc w:val="left"/>
      <w:pPr>
        <w:ind w:left="3807" w:hanging="360"/>
      </w:pPr>
      <w:rPr>
        <w:rFonts w:ascii="Courier New" w:hAnsi="Courier New" w:cs="Courier New" w:hint="default"/>
      </w:rPr>
    </w:lvl>
    <w:lvl w:ilvl="2" w:tplc="0C090005" w:tentative="1">
      <w:start w:val="1"/>
      <w:numFmt w:val="bullet"/>
      <w:lvlText w:val=""/>
      <w:lvlJc w:val="left"/>
      <w:pPr>
        <w:ind w:left="4527" w:hanging="360"/>
      </w:pPr>
      <w:rPr>
        <w:rFonts w:ascii="Wingdings" w:hAnsi="Wingdings" w:hint="default"/>
      </w:rPr>
    </w:lvl>
    <w:lvl w:ilvl="3" w:tplc="0C090001" w:tentative="1">
      <w:start w:val="1"/>
      <w:numFmt w:val="bullet"/>
      <w:lvlText w:val=""/>
      <w:lvlJc w:val="left"/>
      <w:pPr>
        <w:ind w:left="5247" w:hanging="360"/>
      </w:pPr>
      <w:rPr>
        <w:rFonts w:ascii="Symbol" w:hAnsi="Symbol" w:hint="default"/>
      </w:rPr>
    </w:lvl>
    <w:lvl w:ilvl="4" w:tplc="0C090003" w:tentative="1">
      <w:start w:val="1"/>
      <w:numFmt w:val="bullet"/>
      <w:lvlText w:val="o"/>
      <w:lvlJc w:val="left"/>
      <w:pPr>
        <w:ind w:left="5967" w:hanging="360"/>
      </w:pPr>
      <w:rPr>
        <w:rFonts w:ascii="Courier New" w:hAnsi="Courier New" w:cs="Courier New" w:hint="default"/>
      </w:rPr>
    </w:lvl>
    <w:lvl w:ilvl="5" w:tplc="0C090005" w:tentative="1">
      <w:start w:val="1"/>
      <w:numFmt w:val="bullet"/>
      <w:lvlText w:val=""/>
      <w:lvlJc w:val="left"/>
      <w:pPr>
        <w:ind w:left="6687" w:hanging="360"/>
      </w:pPr>
      <w:rPr>
        <w:rFonts w:ascii="Wingdings" w:hAnsi="Wingdings" w:hint="default"/>
      </w:rPr>
    </w:lvl>
    <w:lvl w:ilvl="6" w:tplc="0C090001" w:tentative="1">
      <w:start w:val="1"/>
      <w:numFmt w:val="bullet"/>
      <w:lvlText w:val=""/>
      <w:lvlJc w:val="left"/>
      <w:pPr>
        <w:ind w:left="7407" w:hanging="360"/>
      </w:pPr>
      <w:rPr>
        <w:rFonts w:ascii="Symbol" w:hAnsi="Symbol" w:hint="default"/>
      </w:rPr>
    </w:lvl>
    <w:lvl w:ilvl="7" w:tplc="0C090003" w:tentative="1">
      <w:start w:val="1"/>
      <w:numFmt w:val="bullet"/>
      <w:lvlText w:val="o"/>
      <w:lvlJc w:val="left"/>
      <w:pPr>
        <w:ind w:left="8127" w:hanging="360"/>
      </w:pPr>
      <w:rPr>
        <w:rFonts w:ascii="Courier New" w:hAnsi="Courier New" w:cs="Courier New" w:hint="default"/>
      </w:rPr>
    </w:lvl>
    <w:lvl w:ilvl="8" w:tplc="0C090005" w:tentative="1">
      <w:start w:val="1"/>
      <w:numFmt w:val="bullet"/>
      <w:lvlText w:val=""/>
      <w:lvlJc w:val="left"/>
      <w:pPr>
        <w:ind w:left="8847" w:hanging="360"/>
      </w:pPr>
      <w:rPr>
        <w:rFonts w:ascii="Wingdings" w:hAnsi="Wingdings" w:hint="default"/>
      </w:rPr>
    </w:lvl>
  </w:abstractNum>
  <w:abstractNum w:abstractNumId="26">
    <w:nsid w:val="434D31B6"/>
    <w:multiLevelType w:val="hybridMultilevel"/>
    <w:tmpl w:val="99ACC3B6"/>
    <w:lvl w:ilvl="0" w:tplc="9614E9D8">
      <w:start w:val="1"/>
      <w:numFmt w:val="lowerLetter"/>
      <w:lvlText w:val="(%1)"/>
      <w:lvlJc w:val="left"/>
      <w:pPr>
        <w:ind w:left="2138" w:hanging="360"/>
      </w:pPr>
      <w:rPr>
        <w:rFonts w:hint="default"/>
      </w:rPr>
    </w:lvl>
    <w:lvl w:ilvl="1" w:tplc="0C090019" w:tentative="1">
      <w:start w:val="1"/>
      <w:numFmt w:val="lowerLetter"/>
      <w:lvlText w:val="%2."/>
      <w:lvlJc w:val="left"/>
      <w:pPr>
        <w:ind w:left="2858" w:hanging="360"/>
      </w:pPr>
    </w:lvl>
    <w:lvl w:ilvl="2" w:tplc="0C09001B" w:tentative="1">
      <w:start w:val="1"/>
      <w:numFmt w:val="lowerRoman"/>
      <w:lvlText w:val="%3."/>
      <w:lvlJc w:val="right"/>
      <w:pPr>
        <w:ind w:left="3578" w:hanging="180"/>
      </w:pPr>
    </w:lvl>
    <w:lvl w:ilvl="3" w:tplc="0C09000F" w:tentative="1">
      <w:start w:val="1"/>
      <w:numFmt w:val="decimal"/>
      <w:lvlText w:val="%4."/>
      <w:lvlJc w:val="left"/>
      <w:pPr>
        <w:ind w:left="4298" w:hanging="360"/>
      </w:pPr>
    </w:lvl>
    <w:lvl w:ilvl="4" w:tplc="0C090019" w:tentative="1">
      <w:start w:val="1"/>
      <w:numFmt w:val="lowerLetter"/>
      <w:lvlText w:val="%5."/>
      <w:lvlJc w:val="left"/>
      <w:pPr>
        <w:ind w:left="5018" w:hanging="360"/>
      </w:pPr>
    </w:lvl>
    <w:lvl w:ilvl="5" w:tplc="0C09001B" w:tentative="1">
      <w:start w:val="1"/>
      <w:numFmt w:val="lowerRoman"/>
      <w:lvlText w:val="%6."/>
      <w:lvlJc w:val="right"/>
      <w:pPr>
        <w:ind w:left="5738" w:hanging="180"/>
      </w:pPr>
    </w:lvl>
    <w:lvl w:ilvl="6" w:tplc="0C09000F" w:tentative="1">
      <w:start w:val="1"/>
      <w:numFmt w:val="decimal"/>
      <w:lvlText w:val="%7."/>
      <w:lvlJc w:val="left"/>
      <w:pPr>
        <w:ind w:left="6458" w:hanging="360"/>
      </w:pPr>
    </w:lvl>
    <w:lvl w:ilvl="7" w:tplc="0C090019" w:tentative="1">
      <w:start w:val="1"/>
      <w:numFmt w:val="lowerLetter"/>
      <w:lvlText w:val="%8."/>
      <w:lvlJc w:val="left"/>
      <w:pPr>
        <w:ind w:left="7178" w:hanging="360"/>
      </w:pPr>
    </w:lvl>
    <w:lvl w:ilvl="8" w:tplc="0C09001B" w:tentative="1">
      <w:start w:val="1"/>
      <w:numFmt w:val="lowerRoman"/>
      <w:lvlText w:val="%9."/>
      <w:lvlJc w:val="right"/>
      <w:pPr>
        <w:ind w:left="7898" w:hanging="180"/>
      </w:pPr>
    </w:lvl>
  </w:abstractNum>
  <w:abstractNum w:abstractNumId="27">
    <w:nsid w:val="48A7758A"/>
    <w:multiLevelType w:val="multilevel"/>
    <w:tmpl w:val="E514E63C"/>
    <w:styleLink w:val="Bulletpoint"/>
    <w:lvl w:ilvl="0">
      <w:start w:val="1"/>
      <w:numFmt w:val="bullet"/>
      <w:lvlText w:val=""/>
      <w:lvlJc w:val="left"/>
      <w:pPr>
        <w:ind w:left="850" w:hanging="360"/>
      </w:pPr>
      <w:rPr>
        <w:rFonts w:ascii="Symbol" w:hAnsi="Symbol"/>
        <w:b/>
        <w:bCs/>
        <w:sz w:val="24"/>
      </w:rPr>
    </w:lvl>
    <w:lvl w:ilvl="1">
      <w:start w:val="1"/>
      <w:numFmt w:val="bullet"/>
      <w:lvlText w:val="o"/>
      <w:lvlJc w:val="left"/>
      <w:pPr>
        <w:ind w:left="1570" w:hanging="360"/>
      </w:pPr>
      <w:rPr>
        <w:rFonts w:ascii="Courier New" w:hAnsi="Courier New" w:cs="Courier New" w:hint="default"/>
      </w:rPr>
    </w:lvl>
    <w:lvl w:ilvl="2">
      <w:start w:val="1"/>
      <w:numFmt w:val="bullet"/>
      <w:lvlText w:val=""/>
      <w:lvlJc w:val="left"/>
      <w:pPr>
        <w:ind w:left="2290" w:hanging="360"/>
      </w:pPr>
      <w:rPr>
        <w:rFonts w:ascii="Wingdings" w:hAnsi="Wingdings" w:hint="default"/>
      </w:rPr>
    </w:lvl>
    <w:lvl w:ilvl="3">
      <w:start w:val="1"/>
      <w:numFmt w:val="bullet"/>
      <w:lvlText w:val=""/>
      <w:lvlJc w:val="left"/>
      <w:pPr>
        <w:ind w:left="3010" w:hanging="360"/>
      </w:pPr>
      <w:rPr>
        <w:rFonts w:ascii="Symbol" w:hAnsi="Symbol" w:hint="default"/>
      </w:rPr>
    </w:lvl>
    <w:lvl w:ilvl="4">
      <w:start w:val="1"/>
      <w:numFmt w:val="bullet"/>
      <w:lvlText w:val="o"/>
      <w:lvlJc w:val="left"/>
      <w:pPr>
        <w:ind w:left="3730" w:hanging="360"/>
      </w:pPr>
      <w:rPr>
        <w:rFonts w:ascii="Courier New" w:hAnsi="Courier New" w:cs="Courier New" w:hint="default"/>
      </w:rPr>
    </w:lvl>
    <w:lvl w:ilvl="5">
      <w:start w:val="1"/>
      <w:numFmt w:val="bullet"/>
      <w:lvlText w:val=""/>
      <w:lvlJc w:val="left"/>
      <w:pPr>
        <w:ind w:left="4450" w:hanging="360"/>
      </w:pPr>
      <w:rPr>
        <w:rFonts w:ascii="Wingdings" w:hAnsi="Wingdings" w:hint="default"/>
      </w:rPr>
    </w:lvl>
    <w:lvl w:ilvl="6">
      <w:start w:val="1"/>
      <w:numFmt w:val="bullet"/>
      <w:lvlText w:val=""/>
      <w:lvlJc w:val="left"/>
      <w:pPr>
        <w:ind w:left="5170" w:hanging="360"/>
      </w:pPr>
      <w:rPr>
        <w:rFonts w:ascii="Symbol" w:hAnsi="Symbol" w:hint="default"/>
      </w:rPr>
    </w:lvl>
    <w:lvl w:ilvl="7">
      <w:start w:val="1"/>
      <w:numFmt w:val="bullet"/>
      <w:lvlText w:val="o"/>
      <w:lvlJc w:val="left"/>
      <w:pPr>
        <w:ind w:left="5890" w:hanging="360"/>
      </w:pPr>
      <w:rPr>
        <w:rFonts w:ascii="Courier New" w:hAnsi="Courier New" w:cs="Courier New" w:hint="default"/>
      </w:rPr>
    </w:lvl>
    <w:lvl w:ilvl="8">
      <w:start w:val="1"/>
      <w:numFmt w:val="bullet"/>
      <w:lvlText w:val=""/>
      <w:lvlJc w:val="left"/>
      <w:pPr>
        <w:ind w:left="6610" w:hanging="360"/>
      </w:pPr>
      <w:rPr>
        <w:rFonts w:ascii="Wingdings" w:hAnsi="Wingdings" w:hint="default"/>
      </w:rPr>
    </w:lvl>
  </w:abstractNum>
  <w:abstractNum w:abstractNumId="28">
    <w:nsid w:val="4C9D59D0"/>
    <w:multiLevelType w:val="hybridMultilevel"/>
    <w:tmpl w:val="9ADECD24"/>
    <w:lvl w:ilvl="0" w:tplc="9614E9D8">
      <w:start w:val="1"/>
      <w:numFmt w:val="lowerLetter"/>
      <w:lvlText w:val="(%1)"/>
      <w:lvlJc w:val="left"/>
      <w:pPr>
        <w:ind w:left="2138" w:hanging="360"/>
      </w:pPr>
      <w:rPr>
        <w:rFonts w:hint="default"/>
      </w:rPr>
    </w:lvl>
    <w:lvl w:ilvl="1" w:tplc="0C090019" w:tentative="1">
      <w:start w:val="1"/>
      <w:numFmt w:val="lowerLetter"/>
      <w:lvlText w:val="%2."/>
      <w:lvlJc w:val="left"/>
      <w:pPr>
        <w:ind w:left="2858" w:hanging="360"/>
      </w:pPr>
    </w:lvl>
    <w:lvl w:ilvl="2" w:tplc="0C09001B" w:tentative="1">
      <w:start w:val="1"/>
      <w:numFmt w:val="lowerRoman"/>
      <w:lvlText w:val="%3."/>
      <w:lvlJc w:val="right"/>
      <w:pPr>
        <w:ind w:left="3578" w:hanging="180"/>
      </w:pPr>
    </w:lvl>
    <w:lvl w:ilvl="3" w:tplc="0C09000F" w:tentative="1">
      <w:start w:val="1"/>
      <w:numFmt w:val="decimal"/>
      <w:lvlText w:val="%4."/>
      <w:lvlJc w:val="left"/>
      <w:pPr>
        <w:ind w:left="4298" w:hanging="360"/>
      </w:pPr>
    </w:lvl>
    <w:lvl w:ilvl="4" w:tplc="0C090019" w:tentative="1">
      <w:start w:val="1"/>
      <w:numFmt w:val="lowerLetter"/>
      <w:lvlText w:val="%5."/>
      <w:lvlJc w:val="left"/>
      <w:pPr>
        <w:ind w:left="5018" w:hanging="360"/>
      </w:pPr>
    </w:lvl>
    <w:lvl w:ilvl="5" w:tplc="0C09001B" w:tentative="1">
      <w:start w:val="1"/>
      <w:numFmt w:val="lowerRoman"/>
      <w:lvlText w:val="%6."/>
      <w:lvlJc w:val="right"/>
      <w:pPr>
        <w:ind w:left="5738" w:hanging="180"/>
      </w:pPr>
    </w:lvl>
    <w:lvl w:ilvl="6" w:tplc="0C09000F" w:tentative="1">
      <w:start w:val="1"/>
      <w:numFmt w:val="decimal"/>
      <w:lvlText w:val="%7."/>
      <w:lvlJc w:val="left"/>
      <w:pPr>
        <w:ind w:left="6458" w:hanging="360"/>
      </w:pPr>
    </w:lvl>
    <w:lvl w:ilvl="7" w:tplc="0C090019" w:tentative="1">
      <w:start w:val="1"/>
      <w:numFmt w:val="lowerLetter"/>
      <w:lvlText w:val="%8."/>
      <w:lvlJc w:val="left"/>
      <w:pPr>
        <w:ind w:left="7178" w:hanging="360"/>
      </w:pPr>
    </w:lvl>
    <w:lvl w:ilvl="8" w:tplc="0C09001B" w:tentative="1">
      <w:start w:val="1"/>
      <w:numFmt w:val="lowerRoman"/>
      <w:lvlText w:val="%9."/>
      <w:lvlJc w:val="right"/>
      <w:pPr>
        <w:ind w:left="7898" w:hanging="180"/>
      </w:pPr>
    </w:lvl>
  </w:abstractNum>
  <w:abstractNum w:abstractNumId="29">
    <w:nsid w:val="5197661B"/>
    <w:multiLevelType w:val="hybridMultilevel"/>
    <w:tmpl w:val="7E9CB36A"/>
    <w:lvl w:ilvl="0" w:tplc="931880C2">
      <w:start w:val="1"/>
      <w:numFmt w:val="bullet"/>
      <w:pStyle w:val="ListParagraph"/>
      <w:lvlText w:val=""/>
      <w:lvlJc w:val="left"/>
      <w:pPr>
        <w:ind w:left="720" w:hanging="360"/>
      </w:pPr>
      <w:rPr>
        <w:rFonts w:ascii="Symbol" w:hAnsi="Symbol"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0">
    <w:nsid w:val="53011463"/>
    <w:multiLevelType w:val="hybridMultilevel"/>
    <w:tmpl w:val="B584F964"/>
    <w:lvl w:ilvl="0" w:tplc="1CE24DBC">
      <w:start w:val="2"/>
      <w:numFmt w:val="lowerLetter"/>
      <w:lvlText w:val="(%1)"/>
      <w:lvlJc w:val="left"/>
      <w:pPr>
        <w:ind w:left="3272" w:hanging="360"/>
      </w:pPr>
      <w:rPr>
        <w:rFonts w:hint="default"/>
      </w:rPr>
    </w:lvl>
    <w:lvl w:ilvl="1" w:tplc="0C09000F">
      <w:start w:val="1"/>
      <w:numFmt w:val="decimal"/>
      <w:lvlText w:val="%2."/>
      <w:lvlJc w:val="left"/>
      <w:pPr>
        <w:ind w:left="2858" w:hanging="360"/>
      </w:pPr>
    </w:lvl>
    <w:lvl w:ilvl="2" w:tplc="0C09001B" w:tentative="1">
      <w:start w:val="1"/>
      <w:numFmt w:val="lowerRoman"/>
      <w:lvlText w:val="%3."/>
      <w:lvlJc w:val="right"/>
      <w:pPr>
        <w:ind w:left="3578" w:hanging="180"/>
      </w:pPr>
    </w:lvl>
    <w:lvl w:ilvl="3" w:tplc="0C09000F" w:tentative="1">
      <w:start w:val="1"/>
      <w:numFmt w:val="decimal"/>
      <w:lvlText w:val="%4."/>
      <w:lvlJc w:val="left"/>
      <w:pPr>
        <w:ind w:left="4298" w:hanging="360"/>
      </w:pPr>
    </w:lvl>
    <w:lvl w:ilvl="4" w:tplc="0C090019" w:tentative="1">
      <w:start w:val="1"/>
      <w:numFmt w:val="lowerLetter"/>
      <w:lvlText w:val="%5."/>
      <w:lvlJc w:val="left"/>
      <w:pPr>
        <w:ind w:left="5018" w:hanging="360"/>
      </w:pPr>
    </w:lvl>
    <w:lvl w:ilvl="5" w:tplc="0C09001B" w:tentative="1">
      <w:start w:val="1"/>
      <w:numFmt w:val="lowerRoman"/>
      <w:lvlText w:val="%6."/>
      <w:lvlJc w:val="right"/>
      <w:pPr>
        <w:ind w:left="5738" w:hanging="180"/>
      </w:pPr>
    </w:lvl>
    <w:lvl w:ilvl="6" w:tplc="0C09000F" w:tentative="1">
      <w:start w:val="1"/>
      <w:numFmt w:val="decimal"/>
      <w:lvlText w:val="%7."/>
      <w:lvlJc w:val="left"/>
      <w:pPr>
        <w:ind w:left="6458" w:hanging="360"/>
      </w:pPr>
    </w:lvl>
    <w:lvl w:ilvl="7" w:tplc="0C090019" w:tentative="1">
      <w:start w:val="1"/>
      <w:numFmt w:val="lowerLetter"/>
      <w:lvlText w:val="%8."/>
      <w:lvlJc w:val="left"/>
      <w:pPr>
        <w:ind w:left="7178" w:hanging="360"/>
      </w:pPr>
    </w:lvl>
    <w:lvl w:ilvl="8" w:tplc="0C09001B" w:tentative="1">
      <w:start w:val="1"/>
      <w:numFmt w:val="lowerRoman"/>
      <w:lvlText w:val="%9."/>
      <w:lvlJc w:val="right"/>
      <w:pPr>
        <w:ind w:left="7898" w:hanging="180"/>
      </w:pPr>
    </w:lvl>
  </w:abstractNum>
  <w:abstractNum w:abstractNumId="31">
    <w:nsid w:val="549176D9"/>
    <w:multiLevelType w:val="hybridMultilevel"/>
    <w:tmpl w:val="8856F6C0"/>
    <w:lvl w:ilvl="0" w:tplc="0C090001">
      <w:start w:val="1"/>
      <w:numFmt w:val="bullet"/>
      <w:lvlText w:val=""/>
      <w:lvlJc w:val="left"/>
      <w:pPr>
        <w:ind w:left="1854" w:hanging="360"/>
      </w:pPr>
      <w:rPr>
        <w:rFonts w:ascii="Symbol" w:hAnsi="Symbol" w:hint="default"/>
      </w:rPr>
    </w:lvl>
    <w:lvl w:ilvl="1" w:tplc="0C090003">
      <w:start w:val="1"/>
      <w:numFmt w:val="bullet"/>
      <w:lvlText w:val="o"/>
      <w:lvlJc w:val="left"/>
      <w:pPr>
        <w:ind w:left="2574" w:hanging="360"/>
      </w:pPr>
      <w:rPr>
        <w:rFonts w:ascii="Courier New" w:hAnsi="Courier New" w:cs="Courier New" w:hint="default"/>
      </w:rPr>
    </w:lvl>
    <w:lvl w:ilvl="2" w:tplc="0C090005" w:tentative="1">
      <w:start w:val="1"/>
      <w:numFmt w:val="bullet"/>
      <w:lvlText w:val=""/>
      <w:lvlJc w:val="left"/>
      <w:pPr>
        <w:ind w:left="3294" w:hanging="360"/>
      </w:pPr>
      <w:rPr>
        <w:rFonts w:ascii="Wingdings" w:hAnsi="Wingdings" w:hint="default"/>
      </w:rPr>
    </w:lvl>
    <w:lvl w:ilvl="3" w:tplc="0C090001" w:tentative="1">
      <w:start w:val="1"/>
      <w:numFmt w:val="bullet"/>
      <w:lvlText w:val=""/>
      <w:lvlJc w:val="left"/>
      <w:pPr>
        <w:ind w:left="4014" w:hanging="360"/>
      </w:pPr>
      <w:rPr>
        <w:rFonts w:ascii="Symbol" w:hAnsi="Symbol" w:hint="default"/>
      </w:rPr>
    </w:lvl>
    <w:lvl w:ilvl="4" w:tplc="0C090003" w:tentative="1">
      <w:start w:val="1"/>
      <w:numFmt w:val="bullet"/>
      <w:lvlText w:val="o"/>
      <w:lvlJc w:val="left"/>
      <w:pPr>
        <w:ind w:left="4734" w:hanging="360"/>
      </w:pPr>
      <w:rPr>
        <w:rFonts w:ascii="Courier New" w:hAnsi="Courier New" w:cs="Courier New" w:hint="default"/>
      </w:rPr>
    </w:lvl>
    <w:lvl w:ilvl="5" w:tplc="0C090005" w:tentative="1">
      <w:start w:val="1"/>
      <w:numFmt w:val="bullet"/>
      <w:lvlText w:val=""/>
      <w:lvlJc w:val="left"/>
      <w:pPr>
        <w:ind w:left="5454" w:hanging="360"/>
      </w:pPr>
      <w:rPr>
        <w:rFonts w:ascii="Wingdings" w:hAnsi="Wingdings" w:hint="default"/>
      </w:rPr>
    </w:lvl>
    <w:lvl w:ilvl="6" w:tplc="0C090001" w:tentative="1">
      <w:start w:val="1"/>
      <w:numFmt w:val="bullet"/>
      <w:lvlText w:val=""/>
      <w:lvlJc w:val="left"/>
      <w:pPr>
        <w:ind w:left="6174" w:hanging="360"/>
      </w:pPr>
      <w:rPr>
        <w:rFonts w:ascii="Symbol" w:hAnsi="Symbol" w:hint="default"/>
      </w:rPr>
    </w:lvl>
    <w:lvl w:ilvl="7" w:tplc="0C090003" w:tentative="1">
      <w:start w:val="1"/>
      <w:numFmt w:val="bullet"/>
      <w:lvlText w:val="o"/>
      <w:lvlJc w:val="left"/>
      <w:pPr>
        <w:ind w:left="6894" w:hanging="360"/>
      </w:pPr>
      <w:rPr>
        <w:rFonts w:ascii="Courier New" w:hAnsi="Courier New" w:cs="Courier New" w:hint="default"/>
      </w:rPr>
    </w:lvl>
    <w:lvl w:ilvl="8" w:tplc="0C090005" w:tentative="1">
      <w:start w:val="1"/>
      <w:numFmt w:val="bullet"/>
      <w:lvlText w:val=""/>
      <w:lvlJc w:val="left"/>
      <w:pPr>
        <w:ind w:left="7614" w:hanging="360"/>
      </w:pPr>
      <w:rPr>
        <w:rFonts w:ascii="Wingdings" w:hAnsi="Wingdings" w:hint="default"/>
      </w:rPr>
    </w:lvl>
  </w:abstractNum>
  <w:abstractNum w:abstractNumId="32">
    <w:nsid w:val="596B1969"/>
    <w:multiLevelType w:val="hybridMultilevel"/>
    <w:tmpl w:val="03788EF0"/>
    <w:lvl w:ilvl="0" w:tplc="1CE24DBC">
      <w:start w:val="2"/>
      <w:numFmt w:val="lowerLetter"/>
      <w:lvlText w:val="(%1)"/>
      <w:lvlJc w:val="left"/>
      <w:pPr>
        <w:ind w:left="1854"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3">
    <w:nsid w:val="64752C10"/>
    <w:multiLevelType w:val="hybridMultilevel"/>
    <w:tmpl w:val="8A9E66A2"/>
    <w:lvl w:ilvl="0" w:tplc="C9E25E0C">
      <w:start w:val="1"/>
      <w:numFmt w:val="upperLetter"/>
      <w:lvlText w:val="%1."/>
      <w:lvlJc w:val="left"/>
      <w:pPr>
        <w:ind w:left="1854" w:hanging="360"/>
      </w:pPr>
      <w:rPr>
        <w:b w:val="0"/>
      </w:rPr>
    </w:lvl>
    <w:lvl w:ilvl="1" w:tplc="0C090019" w:tentative="1">
      <w:start w:val="1"/>
      <w:numFmt w:val="lowerLetter"/>
      <w:lvlText w:val="%2."/>
      <w:lvlJc w:val="left"/>
      <w:pPr>
        <w:ind w:left="2574" w:hanging="360"/>
      </w:pPr>
    </w:lvl>
    <w:lvl w:ilvl="2" w:tplc="0C09001B" w:tentative="1">
      <w:start w:val="1"/>
      <w:numFmt w:val="lowerRoman"/>
      <w:lvlText w:val="%3."/>
      <w:lvlJc w:val="right"/>
      <w:pPr>
        <w:ind w:left="3294" w:hanging="180"/>
      </w:pPr>
    </w:lvl>
    <w:lvl w:ilvl="3" w:tplc="0C09000F" w:tentative="1">
      <w:start w:val="1"/>
      <w:numFmt w:val="decimal"/>
      <w:lvlText w:val="%4."/>
      <w:lvlJc w:val="left"/>
      <w:pPr>
        <w:ind w:left="4014" w:hanging="360"/>
      </w:pPr>
    </w:lvl>
    <w:lvl w:ilvl="4" w:tplc="0C090019" w:tentative="1">
      <w:start w:val="1"/>
      <w:numFmt w:val="lowerLetter"/>
      <w:lvlText w:val="%5."/>
      <w:lvlJc w:val="left"/>
      <w:pPr>
        <w:ind w:left="4734" w:hanging="360"/>
      </w:pPr>
    </w:lvl>
    <w:lvl w:ilvl="5" w:tplc="0C09001B" w:tentative="1">
      <w:start w:val="1"/>
      <w:numFmt w:val="lowerRoman"/>
      <w:lvlText w:val="%6."/>
      <w:lvlJc w:val="right"/>
      <w:pPr>
        <w:ind w:left="5454" w:hanging="180"/>
      </w:pPr>
    </w:lvl>
    <w:lvl w:ilvl="6" w:tplc="0C09000F" w:tentative="1">
      <w:start w:val="1"/>
      <w:numFmt w:val="decimal"/>
      <w:lvlText w:val="%7."/>
      <w:lvlJc w:val="left"/>
      <w:pPr>
        <w:ind w:left="6174" w:hanging="360"/>
      </w:pPr>
    </w:lvl>
    <w:lvl w:ilvl="7" w:tplc="0C090019" w:tentative="1">
      <w:start w:val="1"/>
      <w:numFmt w:val="lowerLetter"/>
      <w:lvlText w:val="%8."/>
      <w:lvlJc w:val="left"/>
      <w:pPr>
        <w:ind w:left="6894" w:hanging="360"/>
      </w:pPr>
    </w:lvl>
    <w:lvl w:ilvl="8" w:tplc="0C09001B" w:tentative="1">
      <w:start w:val="1"/>
      <w:numFmt w:val="lowerRoman"/>
      <w:lvlText w:val="%9."/>
      <w:lvlJc w:val="right"/>
      <w:pPr>
        <w:ind w:left="7614" w:hanging="180"/>
      </w:pPr>
    </w:lvl>
  </w:abstractNum>
  <w:abstractNum w:abstractNumId="34">
    <w:nsid w:val="69AF3DC2"/>
    <w:multiLevelType w:val="hybridMultilevel"/>
    <w:tmpl w:val="F0BCDD28"/>
    <w:lvl w:ilvl="0" w:tplc="D32E3F96">
      <w:start w:val="1"/>
      <w:numFmt w:val="lowerLetter"/>
      <w:pStyle w:val="Financialfooter"/>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5">
    <w:nsid w:val="6A7D10E2"/>
    <w:multiLevelType w:val="hybridMultilevel"/>
    <w:tmpl w:val="8A8CC2B2"/>
    <w:lvl w:ilvl="0" w:tplc="9614E9D8">
      <w:start w:val="1"/>
      <w:numFmt w:val="lowerLetter"/>
      <w:lvlText w:val="(%1)"/>
      <w:lvlJc w:val="left"/>
      <w:pPr>
        <w:ind w:left="2138" w:hanging="360"/>
      </w:pPr>
      <w:rPr>
        <w:rFonts w:hint="default"/>
      </w:rPr>
    </w:lvl>
    <w:lvl w:ilvl="1" w:tplc="0C090019" w:tentative="1">
      <w:start w:val="1"/>
      <w:numFmt w:val="lowerLetter"/>
      <w:lvlText w:val="%2."/>
      <w:lvlJc w:val="left"/>
      <w:pPr>
        <w:ind w:left="2858" w:hanging="360"/>
      </w:pPr>
    </w:lvl>
    <w:lvl w:ilvl="2" w:tplc="0C09001B" w:tentative="1">
      <w:start w:val="1"/>
      <w:numFmt w:val="lowerRoman"/>
      <w:lvlText w:val="%3."/>
      <w:lvlJc w:val="right"/>
      <w:pPr>
        <w:ind w:left="3578" w:hanging="180"/>
      </w:pPr>
    </w:lvl>
    <w:lvl w:ilvl="3" w:tplc="0C09000F" w:tentative="1">
      <w:start w:val="1"/>
      <w:numFmt w:val="decimal"/>
      <w:lvlText w:val="%4."/>
      <w:lvlJc w:val="left"/>
      <w:pPr>
        <w:ind w:left="4298" w:hanging="360"/>
      </w:pPr>
    </w:lvl>
    <w:lvl w:ilvl="4" w:tplc="0C090019" w:tentative="1">
      <w:start w:val="1"/>
      <w:numFmt w:val="lowerLetter"/>
      <w:lvlText w:val="%5."/>
      <w:lvlJc w:val="left"/>
      <w:pPr>
        <w:ind w:left="5018" w:hanging="360"/>
      </w:pPr>
    </w:lvl>
    <w:lvl w:ilvl="5" w:tplc="0C09001B" w:tentative="1">
      <w:start w:val="1"/>
      <w:numFmt w:val="lowerRoman"/>
      <w:lvlText w:val="%6."/>
      <w:lvlJc w:val="right"/>
      <w:pPr>
        <w:ind w:left="5738" w:hanging="180"/>
      </w:pPr>
    </w:lvl>
    <w:lvl w:ilvl="6" w:tplc="0C09000F" w:tentative="1">
      <w:start w:val="1"/>
      <w:numFmt w:val="decimal"/>
      <w:lvlText w:val="%7."/>
      <w:lvlJc w:val="left"/>
      <w:pPr>
        <w:ind w:left="6458" w:hanging="360"/>
      </w:pPr>
    </w:lvl>
    <w:lvl w:ilvl="7" w:tplc="0C090019" w:tentative="1">
      <w:start w:val="1"/>
      <w:numFmt w:val="lowerLetter"/>
      <w:lvlText w:val="%8."/>
      <w:lvlJc w:val="left"/>
      <w:pPr>
        <w:ind w:left="7178" w:hanging="360"/>
      </w:pPr>
    </w:lvl>
    <w:lvl w:ilvl="8" w:tplc="0C09001B" w:tentative="1">
      <w:start w:val="1"/>
      <w:numFmt w:val="lowerRoman"/>
      <w:lvlText w:val="%9."/>
      <w:lvlJc w:val="right"/>
      <w:pPr>
        <w:ind w:left="7898" w:hanging="180"/>
      </w:pPr>
    </w:lvl>
  </w:abstractNum>
  <w:abstractNum w:abstractNumId="36">
    <w:nsid w:val="6FE904AD"/>
    <w:multiLevelType w:val="hybridMultilevel"/>
    <w:tmpl w:val="B73C2496"/>
    <w:lvl w:ilvl="0" w:tplc="7D1CFC8E">
      <w:start w:val="1"/>
      <w:numFmt w:val="lowerLetter"/>
      <w:lvlText w:val="(%1)"/>
      <w:lvlJc w:val="left"/>
      <w:pPr>
        <w:ind w:left="1854" w:hanging="360"/>
      </w:pPr>
      <w:rPr>
        <w:rFonts w:hint="default"/>
      </w:rPr>
    </w:lvl>
    <w:lvl w:ilvl="1" w:tplc="0C090019" w:tentative="1">
      <w:start w:val="1"/>
      <w:numFmt w:val="lowerLetter"/>
      <w:lvlText w:val="%2."/>
      <w:lvlJc w:val="left"/>
      <w:pPr>
        <w:ind w:left="2574" w:hanging="360"/>
      </w:pPr>
    </w:lvl>
    <w:lvl w:ilvl="2" w:tplc="0C09001B" w:tentative="1">
      <w:start w:val="1"/>
      <w:numFmt w:val="lowerRoman"/>
      <w:lvlText w:val="%3."/>
      <w:lvlJc w:val="right"/>
      <w:pPr>
        <w:ind w:left="3294" w:hanging="180"/>
      </w:pPr>
    </w:lvl>
    <w:lvl w:ilvl="3" w:tplc="0C09000F" w:tentative="1">
      <w:start w:val="1"/>
      <w:numFmt w:val="decimal"/>
      <w:lvlText w:val="%4."/>
      <w:lvlJc w:val="left"/>
      <w:pPr>
        <w:ind w:left="4014" w:hanging="360"/>
      </w:pPr>
    </w:lvl>
    <w:lvl w:ilvl="4" w:tplc="0C090019" w:tentative="1">
      <w:start w:val="1"/>
      <w:numFmt w:val="lowerLetter"/>
      <w:lvlText w:val="%5."/>
      <w:lvlJc w:val="left"/>
      <w:pPr>
        <w:ind w:left="4734" w:hanging="360"/>
      </w:pPr>
    </w:lvl>
    <w:lvl w:ilvl="5" w:tplc="0C09001B" w:tentative="1">
      <w:start w:val="1"/>
      <w:numFmt w:val="lowerRoman"/>
      <w:lvlText w:val="%6."/>
      <w:lvlJc w:val="right"/>
      <w:pPr>
        <w:ind w:left="5454" w:hanging="180"/>
      </w:pPr>
    </w:lvl>
    <w:lvl w:ilvl="6" w:tplc="0C09000F" w:tentative="1">
      <w:start w:val="1"/>
      <w:numFmt w:val="decimal"/>
      <w:lvlText w:val="%7."/>
      <w:lvlJc w:val="left"/>
      <w:pPr>
        <w:ind w:left="6174" w:hanging="360"/>
      </w:pPr>
    </w:lvl>
    <w:lvl w:ilvl="7" w:tplc="0C090019" w:tentative="1">
      <w:start w:val="1"/>
      <w:numFmt w:val="lowerLetter"/>
      <w:lvlText w:val="%8."/>
      <w:lvlJc w:val="left"/>
      <w:pPr>
        <w:ind w:left="6894" w:hanging="360"/>
      </w:pPr>
    </w:lvl>
    <w:lvl w:ilvl="8" w:tplc="0C09001B" w:tentative="1">
      <w:start w:val="1"/>
      <w:numFmt w:val="lowerRoman"/>
      <w:lvlText w:val="%9."/>
      <w:lvlJc w:val="right"/>
      <w:pPr>
        <w:ind w:left="7614" w:hanging="180"/>
      </w:pPr>
    </w:lvl>
  </w:abstractNum>
  <w:abstractNum w:abstractNumId="37">
    <w:nsid w:val="75730B5C"/>
    <w:multiLevelType w:val="hybridMultilevel"/>
    <w:tmpl w:val="09A8E422"/>
    <w:lvl w:ilvl="0" w:tplc="0C09000F">
      <w:start w:val="1"/>
      <w:numFmt w:val="decimal"/>
      <w:lvlText w:val="%1."/>
      <w:lvlJc w:val="left"/>
      <w:pPr>
        <w:ind w:left="1800" w:hanging="360"/>
      </w:pPr>
      <w:rPr>
        <w:rFonts w:hint="default"/>
      </w:rPr>
    </w:lvl>
    <w:lvl w:ilvl="1" w:tplc="0C09000F">
      <w:start w:val="1"/>
      <w:numFmt w:val="decimal"/>
      <w:lvlText w:val="%2."/>
      <w:lvlJc w:val="left"/>
      <w:pPr>
        <w:ind w:left="1102" w:hanging="360"/>
      </w:pPr>
    </w:lvl>
    <w:lvl w:ilvl="2" w:tplc="0C09001B" w:tentative="1">
      <w:start w:val="1"/>
      <w:numFmt w:val="lowerRoman"/>
      <w:lvlText w:val="%3."/>
      <w:lvlJc w:val="right"/>
      <w:pPr>
        <w:ind w:left="1822" w:hanging="180"/>
      </w:pPr>
    </w:lvl>
    <w:lvl w:ilvl="3" w:tplc="0C09000F" w:tentative="1">
      <w:start w:val="1"/>
      <w:numFmt w:val="decimal"/>
      <w:lvlText w:val="%4."/>
      <w:lvlJc w:val="left"/>
      <w:pPr>
        <w:ind w:left="2542" w:hanging="360"/>
      </w:pPr>
    </w:lvl>
    <w:lvl w:ilvl="4" w:tplc="0C090019" w:tentative="1">
      <w:start w:val="1"/>
      <w:numFmt w:val="lowerLetter"/>
      <w:lvlText w:val="%5."/>
      <w:lvlJc w:val="left"/>
      <w:pPr>
        <w:ind w:left="3262" w:hanging="360"/>
      </w:pPr>
    </w:lvl>
    <w:lvl w:ilvl="5" w:tplc="0C09001B" w:tentative="1">
      <w:start w:val="1"/>
      <w:numFmt w:val="lowerRoman"/>
      <w:lvlText w:val="%6."/>
      <w:lvlJc w:val="right"/>
      <w:pPr>
        <w:ind w:left="3982" w:hanging="180"/>
      </w:pPr>
    </w:lvl>
    <w:lvl w:ilvl="6" w:tplc="0C09000F" w:tentative="1">
      <w:start w:val="1"/>
      <w:numFmt w:val="decimal"/>
      <w:lvlText w:val="%7."/>
      <w:lvlJc w:val="left"/>
      <w:pPr>
        <w:ind w:left="4702" w:hanging="360"/>
      </w:pPr>
    </w:lvl>
    <w:lvl w:ilvl="7" w:tplc="0C090019" w:tentative="1">
      <w:start w:val="1"/>
      <w:numFmt w:val="lowerLetter"/>
      <w:lvlText w:val="%8."/>
      <w:lvlJc w:val="left"/>
      <w:pPr>
        <w:ind w:left="5422" w:hanging="360"/>
      </w:pPr>
    </w:lvl>
    <w:lvl w:ilvl="8" w:tplc="0C09001B" w:tentative="1">
      <w:start w:val="1"/>
      <w:numFmt w:val="lowerRoman"/>
      <w:lvlText w:val="%9."/>
      <w:lvlJc w:val="right"/>
      <w:pPr>
        <w:ind w:left="6142" w:hanging="180"/>
      </w:pPr>
    </w:lvl>
  </w:abstractNum>
  <w:num w:numId="1">
    <w:abstractNumId w:val="27"/>
  </w:num>
  <w:num w:numId="2">
    <w:abstractNumId w:val="22"/>
  </w:num>
  <w:num w:numId="3">
    <w:abstractNumId w:val="18"/>
  </w:num>
  <w:num w:numId="4">
    <w:abstractNumId w:val="25"/>
  </w:num>
  <w:num w:numId="5">
    <w:abstractNumId w:val="31"/>
  </w:num>
  <w:num w:numId="6">
    <w:abstractNumId w:val="11"/>
  </w:num>
  <w:num w:numId="7">
    <w:abstractNumId w:val="14"/>
  </w:num>
  <w:num w:numId="8">
    <w:abstractNumId w:val="26"/>
  </w:num>
  <w:num w:numId="9">
    <w:abstractNumId w:val="21"/>
  </w:num>
  <w:num w:numId="10">
    <w:abstractNumId w:val="36"/>
  </w:num>
  <w:num w:numId="11">
    <w:abstractNumId w:val="17"/>
  </w:num>
  <w:num w:numId="12">
    <w:abstractNumId w:val="28"/>
  </w:num>
  <w:num w:numId="13">
    <w:abstractNumId w:val="32"/>
  </w:num>
  <w:num w:numId="14">
    <w:abstractNumId w:val="12"/>
  </w:num>
  <w:num w:numId="15">
    <w:abstractNumId w:val="20"/>
  </w:num>
  <w:num w:numId="16">
    <w:abstractNumId w:val="9"/>
  </w:num>
  <w:num w:numId="17">
    <w:abstractNumId w:val="7"/>
  </w:num>
  <w:num w:numId="18">
    <w:abstractNumId w:val="6"/>
  </w:num>
  <w:num w:numId="19">
    <w:abstractNumId w:val="5"/>
  </w:num>
  <w:num w:numId="20">
    <w:abstractNumId w:val="4"/>
  </w:num>
  <w:num w:numId="21">
    <w:abstractNumId w:val="8"/>
  </w:num>
  <w:num w:numId="22">
    <w:abstractNumId w:val="3"/>
  </w:num>
  <w:num w:numId="23">
    <w:abstractNumId w:val="2"/>
  </w:num>
  <w:num w:numId="24">
    <w:abstractNumId w:val="1"/>
  </w:num>
  <w:num w:numId="25">
    <w:abstractNumId w:val="0"/>
  </w:num>
  <w:num w:numId="26">
    <w:abstractNumId w:val="30"/>
  </w:num>
  <w:num w:numId="27">
    <w:abstractNumId w:val="13"/>
  </w:num>
  <w:num w:numId="28">
    <w:abstractNumId w:val="35"/>
  </w:num>
  <w:num w:numId="29">
    <w:abstractNumId w:val="34"/>
  </w:num>
  <w:num w:numId="30">
    <w:abstractNumId w:val="24"/>
  </w:num>
  <w:num w:numId="31">
    <w:abstractNumId w:val="29"/>
  </w:num>
  <w:num w:numId="32">
    <w:abstractNumId w:val="15"/>
  </w:num>
  <w:num w:numId="33">
    <w:abstractNumId w:val="33"/>
  </w:num>
  <w:num w:numId="34">
    <w:abstractNumId w:val="10"/>
  </w:num>
  <w:num w:numId="35">
    <w:abstractNumId w:val="37"/>
  </w:num>
  <w:num w:numId="36">
    <w:abstractNumId w:val="16"/>
  </w:num>
  <w:num w:numId="37">
    <w:abstractNumId w:val="19"/>
  </w:num>
  <w:num w:numId="38">
    <w:abstractNumId w:val="29"/>
    <w:lvlOverride w:ilvl="0">
      <w:startOverride w:val="1"/>
    </w:lvlOverride>
  </w:num>
  <w:num w:numId="39">
    <w:abstractNumId w:val="29"/>
  </w:num>
  <w:num w:numId="40">
    <w:abstractNumId w:val="34"/>
    <w:lvlOverride w:ilvl="0">
      <w:startOverride w:val="1"/>
    </w:lvlOverride>
  </w:num>
  <w:num w:numId="41">
    <w:abstractNumId w:val="34"/>
    <w:lvlOverride w:ilvl="0">
      <w:startOverride w:val="1"/>
    </w:lvlOverride>
  </w:num>
  <w:num w:numId="42">
    <w:abstractNumId w:val="23"/>
  </w:num>
  <w:num w:numId="43">
    <w:abstractNumId w:val="23"/>
  </w:num>
  <w:num w:numId="44">
    <w:abstractNumId w:val="23"/>
  </w:num>
  <w:num w:numId="45">
    <w:abstractNumId w:val="23"/>
  </w:num>
  <w:numIdMacAtCleanup w:val="3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20"/>
  <w:evenAndOddHeaders/>
  <w:characterSpacingControl w:val="doNotCompress"/>
  <w:hdrShapeDefaults>
    <o:shapedefaults v:ext="edit" spidmax="6553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085D"/>
    <w:rsid w:val="0000083A"/>
    <w:rsid w:val="00004A0E"/>
    <w:rsid w:val="00005399"/>
    <w:rsid w:val="00011640"/>
    <w:rsid w:val="00011DFE"/>
    <w:rsid w:val="000160C5"/>
    <w:rsid w:val="00017F4E"/>
    <w:rsid w:val="0003401A"/>
    <w:rsid w:val="000363C7"/>
    <w:rsid w:val="00043E8C"/>
    <w:rsid w:val="000444CA"/>
    <w:rsid w:val="0004689C"/>
    <w:rsid w:val="00047094"/>
    <w:rsid w:val="00050D49"/>
    <w:rsid w:val="000558AD"/>
    <w:rsid w:val="00060951"/>
    <w:rsid w:val="0006319A"/>
    <w:rsid w:val="0006345C"/>
    <w:rsid w:val="00067EE9"/>
    <w:rsid w:val="0007370A"/>
    <w:rsid w:val="000743F8"/>
    <w:rsid w:val="00087037"/>
    <w:rsid w:val="00087DA5"/>
    <w:rsid w:val="0009178C"/>
    <w:rsid w:val="00092BA0"/>
    <w:rsid w:val="000A0087"/>
    <w:rsid w:val="000A4F0E"/>
    <w:rsid w:val="000B059A"/>
    <w:rsid w:val="000C189A"/>
    <w:rsid w:val="000C7A50"/>
    <w:rsid w:val="000D242E"/>
    <w:rsid w:val="000D7F37"/>
    <w:rsid w:val="000E07E1"/>
    <w:rsid w:val="000E2AA6"/>
    <w:rsid w:val="000E334B"/>
    <w:rsid w:val="000E5C28"/>
    <w:rsid w:val="000E5F08"/>
    <w:rsid w:val="000E753B"/>
    <w:rsid w:val="000E7986"/>
    <w:rsid w:val="000F1BD8"/>
    <w:rsid w:val="000F34E9"/>
    <w:rsid w:val="00101C08"/>
    <w:rsid w:val="00102B8F"/>
    <w:rsid w:val="001112B6"/>
    <w:rsid w:val="001164D6"/>
    <w:rsid w:val="001168A5"/>
    <w:rsid w:val="00124982"/>
    <w:rsid w:val="0012678E"/>
    <w:rsid w:val="00127018"/>
    <w:rsid w:val="00136EDA"/>
    <w:rsid w:val="00146F87"/>
    <w:rsid w:val="0016305F"/>
    <w:rsid w:val="00166E43"/>
    <w:rsid w:val="00174A2E"/>
    <w:rsid w:val="00175122"/>
    <w:rsid w:val="00175535"/>
    <w:rsid w:val="00181DEB"/>
    <w:rsid w:val="00183202"/>
    <w:rsid w:val="00183CDD"/>
    <w:rsid w:val="001A6712"/>
    <w:rsid w:val="001B2017"/>
    <w:rsid w:val="001B7742"/>
    <w:rsid w:val="001C2C47"/>
    <w:rsid w:val="001C69B2"/>
    <w:rsid w:val="001D093D"/>
    <w:rsid w:val="001D32CC"/>
    <w:rsid w:val="001E2233"/>
    <w:rsid w:val="001E5AC1"/>
    <w:rsid w:val="001E603E"/>
    <w:rsid w:val="001E7E2C"/>
    <w:rsid w:val="001F4381"/>
    <w:rsid w:val="001F468E"/>
    <w:rsid w:val="001F5998"/>
    <w:rsid w:val="002029A8"/>
    <w:rsid w:val="00203720"/>
    <w:rsid w:val="002054CC"/>
    <w:rsid w:val="002067A5"/>
    <w:rsid w:val="002104A8"/>
    <w:rsid w:val="002150B2"/>
    <w:rsid w:val="00215883"/>
    <w:rsid w:val="00243A02"/>
    <w:rsid w:val="00244D98"/>
    <w:rsid w:val="00245AE8"/>
    <w:rsid w:val="0024717B"/>
    <w:rsid w:val="00247983"/>
    <w:rsid w:val="0025735F"/>
    <w:rsid w:val="00257F9A"/>
    <w:rsid w:val="00261799"/>
    <w:rsid w:val="002660B8"/>
    <w:rsid w:val="00266F1B"/>
    <w:rsid w:val="00286F0F"/>
    <w:rsid w:val="00294448"/>
    <w:rsid w:val="002973B8"/>
    <w:rsid w:val="0029744D"/>
    <w:rsid w:val="002A2E0F"/>
    <w:rsid w:val="002A3D82"/>
    <w:rsid w:val="002A720F"/>
    <w:rsid w:val="002B771E"/>
    <w:rsid w:val="002C2302"/>
    <w:rsid w:val="002C26AE"/>
    <w:rsid w:val="002C5875"/>
    <w:rsid w:val="002C6C90"/>
    <w:rsid w:val="002D0C18"/>
    <w:rsid w:val="002D2464"/>
    <w:rsid w:val="002D668A"/>
    <w:rsid w:val="002E09E4"/>
    <w:rsid w:val="002E0A36"/>
    <w:rsid w:val="002E2968"/>
    <w:rsid w:val="002E4B1E"/>
    <w:rsid w:val="00303E01"/>
    <w:rsid w:val="00307C0A"/>
    <w:rsid w:val="00322A2B"/>
    <w:rsid w:val="00325EE5"/>
    <w:rsid w:val="00332258"/>
    <w:rsid w:val="00347D53"/>
    <w:rsid w:val="00355A53"/>
    <w:rsid w:val="00357753"/>
    <w:rsid w:val="003608DB"/>
    <w:rsid w:val="0036383B"/>
    <w:rsid w:val="00365475"/>
    <w:rsid w:val="003659C2"/>
    <w:rsid w:val="00371245"/>
    <w:rsid w:val="003717E0"/>
    <w:rsid w:val="00375EE0"/>
    <w:rsid w:val="003876C7"/>
    <w:rsid w:val="003A3354"/>
    <w:rsid w:val="003A58AA"/>
    <w:rsid w:val="003B085D"/>
    <w:rsid w:val="003B400A"/>
    <w:rsid w:val="003C3C22"/>
    <w:rsid w:val="003C3D6E"/>
    <w:rsid w:val="003C49F5"/>
    <w:rsid w:val="003D0178"/>
    <w:rsid w:val="003D56AD"/>
    <w:rsid w:val="003E08F5"/>
    <w:rsid w:val="003E1466"/>
    <w:rsid w:val="003E4CE8"/>
    <w:rsid w:val="003E7B66"/>
    <w:rsid w:val="003F2AA0"/>
    <w:rsid w:val="003F6F07"/>
    <w:rsid w:val="00420821"/>
    <w:rsid w:val="00426CCF"/>
    <w:rsid w:val="004328AF"/>
    <w:rsid w:val="004442D4"/>
    <w:rsid w:val="0045004A"/>
    <w:rsid w:val="00461B7C"/>
    <w:rsid w:val="00464FCC"/>
    <w:rsid w:val="00473E33"/>
    <w:rsid w:val="00477212"/>
    <w:rsid w:val="00477AD2"/>
    <w:rsid w:val="00480851"/>
    <w:rsid w:val="0048317D"/>
    <w:rsid w:val="00493D57"/>
    <w:rsid w:val="00495FC3"/>
    <w:rsid w:val="00496803"/>
    <w:rsid w:val="00497BBB"/>
    <w:rsid w:val="004A25A4"/>
    <w:rsid w:val="004B1E30"/>
    <w:rsid w:val="004C5C45"/>
    <w:rsid w:val="004D033D"/>
    <w:rsid w:val="004D4F65"/>
    <w:rsid w:val="004E5215"/>
    <w:rsid w:val="005028FD"/>
    <w:rsid w:val="00504CC3"/>
    <w:rsid w:val="005051DC"/>
    <w:rsid w:val="00507656"/>
    <w:rsid w:val="00511588"/>
    <w:rsid w:val="005178B4"/>
    <w:rsid w:val="005243AD"/>
    <w:rsid w:val="005340DC"/>
    <w:rsid w:val="00535E16"/>
    <w:rsid w:val="005369D5"/>
    <w:rsid w:val="00541154"/>
    <w:rsid w:val="00547DC7"/>
    <w:rsid w:val="005557D1"/>
    <w:rsid w:val="0056349F"/>
    <w:rsid w:val="00563EC9"/>
    <w:rsid w:val="0056569C"/>
    <w:rsid w:val="0056758B"/>
    <w:rsid w:val="005804A8"/>
    <w:rsid w:val="005834FD"/>
    <w:rsid w:val="00587B22"/>
    <w:rsid w:val="00595B08"/>
    <w:rsid w:val="00595ED7"/>
    <w:rsid w:val="005B5CBE"/>
    <w:rsid w:val="005C1030"/>
    <w:rsid w:val="005C54A0"/>
    <w:rsid w:val="005D0E7C"/>
    <w:rsid w:val="005D3ABD"/>
    <w:rsid w:val="005D530B"/>
    <w:rsid w:val="005D73F8"/>
    <w:rsid w:val="005E162D"/>
    <w:rsid w:val="005E35EB"/>
    <w:rsid w:val="005E6E7B"/>
    <w:rsid w:val="005F0951"/>
    <w:rsid w:val="0060622F"/>
    <w:rsid w:val="006133D4"/>
    <w:rsid w:val="00613F62"/>
    <w:rsid w:val="00617077"/>
    <w:rsid w:val="00643A16"/>
    <w:rsid w:val="00646644"/>
    <w:rsid w:val="006575B0"/>
    <w:rsid w:val="00667E09"/>
    <w:rsid w:val="00671CBA"/>
    <w:rsid w:val="00680C67"/>
    <w:rsid w:val="00682CC1"/>
    <w:rsid w:val="006848C4"/>
    <w:rsid w:val="00693C8F"/>
    <w:rsid w:val="00693E62"/>
    <w:rsid w:val="006A2E14"/>
    <w:rsid w:val="006B33FC"/>
    <w:rsid w:val="006B7D8A"/>
    <w:rsid w:val="006C21C2"/>
    <w:rsid w:val="006C6FC5"/>
    <w:rsid w:val="006D0687"/>
    <w:rsid w:val="006D0E0A"/>
    <w:rsid w:val="006D226A"/>
    <w:rsid w:val="006E4DB8"/>
    <w:rsid w:val="006F3284"/>
    <w:rsid w:val="006F4400"/>
    <w:rsid w:val="007028DB"/>
    <w:rsid w:val="00705837"/>
    <w:rsid w:val="007061D9"/>
    <w:rsid w:val="007121EF"/>
    <w:rsid w:val="00712A6C"/>
    <w:rsid w:val="007136D1"/>
    <w:rsid w:val="007343DA"/>
    <w:rsid w:val="0073515B"/>
    <w:rsid w:val="00737103"/>
    <w:rsid w:val="00737834"/>
    <w:rsid w:val="00741D77"/>
    <w:rsid w:val="0074267C"/>
    <w:rsid w:val="00747EEB"/>
    <w:rsid w:val="007607A4"/>
    <w:rsid w:val="00761BDD"/>
    <w:rsid w:val="00766F93"/>
    <w:rsid w:val="007677BC"/>
    <w:rsid w:val="007716BC"/>
    <w:rsid w:val="00771BEF"/>
    <w:rsid w:val="00773FE9"/>
    <w:rsid w:val="007771FD"/>
    <w:rsid w:val="00792CA3"/>
    <w:rsid w:val="00793EEF"/>
    <w:rsid w:val="00795041"/>
    <w:rsid w:val="007A00AC"/>
    <w:rsid w:val="007A0B56"/>
    <w:rsid w:val="007A28DB"/>
    <w:rsid w:val="007A586B"/>
    <w:rsid w:val="007B006A"/>
    <w:rsid w:val="007B1360"/>
    <w:rsid w:val="007B16F2"/>
    <w:rsid w:val="007B2232"/>
    <w:rsid w:val="007B7060"/>
    <w:rsid w:val="007C28E9"/>
    <w:rsid w:val="007C4984"/>
    <w:rsid w:val="007E47E2"/>
    <w:rsid w:val="007E7AAF"/>
    <w:rsid w:val="007F4171"/>
    <w:rsid w:val="007F573F"/>
    <w:rsid w:val="007F74EF"/>
    <w:rsid w:val="008033A3"/>
    <w:rsid w:val="008106AD"/>
    <w:rsid w:val="00814BB7"/>
    <w:rsid w:val="00822D31"/>
    <w:rsid w:val="00827E96"/>
    <w:rsid w:val="0083455B"/>
    <w:rsid w:val="00834F76"/>
    <w:rsid w:val="00846AA2"/>
    <w:rsid w:val="00846D72"/>
    <w:rsid w:val="008508BC"/>
    <w:rsid w:val="00865841"/>
    <w:rsid w:val="0086707C"/>
    <w:rsid w:val="008704EE"/>
    <w:rsid w:val="00871E3C"/>
    <w:rsid w:val="00874C44"/>
    <w:rsid w:val="00875C4D"/>
    <w:rsid w:val="00880B6D"/>
    <w:rsid w:val="00880C4F"/>
    <w:rsid w:val="00891206"/>
    <w:rsid w:val="008A3773"/>
    <w:rsid w:val="008A6353"/>
    <w:rsid w:val="008B08B9"/>
    <w:rsid w:val="008B3D5C"/>
    <w:rsid w:val="008B4D48"/>
    <w:rsid w:val="008B5A7E"/>
    <w:rsid w:val="008C148C"/>
    <w:rsid w:val="008C1639"/>
    <w:rsid w:val="008C2514"/>
    <w:rsid w:val="008C4BCA"/>
    <w:rsid w:val="008C6105"/>
    <w:rsid w:val="008D4CEC"/>
    <w:rsid w:val="008E0F75"/>
    <w:rsid w:val="008E689E"/>
    <w:rsid w:val="008F154E"/>
    <w:rsid w:val="008F45A1"/>
    <w:rsid w:val="008F6AA1"/>
    <w:rsid w:val="00900BFC"/>
    <w:rsid w:val="00905146"/>
    <w:rsid w:val="00906CF8"/>
    <w:rsid w:val="009139AD"/>
    <w:rsid w:val="00913BB7"/>
    <w:rsid w:val="00920A82"/>
    <w:rsid w:val="00921835"/>
    <w:rsid w:val="00930F6F"/>
    <w:rsid w:val="0093364B"/>
    <w:rsid w:val="00942ECE"/>
    <w:rsid w:val="00954B01"/>
    <w:rsid w:val="009550A1"/>
    <w:rsid w:val="009657AC"/>
    <w:rsid w:val="00966ED7"/>
    <w:rsid w:val="00967414"/>
    <w:rsid w:val="00974A8A"/>
    <w:rsid w:val="00981BE9"/>
    <w:rsid w:val="00987AF8"/>
    <w:rsid w:val="0099134A"/>
    <w:rsid w:val="009A4776"/>
    <w:rsid w:val="009A4DA2"/>
    <w:rsid w:val="009A5B6D"/>
    <w:rsid w:val="009A7D13"/>
    <w:rsid w:val="009B1866"/>
    <w:rsid w:val="009B24D2"/>
    <w:rsid w:val="009B4A17"/>
    <w:rsid w:val="009B54E9"/>
    <w:rsid w:val="009C32EA"/>
    <w:rsid w:val="009C3ABC"/>
    <w:rsid w:val="009C68EA"/>
    <w:rsid w:val="009C7365"/>
    <w:rsid w:val="009D08F2"/>
    <w:rsid w:val="009F2869"/>
    <w:rsid w:val="009F6325"/>
    <w:rsid w:val="009F75DA"/>
    <w:rsid w:val="00A00155"/>
    <w:rsid w:val="00A04017"/>
    <w:rsid w:val="00A12051"/>
    <w:rsid w:val="00A14656"/>
    <w:rsid w:val="00A23A9E"/>
    <w:rsid w:val="00A24413"/>
    <w:rsid w:val="00A27AC1"/>
    <w:rsid w:val="00A30A11"/>
    <w:rsid w:val="00A45477"/>
    <w:rsid w:val="00A461A9"/>
    <w:rsid w:val="00A4756F"/>
    <w:rsid w:val="00A502A4"/>
    <w:rsid w:val="00A54B67"/>
    <w:rsid w:val="00A57DBF"/>
    <w:rsid w:val="00A60013"/>
    <w:rsid w:val="00A63121"/>
    <w:rsid w:val="00A75148"/>
    <w:rsid w:val="00A753FA"/>
    <w:rsid w:val="00A81EF9"/>
    <w:rsid w:val="00A826E3"/>
    <w:rsid w:val="00A87176"/>
    <w:rsid w:val="00A92FFE"/>
    <w:rsid w:val="00AB3C74"/>
    <w:rsid w:val="00AB58F8"/>
    <w:rsid w:val="00AC0C41"/>
    <w:rsid w:val="00AC336F"/>
    <w:rsid w:val="00AD3851"/>
    <w:rsid w:val="00AE2DE2"/>
    <w:rsid w:val="00AE7C44"/>
    <w:rsid w:val="00AF047E"/>
    <w:rsid w:val="00AF0A61"/>
    <w:rsid w:val="00AF1407"/>
    <w:rsid w:val="00AF1929"/>
    <w:rsid w:val="00AF36F3"/>
    <w:rsid w:val="00AF6EDB"/>
    <w:rsid w:val="00B00996"/>
    <w:rsid w:val="00B03DA0"/>
    <w:rsid w:val="00B06032"/>
    <w:rsid w:val="00B063ED"/>
    <w:rsid w:val="00B06B8C"/>
    <w:rsid w:val="00B10EBE"/>
    <w:rsid w:val="00B1161C"/>
    <w:rsid w:val="00B35945"/>
    <w:rsid w:val="00B41C73"/>
    <w:rsid w:val="00B41FAD"/>
    <w:rsid w:val="00B423AC"/>
    <w:rsid w:val="00B43588"/>
    <w:rsid w:val="00B44358"/>
    <w:rsid w:val="00B44F99"/>
    <w:rsid w:val="00B4543C"/>
    <w:rsid w:val="00B46443"/>
    <w:rsid w:val="00B47FEB"/>
    <w:rsid w:val="00B521EC"/>
    <w:rsid w:val="00B61690"/>
    <w:rsid w:val="00B675C3"/>
    <w:rsid w:val="00B7406D"/>
    <w:rsid w:val="00B808E9"/>
    <w:rsid w:val="00B856E3"/>
    <w:rsid w:val="00B91A35"/>
    <w:rsid w:val="00BA56F7"/>
    <w:rsid w:val="00BA625F"/>
    <w:rsid w:val="00BB29D7"/>
    <w:rsid w:val="00BB3285"/>
    <w:rsid w:val="00BB435E"/>
    <w:rsid w:val="00BC0E85"/>
    <w:rsid w:val="00BC17B7"/>
    <w:rsid w:val="00BC4EBC"/>
    <w:rsid w:val="00BC5B65"/>
    <w:rsid w:val="00BC66AC"/>
    <w:rsid w:val="00BE337C"/>
    <w:rsid w:val="00BE3664"/>
    <w:rsid w:val="00C03B57"/>
    <w:rsid w:val="00C03C5C"/>
    <w:rsid w:val="00C05593"/>
    <w:rsid w:val="00C17BE4"/>
    <w:rsid w:val="00C243D3"/>
    <w:rsid w:val="00C316DF"/>
    <w:rsid w:val="00C34186"/>
    <w:rsid w:val="00C36A5E"/>
    <w:rsid w:val="00C4187B"/>
    <w:rsid w:val="00C45000"/>
    <w:rsid w:val="00C45DEA"/>
    <w:rsid w:val="00C52F65"/>
    <w:rsid w:val="00C64C62"/>
    <w:rsid w:val="00C65F75"/>
    <w:rsid w:val="00C66534"/>
    <w:rsid w:val="00C66D47"/>
    <w:rsid w:val="00C67976"/>
    <w:rsid w:val="00C721BE"/>
    <w:rsid w:val="00C75C57"/>
    <w:rsid w:val="00CA127E"/>
    <w:rsid w:val="00CA4C91"/>
    <w:rsid w:val="00CB21CF"/>
    <w:rsid w:val="00CB590B"/>
    <w:rsid w:val="00CC510D"/>
    <w:rsid w:val="00CC79DC"/>
    <w:rsid w:val="00CD2EE4"/>
    <w:rsid w:val="00CD5EBF"/>
    <w:rsid w:val="00CF09FA"/>
    <w:rsid w:val="00D20D17"/>
    <w:rsid w:val="00D22573"/>
    <w:rsid w:val="00D255DC"/>
    <w:rsid w:val="00D33DA7"/>
    <w:rsid w:val="00D3777B"/>
    <w:rsid w:val="00D41A93"/>
    <w:rsid w:val="00D446C9"/>
    <w:rsid w:val="00D47D47"/>
    <w:rsid w:val="00D526F6"/>
    <w:rsid w:val="00D63D8B"/>
    <w:rsid w:val="00D77E85"/>
    <w:rsid w:val="00D804A4"/>
    <w:rsid w:val="00D84DAE"/>
    <w:rsid w:val="00D85C96"/>
    <w:rsid w:val="00D870B3"/>
    <w:rsid w:val="00D92EFC"/>
    <w:rsid w:val="00DA5075"/>
    <w:rsid w:val="00DA5AD0"/>
    <w:rsid w:val="00DB65EE"/>
    <w:rsid w:val="00DC5587"/>
    <w:rsid w:val="00DD10C0"/>
    <w:rsid w:val="00DD380D"/>
    <w:rsid w:val="00DD43F1"/>
    <w:rsid w:val="00DE4E1E"/>
    <w:rsid w:val="00DF6CBC"/>
    <w:rsid w:val="00DF7EB4"/>
    <w:rsid w:val="00E00C64"/>
    <w:rsid w:val="00E13C59"/>
    <w:rsid w:val="00E159A9"/>
    <w:rsid w:val="00E16A4E"/>
    <w:rsid w:val="00E20C70"/>
    <w:rsid w:val="00E2543D"/>
    <w:rsid w:val="00E2658F"/>
    <w:rsid w:val="00E32908"/>
    <w:rsid w:val="00E4029B"/>
    <w:rsid w:val="00E42694"/>
    <w:rsid w:val="00E45D40"/>
    <w:rsid w:val="00E46E20"/>
    <w:rsid w:val="00E47559"/>
    <w:rsid w:val="00E55F3F"/>
    <w:rsid w:val="00E60989"/>
    <w:rsid w:val="00E621C6"/>
    <w:rsid w:val="00E634E3"/>
    <w:rsid w:val="00E65766"/>
    <w:rsid w:val="00E71280"/>
    <w:rsid w:val="00E73949"/>
    <w:rsid w:val="00E75976"/>
    <w:rsid w:val="00E76C17"/>
    <w:rsid w:val="00E8295B"/>
    <w:rsid w:val="00E83A8D"/>
    <w:rsid w:val="00E90957"/>
    <w:rsid w:val="00E91C31"/>
    <w:rsid w:val="00E920E1"/>
    <w:rsid w:val="00E94ED5"/>
    <w:rsid w:val="00E966EA"/>
    <w:rsid w:val="00E96D47"/>
    <w:rsid w:val="00E9775B"/>
    <w:rsid w:val="00EA356F"/>
    <w:rsid w:val="00EA5709"/>
    <w:rsid w:val="00EA62A7"/>
    <w:rsid w:val="00EB6889"/>
    <w:rsid w:val="00EC35C6"/>
    <w:rsid w:val="00EC4CB1"/>
    <w:rsid w:val="00ED17AD"/>
    <w:rsid w:val="00ED2188"/>
    <w:rsid w:val="00EE0308"/>
    <w:rsid w:val="00EE0824"/>
    <w:rsid w:val="00EE1722"/>
    <w:rsid w:val="00EE400E"/>
    <w:rsid w:val="00EE603C"/>
    <w:rsid w:val="00EF71A2"/>
    <w:rsid w:val="00EF7A11"/>
    <w:rsid w:val="00EF7F4A"/>
    <w:rsid w:val="00F06703"/>
    <w:rsid w:val="00F379BC"/>
    <w:rsid w:val="00F37F46"/>
    <w:rsid w:val="00F40507"/>
    <w:rsid w:val="00F43339"/>
    <w:rsid w:val="00F439FE"/>
    <w:rsid w:val="00F465F8"/>
    <w:rsid w:val="00F54049"/>
    <w:rsid w:val="00F62F2F"/>
    <w:rsid w:val="00F6395E"/>
    <w:rsid w:val="00F70449"/>
    <w:rsid w:val="00F76353"/>
    <w:rsid w:val="00F766BF"/>
    <w:rsid w:val="00F76CC1"/>
    <w:rsid w:val="00F808CA"/>
    <w:rsid w:val="00F82626"/>
    <w:rsid w:val="00F8443A"/>
    <w:rsid w:val="00F86890"/>
    <w:rsid w:val="00F869DF"/>
    <w:rsid w:val="00F92706"/>
    <w:rsid w:val="00F93A65"/>
    <w:rsid w:val="00FB41F1"/>
    <w:rsid w:val="00FB49A2"/>
    <w:rsid w:val="00FB5A75"/>
    <w:rsid w:val="00FC300F"/>
    <w:rsid w:val="00FC374D"/>
    <w:rsid w:val="00FD259A"/>
    <w:rsid w:val="00FE168B"/>
    <w:rsid w:val="00FE2DE7"/>
    <w:rsid w:val="00FE31D6"/>
    <w:rsid w:val="00FE3367"/>
    <w:rsid w:val="00FF0D1A"/>
    <w:rsid w:val="00FF2FD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6553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5000"/>
    <w:rPr>
      <w:color w:val="4D4D4F" w:themeColor="text1"/>
      <w:sz w:val="24"/>
    </w:rPr>
  </w:style>
  <w:style w:type="paragraph" w:styleId="Heading1">
    <w:name w:val="heading 1"/>
    <w:basedOn w:val="Normal"/>
    <w:next w:val="Normal"/>
    <w:link w:val="Heading1Char"/>
    <w:uiPriority w:val="9"/>
    <w:qFormat/>
    <w:rsid w:val="009657AC"/>
    <w:pPr>
      <w:keepNext/>
      <w:keepLines/>
      <w:spacing w:after="120" w:line="240" w:lineRule="auto"/>
      <w:outlineLvl w:val="0"/>
    </w:pPr>
    <w:rPr>
      <w:rFonts w:ascii="Calibri" w:eastAsiaTheme="majorEastAsia" w:hAnsi="Calibri" w:cstheme="majorBidi"/>
      <w:b/>
      <w:bCs/>
      <w:color w:val="234675" w:themeColor="accent1" w:themeShade="BF"/>
      <w:sz w:val="36"/>
      <w:szCs w:val="28"/>
    </w:rPr>
  </w:style>
  <w:style w:type="paragraph" w:styleId="Heading2">
    <w:name w:val="heading 2"/>
    <w:basedOn w:val="Normal"/>
    <w:next w:val="Normal"/>
    <w:link w:val="Heading2Char"/>
    <w:uiPriority w:val="9"/>
    <w:unhideWhenUsed/>
    <w:qFormat/>
    <w:rsid w:val="004B1E30"/>
    <w:pPr>
      <w:keepNext/>
      <w:keepLines/>
      <w:spacing w:after="160" w:line="240" w:lineRule="auto"/>
      <w:ind w:left="1134"/>
      <w:outlineLvl w:val="1"/>
    </w:pPr>
    <w:rPr>
      <w:rFonts w:ascii="Calibri" w:eastAsiaTheme="majorEastAsia" w:hAnsi="Calibri" w:cstheme="majorBidi"/>
      <w:b/>
      <w:bCs/>
      <w:color w:val="B2A97E" w:themeColor="accent4"/>
      <w:sz w:val="32"/>
      <w:szCs w:val="26"/>
    </w:rPr>
  </w:style>
  <w:style w:type="paragraph" w:styleId="Heading3">
    <w:name w:val="heading 3"/>
    <w:basedOn w:val="Normal"/>
    <w:next w:val="Normal"/>
    <w:link w:val="Heading3Char"/>
    <w:uiPriority w:val="9"/>
    <w:unhideWhenUsed/>
    <w:qFormat/>
    <w:rsid w:val="003717E0"/>
    <w:pPr>
      <w:keepNext/>
      <w:keepLines/>
      <w:spacing w:before="200" w:after="120"/>
      <w:ind w:left="1134"/>
      <w:outlineLvl w:val="2"/>
    </w:pPr>
    <w:rPr>
      <w:rFonts w:ascii="Arial" w:eastAsiaTheme="majorEastAsia" w:hAnsi="Arial" w:cs="Arial"/>
      <w:b/>
      <w:bCs/>
      <w:color w:val="2F5E9D" w:themeColor="accent1"/>
    </w:rPr>
  </w:style>
  <w:style w:type="paragraph" w:styleId="Heading4">
    <w:name w:val="heading 4"/>
    <w:basedOn w:val="Normal"/>
    <w:next w:val="Normal"/>
    <w:link w:val="Heading4Char"/>
    <w:uiPriority w:val="9"/>
    <w:unhideWhenUsed/>
    <w:qFormat/>
    <w:rsid w:val="004B1E30"/>
    <w:pPr>
      <w:keepNext/>
      <w:keepLines/>
      <w:spacing w:before="200" w:after="0"/>
      <w:ind w:left="1134"/>
      <w:outlineLvl w:val="3"/>
    </w:pPr>
    <w:rPr>
      <w:rFonts w:eastAsia="Times New Roman" w:cstheme="minorHAnsi"/>
      <w:b/>
      <w:bCs/>
      <w:i/>
      <w:iCs/>
    </w:rPr>
  </w:style>
  <w:style w:type="paragraph" w:styleId="Heading5">
    <w:name w:val="heading 5"/>
    <w:basedOn w:val="Normal"/>
    <w:next w:val="Normal"/>
    <w:link w:val="Heading5Char"/>
    <w:uiPriority w:val="9"/>
    <w:unhideWhenUsed/>
    <w:qFormat/>
    <w:rsid w:val="00087037"/>
    <w:pPr>
      <w:keepNext/>
      <w:keepLines/>
      <w:spacing w:before="200" w:after="0"/>
      <w:outlineLvl w:val="4"/>
    </w:pPr>
    <w:rPr>
      <w:rFonts w:asciiTheme="majorHAnsi" w:eastAsiaTheme="majorEastAsia" w:hAnsiTheme="majorHAnsi" w:cstheme="majorBidi"/>
      <w:color w:val="172E4D" w:themeColor="accent1" w:themeShade="7F"/>
    </w:rPr>
  </w:style>
  <w:style w:type="paragraph" w:styleId="Heading6">
    <w:name w:val="heading 6"/>
    <w:basedOn w:val="Normal"/>
    <w:next w:val="Normal"/>
    <w:link w:val="Heading6Char"/>
    <w:qFormat/>
    <w:rsid w:val="000A0087"/>
    <w:pPr>
      <w:keepNext/>
      <w:widowControl w:val="0"/>
      <w:spacing w:after="60" w:line="240" w:lineRule="auto"/>
      <w:outlineLvl w:val="5"/>
    </w:pPr>
    <w:rPr>
      <w:rFonts w:ascii="Arial" w:eastAsia="Times New Roman" w:hAnsi="Arial" w:cs="Times New Roman"/>
      <w:b/>
      <w:i/>
      <w:snapToGrid w:val="0"/>
      <w:color w:val="auto"/>
      <w:sz w:val="22"/>
      <w:szCs w:val="20"/>
    </w:rPr>
  </w:style>
  <w:style w:type="paragraph" w:styleId="Heading7">
    <w:name w:val="heading 7"/>
    <w:basedOn w:val="Normal"/>
    <w:next w:val="Normal"/>
    <w:link w:val="Heading7Char"/>
    <w:uiPriority w:val="9"/>
    <w:semiHidden/>
    <w:unhideWhenUsed/>
    <w:qFormat/>
    <w:rsid w:val="000A0087"/>
    <w:pPr>
      <w:keepNext/>
      <w:keepLines/>
      <w:spacing w:before="200" w:after="0"/>
      <w:outlineLvl w:val="6"/>
    </w:pPr>
    <w:rPr>
      <w:rFonts w:asciiTheme="majorHAnsi" w:eastAsiaTheme="majorEastAsia" w:hAnsiTheme="majorHAnsi" w:cstheme="majorBidi"/>
      <w:i/>
      <w:iCs/>
      <w:color w:val="78787B" w:themeColor="text1" w:themeTint="BF"/>
    </w:rPr>
  </w:style>
  <w:style w:type="paragraph" w:styleId="Heading8">
    <w:name w:val="heading 8"/>
    <w:basedOn w:val="Normal"/>
    <w:next w:val="Normal"/>
    <w:link w:val="Heading8Char"/>
    <w:uiPriority w:val="9"/>
    <w:semiHidden/>
    <w:unhideWhenUsed/>
    <w:qFormat/>
    <w:rsid w:val="000A0087"/>
    <w:pPr>
      <w:keepNext/>
      <w:keepLines/>
      <w:spacing w:before="200" w:after="0"/>
      <w:outlineLvl w:val="7"/>
    </w:pPr>
    <w:rPr>
      <w:rFonts w:asciiTheme="majorHAnsi" w:eastAsiaTheme="majorEastAsia" w:hAnsiTheme="majorHAnsi" w:cstheme="majorBidi"/>
      <w:color w:val="78787B" w:themeColor="text1" w:themeTint="BF"/>
      <w:sz w:val="20"/>
      <w:szCs w:val="20"/>
    </w:rPr>
  </w:style>
  <w:style w:type="paragraph" w:styleId="Heading9">
    <w:name w:val="heading 9"/>
    <w:basedOn w:val="Normal"/>
    <w:next w:val="Normal"/>
    <w:link w:val="Heading9Char"/>
    <w:uiPriority w:val="9"/>
    <w:semiHidden/>
    <w:unhideWhenUsed/>
    <w:qFormat/>
    <w:rsid w:val="000A0087"/>
    <w:pPr>
      <w:keepNext/>
      <w:keepLines/>
      <w:spacing w:before="200" w:after="0"/>
      <w:outlineLvl w:val="8"/>
    </w:pPr>
    <w:rPr>
      <w:rFonts w:asciiTheme="majorHAnsi" w:eastAsiaTheme="majorEastAsia" w:hAnsiTheme="majorHAnsi" w:cstheme="majorBidi"/>
      <w:i/>
      <w:iCs/>
      <w:color w:val="78787B"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oreword">
    <w:name w:val="Foreword"/>
    <w:basedOn w:val="Heading1"/>
    <w:next w:val="Normal"/>
    <w:autoRedefine/>
    <w:qFormat/>
    <w:rsid w:val="006848C4"/>
    <w:pPr>
      <w:jc w:val="both"/>
    </w:pPr>
    <w:rPr>
      <w:rFonts w:ascii="Arial" w:eastAsiaTheme="minorHAnsi" w:hAnsi="Arial" w:cs="Arial"/>
      <w:color w:val="auto"/>
    </w:rPr>
  </w:style>
  <w:style w:type="character" w:customStyle="1" w:styleId="Heading1Char">
    <w:name w:val="Heading 1 Char"/>
    <w:basedOn w:val="DefaultParagraphFont"/>
    <w:link w:val="Heading1"/>
    <w:uiPriority w:val="9"/>
    <w:rsid w:val="009657AC"/>
    <w:rPr>
      <w:rFonts w:ascii="Calibri" w:eastAsiaTheme="majorEastAsia" w:hAnsi="Calibri" w:cstheme="majorBidi"/>
      <w:b/>
      <w:bCs/>
      <w:color w:val="234675" w:themeColor="accent1" w:themeShade="BF"/>
      <w:sz w:val="36"/>
      <w:szCs w:val="28"/>
    </w:rPr>
  </w:style>
  <w:style w:type="numbering" w:customStyle="1" w:styleId="Bulletpoint">
    <w:name w:val="Bullet point"/>
    <w:basedOn w:val="NoList"/>
    <w:rsid w:val="006848C4"/>
    <w:pPr>
      <w:numPr>
        <w:numId w:val="1"/>
      </w:numPr>
    </w:pPr>
  </w:style>
  <w:style w:type="paragraph" w:styleId="ListParagraph">
    <w:name w:val="List Paragraph"/>
    <w:basedOn w:val="Normal"/>
    <w:autoRedefine/>
    <w:uiPriority w:val="34"/>
    <w:qFormat/>
    <w:rsid w:val="00067EE9"/>
    <w:pPr>
      <w:numPr>
        <w:numId w:val="31"/>
      </w:numPr>
      <w:spacing w:after="0"/>
      <w:ind w:left="1560"/>
      <w:contextualSpacing/>
    </w:pPr>
    <w:rPr>
      <w:rFonts w:ascii="Arial" w:eastAsia="Times New Roman" w:hAnsi="Arial" w:cs="Times New Roman"/>
      <w:szCs w:val="20"/>
      <w:lang w:eastAsia="en-AU"/>
    </w:rPr>
  </w:style>
  <w:style w:type="paragraph" w:customStyle="1" w:styleId="Figures">
    <w:name w:val="Figures"/>
    <w:basedOn w:val="Normal"/>
    <w:autoRedefine/>
    <w:rsid w:val="00981BE9"/>
    <w:pPr>
      <w:tabs>
        <w:tab w:val="left" w:pos="0"/>
      </w:tabs>
      <w:spacing w:after="0" w:line="240" w:lineRule="auto"/>
    </w:pPr>
    <w:rPr>
      <w:rFonts w:ascii="Arial" w:eastAsia="Times New Roman" w:hAnsi="Arial" w:cs="Times New Roman"/>
      <w:b/>
      <w:bCs/>
      <w:iCs/>
      <w:color w:val="1C385D" w:themeColor="text2"/>
      <w:sz w:val="22"/>
      <w:szCs w:val="24"/>
    </w:rPr>
  </w:style>
  <w:style w:type="paragraph" w:customStyle="1" w:styleId="Financials">
    <w:name w:val="Financials"/>
    <w:basedOn w:val="Normal"/>
    <w:qFormat/>
    <w:rsid w:val="00371245"/>
    <w:pPr>
      <w:spacing w:after="0" w:line="240" w:lineRule="auto"/>
    </w:pPr>
    <w:rPr>
      <w:sz w:val="22"/>
    </w:rPr>
  </w:style>
  <w:style w:type="character" w:customStyle="1" w:styleId="Heading2Char">
    <w:name w:val="Heading 2 Char"/>
    <w:basedOn w:val="DefaultParagraphFont"/>
    <w:link w:val="Heading2"/>
    <w:uiPriority w:val="9"/>
    <w:rsid w:val="004B1E30"/>
    <w:rPr>
      <w:rFonts w:ascii="Calibri" w:eastAsiaTheme="majorEastAsia" w:hAnsi="Calibri" w:cstheme="majorBidi"/>
      <w:b/>
      <w:bCs/>
      <w:color w:val="B2A97E" w:themeColor="accent4"/>
      <w:sz w:val="32"/>
      <w:szCs w:val="26"/>
    </w:rPr>
  </w:style>
  <w:style w:type="paragraph" w:styleId="Quote">
    <w:name w:val="Quote"/>
    <w:basedOn w:val="Normal"/>
    <w:next w:val="Normal"/>
    <w:link w:val="QuoteChar"/>
    <w:uiPriority w:val="29"/>
    <w:qFormat/>
    <w:rsid w:val="00B675C3"/>
    <w:rPr>
      <w:rFonts w:ascii="Arial Bold" w:hAnsi="Arial Bold"/>
      <w:b/>
      <w:iCs/>
      <w:color w:val="B2A97E" w:themeColor="accent4"/>
      <w:sz w:val="32"/>
      <w14:ligatures w14:val="standard"/>
    </w:rPr>
  </w:style>
  <w:style w:type="character" w:customStyle="1" w:styleId="QuoteChar">
    <w:name w:val="Quote Char"/>
    <w:basedOn w:val="DefaultParagraphFont"/>
    <w:link w:val="Quote"/>
    <w:uiPriority w:val="29"/>
    <w:rsid w:val="00B675C3"/>
    <w:rPr>
      <w:rFonts w:ascii="Arial Bold" w:hAnsi="Arial Bold"/>
      <w:b/>
      <w:iCs/>
      <w:color w:val="B2A97E" w:themeColor="accent4"/>
      <w:sz w:val="32"/>
      <w14:ligatures w14:val="standard"/>
    </w:rPr>
  </w:style>
  <w:style w:type="paragraph" w:styleId="Header">
    <w:name w:val="header"/>
    <w:basedOn w:val="Normal"/>
    <w:link w:val="HeaderChar"/>
    <w:uiPriority w:val="99"/>
    <w:unhideWhenUsed/>
    <w:rsid w:val="00D63D8B"/>
    <w:pPr>
      <w:tabs>
        <w:tab w:val="center" w:pos="4513"/>
        <w:tab w:val="right" w:pos="9026"/>
      </w:tabs>
      <w:spacing w:before="120" w:after="0" w:line="240" w:lineRule="auto"/>
    </w:pPr>
  </w:style>
  <w:style w:type="character" w:customStyle="1" w:styleId="HeaderChar">
    <w:name w:val="Header Char"/>
    <w:basedOn w:val="DefaultParagraphFont"/>
    <w:link w:val="Header"/>
    <w:uiPriority w:val="99"/>
    <w:rsid w:val="00D63D8B"/>
    <w:rPr>
      <w:color w:val="4D4D4F" w:themeColor="text1"/>
      <w:sz w:val="24"/>
    </w:rPr>
  </w:style>
  <w:style w:type="paragraph" w:styleId="Footer">
    <w:name w:val="footer"/>
    <w:basedOn w:val="Normal"/>
    <w:link w:val="FooterChar"/>
    <w:uiPriority w:val="99"/>
    <w:unhideWhenUsed/>
    <w:rsid w:val="00D63D8B"/>
    <w:pPr>
      <w:tabs>
        <w:tab w:val="center" w:pos="4513"/>
        <w:tab w:val="right" w:pos="9026"/>
      </w:tabs>
      <w:spacing w:before="120" w:after="0" w:line="240" w:lineRule="auto"/>
    </w:pPr>
    <w:rPr>
      <w:sz w:val="20"/>
    </w:rPr>
  </w:style>
  <w:style w:type="character" w:customStyle="1" w:styleId="FooterChar">
    <w:name w:val="Footer Char"/>
    <w:basedOn w:val="DefaultParagraphFont"/>
    <w:link w:val="Footer"/>
    <w:uiPriority w:val="99"/>
    <w:rsid w:val="00D63D8B"/>
    <w:rPr>
      <w:color w:val="4D4D4F" w:themeColor="text1"/>
      <w:sz w:val="20"/>
    </w:rPr>
  </w:style>
  <w:style w:type="paragraph" w:styleId="BalloonText">
    <w:name w:val="Balloon Text"/>
    <w:basedOn w:val="Normal"/>
    <w:link w:val="BalloonTextChar"/>
    <w:semiHidden/>
    <w:unhideWhenUsed/>
    <w:rsid w:val="007950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795041"/>
    <w:rPr>
      <w:rFonts w:ascii="Tahoma" w:hAnsi="Tahoma" w:cs="Tahoma"/>
      <w:color w:val="4D4D4F" w:themeColor="text1"/>
      <w:sz w:val="16"/>
      <w:szCs w:val="16"/>
    </w:rPr>
  </w:style>
  <w:style w:type="character" w:styleId="PlaceholderText">
    <w:name w:val="Placeholder Text"/>
    <w:basedOn w:val="DefaultParagraphFont"/>
    <w:uiPriority w:val="99"/>
    <w:semiHidden/>
    <w:rsid w:val="00AF047E"/>
    <w:rPr>
      <w:color w:val="808080"/>
    </w:rPr>
  </w:style>
  <w:style w:type="paragraph" w:customStyle="1" w:styleId="Sectionheading">
    <w:name w:val="Section heading"/>
    <w:basedOn w:val="Heading1"/>
    <w:next w:val="Normal"/>
    <w:qFormat/>
    <w:rsid w:val="00B46443"/>
    <w:rPr>
      <w:color w:val="B2A97E" w:themeColor="accent4"/>
      <w:sz w:val="40"/>
    </w:rPr>
  </w:style>
  <w:style w:type="character" w:customStyle="1" w:styleId="Heading3Char">
    <w:name w:val="Heading 3 Char"/>
    <w:basedOn w:val="DefaultParagraphFont"/>
    <w:link w:val="Heading3"/>
    <w:uiPriority w:val="9"/>
    <w:rsid w:val="003717E0"/>
    <w:rPr>
      <w:rFonts w:ascii="Arial" w:eastAsiaTheme="majorEastAsia" w:hAnsi="Arial" w:cs="Arial"/>
      <w:b/>
      <w:bCs/>
      <w:color w:val="2F5E9D" w:themeColor="accent1"/>
      <w:sz w:val="24"/>
    </w:rPr>
  </w:style>
  <w:style w:type="character" w:customStyle="1" w:styleId="Heading4Char">
    <w:name w:val="Heading 4 Char"/>
    <w:basedOn w:val="DefaultParagraphFont"/>
    <w:link w:val="Heading4"/>
    <w:uiPriority w:val="9"/>
    <w:rsid w:val="004B1E30"/>
    <w:rPr>
      <w:rFonts w:eastAsia="Times New Roman" w:cstheme="minorHAnsi"/>
      <w:b/>
      <w:bCs/>
      <w:i/>
      <w:iCs/>
      <w:color w:val="4D4D4F" w:themeColor="text1"/>
      <w:sz w:val="24"/>
    </w:rPr>
  </w:style>
  <w:style w:type="paragraph" w:customStyle="1" w:styleId="Body">
    <w:name w:val="Body"/>
    <w:basedOn w:val="Normal"/>
    <w:qFormat/>
    <w:rsid w:val="006C6FC5"/>
    <w:pPr>
      <w:ind w:left="1134"/>
    </w:pPr>
  </w:style>
  <w:style w:type="paragraph" w:customStyle="1" w:styleId="Servicedescription">
    <w:name w:val="Service description"/>
    <w:basedOn w:val="Normal"/>
    <w:qFormat/>
    <w:rsid w:val="00B46443"/>
    <w:rPr>
      <w:rFonts w:ascii="Calibri" w:hAnsi="Calibri" w:cs="Arial"/>
      <w:b/>
      <w:color w:val="9A3821" w:themeColor="accent2"/>
      <w:sz w:val="28"/>
      <w:szCs w:val="30"/>
    </w:rPr>
  </w:style>
  <w:style w:type="character" w:styleId="Hyperlink">
    <w:name w:val="Hyperlink"/>
    <w:basedOn w:val="DefaultParagraphFont"/>
    <w:uiPriority w:val="99"/>
    <w:unhideWhenUsed/>
    <w:rsid w:val="00F808CA"/>
    <w:rPr>
      <w:color w:val="9A3821"/>
      <w:u w:val="none"/>
    </w:rPr>
  </w:style>
  <w:style w:type="table" w:styleId="TableGrid">
    <w:name w:val="Table Grid"/>
    <w:basedOn w:val="TableNormal"/>
    <w:uiPriority w:val="59"/>
    <w:rsid w:val="00F808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astbullet">
    <w:name w:val="Last bullet"/>
    <w:basedOn w:val="ListParagraph"/>
    <w:qFormat/>
    <w:rsid w:val="004B1E30"/>
    <w:pPr>
      <w:spacing w:after="120"/>
    </w:pPr>
  </w:style>
  <w:style w:type="paragraph" w:customStyle="1" w:styleId="Calloutbox">
    <w:name w:val="Call out box"/>
    <w:basedOn w:val="Normal"/>
    <w:qFormat/>
    <w:rsid w:val="0083455B"/>
    <w:pPr>
      <w:pBdr>
        <w:left w:val="single" w:sz="4" w:space="4" w:color="auto"/>
      </w:pBdr>
      <w:spacing w:before="200" w:after="80" w:line="240" w:lineRule="auto"/>
    </w:pPr>
    <w:rPr>
      <w:rFonts w:ascii="Calibri" w:hAnsi="Calibri"/>
      <w:color w:val="1C385D" w:themeColor="text2"/>
      <w:sz w:val="36"/>
      <w:szCs w:val="36"/>
    </w:rPr>
  </w:style>
  <w:style w:type="character" w:styleId="CommentReference">
    <w:name w:val="annotation reference"/>
    <w:basedOn w:val="DefaultParagraphFont"/>
    <w:uiPriority w:val="99"/>
    <w:semiHidden/>
    <w:unhideWhenUsed/>
    <w:rsid w:val="001E603E"/>
    <w:rPr>
      <w:sz w:val="16"/>
      <w:szCs w:val="16"/>
    </w:rPr>
  </w:style>
  <w:style w:type="paragraph" w:styleId="CommentText">
    <w:name w:val="annotation text"/>
    <w:basedOn w:val="Normal"/>
    <w:link w:val="CommentTextChar"/>
    <w:uiPriority w:val="99"/>
    <w:semiHidden/>
    <w:unhideWhenUsed/>
    <w:rsid w:val="001E603E"/>
    <w:pPr>
      <w:spacing w:line="240" w:lineRule="auto"/>
    </w:pPr>
    <w:rPr>
      <w:rFonts w:ascii="Arial" w:hAnsi="Arial"/>
      <w:sz w:val="20"/>
      <w:szCs w:val="20"/>
    </w:rPr>
  </w:style>
  <w:style w:type="character" w:customStyle="1" w:styleId="CommentTextChar">
    <w:name w:val="Comment Text Char"/>
    <w:basedOn w:val="DefaultParagraphFont"/>
    <w:link w:val="CommentText"/>
    <w:uiPriority w:val="99"/>
    <w:semiHidden/>
    <w:rsid w:val="001E603E"/>
    <w:rPr>
      <w:rFonts w:ascii="Arial" w:hAnsi="Arial"/>
      <w:color w:val="4D4D4F" w:themeColor="text1"/>
      <w:sz w:val="20"/>
      <w:szCs w:val="20"/>
    </w:rPr>
  </w:style>
  <w:style w:type="paragraph" w:customStyle="1" w:styleId="Pa9">
    <w:name w:val="Pa9"/>
    <w:basedOn w:val="Normal"/>
    <w:next w:val="Normal"/>
    <w:uiPriority w:val="99"/>
    <w:rsid w:val="001E603E"/>
    <w:pPr>
      <w:autoSpaceDE w:val="0"/>
      <w:autoSpaceDN w:val="0"/>
      <w:adjustRightInd w:val="0"/>
      <w:spacing w:after="0" w:line="221" w:lineRule="atLeast"/>
    </w:pPr>
    <w:rPr>
      <w:rFonts w:ascii="DaxOT-MediumItalic" w:eastAsia="Times New Roman" w:hAnsi="DaxOT-MediumItalic" w:cs="Times New Roman"/>
      <w:color w:val="auto"/>
      <w:szCs w:val="24"/>
      <w:lang w:eastAsia="en-AU"/>
    </w:rPr>
  </w:style>
  <w:style w:type="character" w:customStyle="1" w:styleId="Style11ptBoldItalic">
    <w:name w:val="Style 11 pt Bold Italic"/>
    <w:basedOn w:val="DefaultParagraphFont"/>
    <w:rsid w:val="001E603E"/>
    <w:rPr>
      <w:b/>
      <w:bCs/>
      <w:i/>
      <w:iCs/>
      <w:sz w:val="24"/>
    </w:rPr>
  </w:style>
  <w:style w:type="character" w:customStyle="1" w:styleId="contenttitlelink">
    <w:name w:val="contenttitlelink"/>
    <w:basedOn w:val="DefaultParagraphFont"/>
    <w:rsid w:val="001E603E"/>
  </w:style>
  <w:style w:type="paragraph" w:customStyle="1" w:styleId="Default">
    <w:name w:val="Default"/>
    <w:rsid w:val="00004A0E"/>
    <w:pPr>
      <w:autoSpaceDE w:val="0"/>
      <w:autoSpaceDN w:val="0"/>
      <w:adjustRightInd w:val="0"/>
      <w:spacing w:after="0" w:line="240" w:lineRule="auto"/>
    </w:pPr>
    <w:rPr>
      <w:rFonts w:ascii="Arial" w:eastAsia="Times New Roman" w:hAnsi="Arial" w:cs="Arial"/>
      <w:color w:val="000000"/>
      <w:sz w:val="24"/>
      <w:szCs w:val="24"/>
      <w:lang w:eastAsia="en-AU"/>
    </w:rPr>
  </w:style>
  <w:style w:type="character" w:customStyle="1" w:styleId="Heading5Char">
    <w:name w:val="Heading 5 Char"/>
    <w:basedOn w:val="DefaultParagraphFont"/>
    <w:link w:val="Heading5"/>
    <w:uiPriority w:val="9"/>
    <w:rsid w:val="00087037"/>
    <w:rPr>
      <w:rFonts w:asciiTheme="majorHAnsi" w:eastAsiaTheme="majorEastAsia" w:hAnsiTheme="majorHAnsi" w:cstheme="majorBidi"/>
      <w:color w:val="172E4D" w:themeColor="accent1" w:themeShade="7F"/>
      <w:sz w:val="24"/>
    </w:rPr>
  </w:style>
  <w:style w:type="paragraph" w:customStyle="1" w:styleId="Chapterheading">
    <w:name w:val="Chapter heading"/>
    <w:basedOn w:val="Heading1"/>
    <w:qFormat/>
    <w:rsid w:val="000E07E1"/>
    <w:rPr>
      <w:rFonts w:asciiTheme="majorHAnsi" w:hAnsiTheme="majorHAnsi"/>
      <w:b w:val="0"/>
      <w:color w:val="FFFFFF" w:themeColor="background1"/>
      <w:sz w:val="56"/>
      <w:szCs w:val="56"/>
    </w:rPr>
  </w:style>
  <w:style w:type="paragraph" w:styleId="TOC1">
    <w:name w:val="toc 1"/>
    <w:basedOn w:val="Normal"/>
    <w:next w:val="Normal"/>
    <w:autoRedefine/>
    <w:uiPriority w:val="39"/>
    <w:unhideWhenUsed/>
    <w:rsid w:val="00671CBA"/>
    <w:pPr>
      <w:tabs>
        <w:tab w:val="right" w:leader="dot" w:pos="9463"/>
      </w:tabs>
      <w:spacing w:before="120" w:after="120" w:line="240" w:lineRule="auto"/>
    </w:pPr>
    <w:rPr>
      <w:rFonts w:cstheme="minorHAnsi"/>
      <w:b/>
      <w:bCs/>
      <w:noProof/>
      <w:szCs w:val="24"/>
    </w:rPr>
  </w:style>
  <w:style w:type="paragraph" w:styleId="TOC2">
    <w:name w:val="toc 2"/>
    <w:basedOn w:val="Normal"/>
    <w:next w:val="Normal"/>
    <w:autoRedefine/>
    <w:uiPriority w:val="39"/>
    <w:unhideWhenUsed/>
    <w:rsid w:val="00671CBA"/>
    <w:pPr>
      <w:tabs>
        <w:tab w:val="right" w:pos="9463"/>
      </w:tabs>
      <w:spacing w:before="60" w:after="60" w:line="240" w:lineRule="auto"/>
      <w:ind w:left="238"/>
    </w:pPr>
    <w:rPr>
      <w:rFonts w:cstheme="minorHAnsi"/>
      <w:b/>
      <w:iCs/>
      <w:noProof/>
      <w:sz w:val="22"/>
      <w:szCs w:val="20"/>
    </w:rPr>
  </w:style>
  <w:style w:type="paragraph" w:styleId="TOC3">
    <w:name w:val="toc 3"/>
    <w:basedOn w:val="Normal"/>
    <w:next w:val="Normal"/>
    <w:autoRedefine/>
    <w:uiPriority w:val="39"/>
    <w:unhideWhenUsed/>
    <w:rsid w:val="002054CC"/>
    <w:pPr>
      <w:tabs>
        <w:tab w:val="right" w:pos="9463"/>
      </w:tabs>
      <w:spacing w:after="0"/>
      <w:ind w:left="482"/>
    </w:pPr>
    <w:rPr>
      <w:rFonts w:cstheme="minorHAnsi"/>
      <w:sz w:val="22"/>
      <w:szCs w:val="20"/>
    </w:rPr>
  </w:style>
  <w:style w:type="paragraph" w:styleId="TOC4">
    <w:name w:val="toc 4"/>
    <w:basedOn w:val="Normal"/>
    <w:next w:val="Normal"/>
    <w:autoRedefine/>
    <w:uiPriority w:val="39"/>
    <w:unhideWhenUsed/>
    <w:rsid w:val="005E35EB"/>
    <w:pPr>
      <w:spacing w:after="0"/>
      <w:ind w:left="720"/>
    </w:pPr>
    <w:rPr>
      <w:rFonts w:cstheme="minorHAnsi"/>
      <w:sz w:val="20"/>
      <w:szCs w:val="20"/>
    </w:rPr>
  </w:style>
  <w:style w:type="paragraph" w:styleId="TOC5">
    <w:name w:val="toc 5"/>
    <w:basedOn w:val="Normal"/>
    <w:next w:val="Normal"/>
    <w:autoRedefine/>
    <w:uiPriority w:val="39"/>
    <w:unhideWhenUsed/>
    <w:rsid w:val="005E35EB"/>
    <w:pPr>
      <w:spacing w:after="0"/>
      <w:ind w:left="960"/>
    </w:pPr>
    <w:rPr>
      <w:rFonts w:cstheme="minorHAnsi"/>
      <w:sz w:val="20"/>
      <w:szCs w:val="20"/>
    </w:rPr>
  </w:style>
  <w:style w:type="paragraph" w:styleId="TOC6">
    <w:name w:val="toc 6"/>
    <w:basedOn w:val="Normal"/>
    <w:next w:val="Normal"/>
    <w:autoRedefine/>
    <w:uiPriority w:val="39"/>
    <w:unhideWhenUsed/>
    <w:rsid w:val="005E35EB"/>
    <w:pPr>
      <w:spacing w:after="0"/>
      <w:ind w:left="1200"/>
    </w:pPr>
    <w:rPr>
      <w:rFonts w:cstheme="minorHAnsi"/>
      <w:sz w:val="20"/>
      <w:szCs w:val="20"/>
    </w:rPr>
  </w:style>
  <w:style w:type="paragraph" w:styleId="TOC7">
    <w:name w:val="toc 7"/>
    <w:basedOn w:val="Normal"/>
    <w:next w:val="Normal"/>
    <w:autoRedefine/>
    <w:uiPriority w:val="39"/>
    <w:unhideWhenUsed/>
    <w:rsid w:val="005E35EB"/>
    <w:pPr>
      <w:spacing w:after="0"/>
      <w:ind w:left="1440"/>
    </w:pPr>
    <w:rPr>
      <w:rFonts w:cstheme="minorHAnsi"/>
      <w:sz w:val="20"/>
      <w:szCs w:val="20"/>
    </w:rPr>
  </w:style>
  <w:style w:type="paragraph" w:styleId="TOC8">
    <w:name w:val="toc 8"/>
    <w:basedOn w:val="Normal"/>
    <w:next w:val="Normal"/>
    <w:autoRedefine/>
    <w:uiPriority w:val="39"/>
    <w:unhideWhenUsed/>
    <w:rsid w:val="005E35EB"/>
    <w:pPr>
      <w:spacing w:after="0"/>
      <w:ind w:left="1680"/>
    </w:pPr>
    <w:rPr>
      <w:rFonts w:cstheme="minorHAnsi"/>
      <w:sz w:val="20"/>
      <w:szCs w:val="20"/>
    </w:rPr>
  </w:style>
  <w:style w:type="paragraph" w:styleId="TOC9">
    <w:name w:val="toc 9"/>
    <w:basedOn w:val="Normal"/>
    <w:next w:val="Normal"/>
    <w:autoRedefine/>
    <w:uiPriority w:val="39"/>
    <w:unhideWhenUsed/>
    <w:rsid w:val="005E35EB"/>
    <w:pPr>
      <w:spacing w:after="0"/>
      <w:ind w:left="1920"/>
    </w:pPr>
    <w:rPr>
      <w:rFonts w:cstheme="minorHAnsi"/>
      <w:sz w:val="20"/>
      <w:szCs w:val="20"/>
    </w:rPr>
  </w:style>
  <w:style w:type="paragraph" w:customStyle="1" w:styleId="Financialsheading1">
    <w:name w:val="Financials heading 1"/>
    <w:basedOn w:val="Financials"/>
    <w:qFormat/>
    <w:rsid w:val="009B4A17"/>
    <w:pPr>
      <w:spacing w:after="120"/>
    </w:pPr>
    <w:rPr>
      <w:rFonts w:ascii="Calibri" w:hAnsi="Calibri"/>
      <w:b/>
      <w:color w:val="B2A97E" w:themeColor="accent4"/>
      <w:sz w:val="32"/>
      <w:szCs w:val="32"/>
    </w:rPr>
  </w:style>
  <w:style w:type="paragraph" w:customStyle="1" w:styleId="Financialsheading2">
    <w:name w:val="Financials heading 2"/>
    <w:basedOn w:val="Normal"/>
    <w:qFormat/>
    <w:rsid w:val="00682CC1"/>
    <w:rPr>
      <w:b/>
      <w:color w:val="2F5E9D" w:themeColor="accent1"/>
    </w:rPr>
  </w:style>
  <w:style w:type="paragraph" w:customStyle="1" w:styleId="Financialsheading3">
    <w:name w:val="Financials heading 3"/>
    <w:basedOn w:val="Heading3"/>
    <w:qFormat/>
    <w:rsid w:val="00B35945"/>
    <w:pPr>
      <w:spacing w:before="240"/>
    </w:pPr>
    <w:rPr>
      <w:rFonts w:ascii="Calibri" w:eastAsia="Times New Roman" w:hAnsi="Calibri" w:cstheme="majorBidi"/>
      <w:sz w:val="28"/>
      <w:lang w:eastAsia="en-AU"/>
    </w:rPr>
  </w:style>
  <w:style w:type="paragraph" w:customStyle="1" w:styleId="ListParagraph2">
    <w:name w:val="List Paragraph 2"/>
    <w:basedOn w:val="ListParagraph"/>
    <w:qFormat/>
    <w:rsid w:val="00E2543D"/>
    <w:pPr>
      <w:numPr>
        <w:numId w:val="4"/>
      </w:numPr>
      <w:spacing w:after="40"/>
    </w:pPr>
  </w:style>
  <w:style w:type="paragraph" w:customStyle="1" w:styleId="Financialnotes">
    <w:name w:val="Financial notes"/>
    <w:basedOn w:val="Body"/>
    <w:qFormat/>
    <w:rsid w:val="00B43588"/>
    <w:pPr>
      <w:spacing w:after="120"/>
    </w:pPr>
    <w:rPr>
      <w:sz w:val="22"/>
    </w:rPr>
  </w:style>
  <w:style w:type="paragraph" w:customStyle="1" w:styleId="Financialsheading4">
    <w:name w:val="Financials heading 4"/>
    <w:basedOn w:val="Body"/>
    <w:qFormat/>
    <w:rsid w:val="008E0F75"/>
    <w:pPr>
      <w:spacing w:before="120" w:after="60"/>
    </w:pPr>
    <w:rPr>
      <w:b/>
      <w:lang w:eastAsia="en-AU"/>
    </w:rPr>
  </w:style>
  <w:style w:type="paragraph" w:customStyle="1" w:styleId="Financialsheading5">
    <w:name w:val="Financials heading 5"/>
    <w:basedOn w:val="Financialnotes"/>
    <w:qFormat/>
    <w:rsid w:val="00504CC3"/>
    <w:rPr>
      <w:b/>
    </w:rPr>
  </w:style>
  <w:style w:type="paragraph" w:customStyle="1" w:styleId="Financialsheading6">
    <w:name w:val="Financials heading 6"/>
    <w:basedOn w:val="Financialnotes"/>
    <w:qFormat/>
    <w:rsid w:val="008C4BCA"/>
    <w:rPr>
      <w:b/>
      <w:i/>
    </w:rPr>
  </w:style>
  <w:style w:type="character" w:customStyle="1" w:styleId="Heading6Char">
    <w:name w:val="Heading 6 Char"/>
    <w:basedOn w:val="DefaultParagraphFont"/>
    <w:link w:val="Heading6"/>
    <w:rsid w:val="000A0087"/>
    <w:rPr>
      <w:rFonts w:ascii="Arial" w:eastAsia="Times New Roman" w:hAnsi="Arial" w:cs="Times New Roman"/>
      <w:b/>
      <w:i/>
      <w:snapToGrid w:val="0"/>
      <w:szCs w:val="20"/>
    </w:rPr>
  </w:style>
  <w:style w:type="character" w:customStyle="1" w:styleId="Heading7Char">
    <w:name w:val="Heading 7 Char"/>
    <w:basedOn w:val="DefaultParagraphFont"/>
    <w:link w:val="Heading7"/>
    <w:uiPriority w:val="9"/>
    <w:semiHidden/>
    <w:rsid w:val="000A0087"/>
    <w:rPr>
      <w:rFonts w:asciiTheme="majorHAnsi" w:eastAsiaTheme="majorEastAsia" w:hAnsiTheme="majorHAnsi" w:cstheme="majorBidi"/>
      <w:i/>
      <w:iCs/>
      <w:color w:val="78787B" w:themeColor="text1" w:themeTint="BF"/>
      <w:sz w:val="24"/>
    </w:rPr>
  </w:style>
  <w:style w:type="character" w:customStyle="1" w:styleId="Heading8Char">
    <w:name w:val="Heading 8 Char"/>
    <w:basedOn w:val="DefaultParagraphFont"/>
    <w:link w:val="Heading8"/>
    <w:uiPriority w:val="9"/>
    <w:semiHidden/>
    <w:rsid w:val="000A0087"/>
    <w:rPr>
      <w:rFonts w:asciiTheme="majorHAnsi" w:eastAsiaTheme="majorEastAsia" w:hAnsiTheme="majorHAnsi" w:cstheme="majorBidi"/>
      <w:color w:val="78787B" w:themeColor="text1" w:themeTint="BF"/>
      <w:sz w:val="20"/>
      <w:szCs w:val="20"/>
    </w:rPr>
  </w:style>
  <w:style w:type="character" w:customStyle="1" w:styleId="Heading9Char">
    <w:name w:val="Heading 9 Char"/>
    <w:basedOn w:val="DefaultParagraphFont"/>
    <w:link w:val="Heading9"/>
    <w:uiPriority w:val="9"/>
    <w:semiHidden/>
    <w:rsid w:val="000A0087"/>
    <w:rPr>
      <w:rFonts w:asciiTheme="majorHAnsi" w:eastAsiaTheme="majorEastAsia" w:hAnsiTheme="majorHAnsi" w:cstheme="majorBidi"/>
      <w:i/>
      <w:iCs/>
      <w:color w:val="78787B" w:themeColor="text1" w:themeTint="BF"/>
      <w:sz w:val="20"/>
      <w:szCs w:val="20"/>
    </w:rPr>
  </w:style>
  <w:style w:type="table" w:customStyle="1" w:styleId="AnnualReportFinancialTable1">
    <w:name w:val="Annual Report Financial Table 1"/>
    <w:basedOn w:val="TableNormal"/>
    <w:uiPriority w:val="99"/>
    <w:rsid w:val="000A0087"/>
    <w:pPr>
      <w:spacing w:after="0" w:line="240" w:lineRule="auto"/>
    </w:pPr>
    <w:tblPr>
      <w:tblBorders>
        <w:top w:val="single" w:sz="4" w:space="0" w:color="1C385D" w:themeColor="text2"/>
        <w:bottom w:val="single" w:sz="4" w:space="0" w:color="1C385D" w:themeColor="text2"/>
        <w:insideH w:val="single" w:sz="4" w:space="0" w:color="1C385D" w:themeColor="text2"/>
      </w:tblBorders>
    </w:tblPr>
    <w:tblStylePr w:type="firstRow">
      <w:tblPr/>
      <w:tcPr>
        <w:shd w:val="clear" w:color="auto" w:fill="1C385D" w:themeFill="text2"/>
      </w:tcPr>
    </w:tblStylePr>
  </w:style>
  <w:style w:type="paragraph" w:styleId="NormalWeb">
    <w:name w:val="Normal (Web)"/>
    <w:basedOn w:val="Normal"/>
    <w:uiPriority w:val="99"/>
    <w:unhideWhenUsed/>
    <w:rsid w:val="000A0087"/>
    <w:pPr>
      <w:spacing w:before="150" w:after="150" w:line="240" w:lineRule="auto"/>
    </w:pPr>
    <w:rPr>
      <w:rFonts w:ascii="Times New Roman" w:eastAsia="Times New Roman" w:hAnsi="Times New Roman" w:cs="Times New Roman"/>
      <w:color w:val="auto"/>
      <w:szCs w:val="24"/>
      <w:lang w:eastAsia="en-AU"/>
    </w:rPr>
  </w:style>
  <w:style w:type="paragraph" w:customStyle="1" w:styleId="EPAText">
    <w:name w:val="EPA Text"/>
    <w:basedOn w:val="Normal"/>
    <w:link w:val="EPATextChar"/>
    <w:rsid w:val="000A0087"/>
    <w:pPr>
      <w:spacing w:after="0" w:line="240" w:lineRule="auto"/>
      <w:jc w:val="both"/>
    </w:pPr>
    <w:rPr>
      <w:rFonts w:ascii="Arial" w:eastAsia="Times New Roman" w:hAnsi="Arial" w:cs="Times New Roman"/>
      <w:szCs w:val="24"/>
      <w:lang w:val="en-US"/>
    </w:rPr>
  </w:style>
  <w:style w:type="character" w:customStyle="1" w:styleId="EPATextChar">
    <w:name w:val="EPA Text Char"/>
    <w:link w:val="EPAText"/>
    <w:locked/>
    <w:rsid w:val="000A0087"/>
    <w:rPr>
      <w:rFonts w:ascii="Arial" w:eastAsia="Times New Roman" w:hAnsi="Arial" w:cs="Times New Roman"/>
      <w:color w:val="4D4D4F" w:themeColor="text1"/>
      <w:sz w:val="24"/>
      <w:szCs w:val="24"/>
      <w:lang w:val="en-US"/>
    </w:rPr>
  </w:style>
  <w:style w:type="paragraph" w:styleId="CommentSubject">
    <w:name w:val="annotation subject"/>
    <w:basedOn w:val="CommentText"/>
    <w:next w:val="CommentText"/>
    <w:link w:val="CommentSubjectChar"/>
    <w:uiPriority w:val="99"/>
    <w:semiHidden/>
    <w:unhideWhenUsed/>
    <w:rsid w:val="000A0087"/>
    <w:pPr>
      <w:spacing w:before="200" w:after="0"/>
    </w:pPr>
    <w:rPr>
      <w:rFonts w:asciiTheme="minorHAnsi" w:hAnsiTheme="minorHAnsi"/>
      <w:b/>
      <w:bCs/>
    </w:rPr>
  </w:style>
  <w:style w:type="character" w:customStyle="1" w:styleId="CommentSubjectChar">
    <w:name w:val="Comment Subject Char"/>
    <w:basedOn w:val="CommentTextChar"/>
    <w:link w:val="CommentSubject"/>
    <w:uiPriority w:val="99"/>
    <w:semiHidden/>
    <w:rsid w:val="000A0087"/>
    <w:rPr>
      <w:rFonts w:ascii="Arial" w:hAnsi="Arial"/>
      <w:b/>
      <w:bCs/>
      <w:color w:val="4D4D4F" w:themeColor="text1"/>
      <w:sz w:val="20"/>
      <w:szCs w:val="20"/>
    </w:rPr>
  </w:style>
  <w:style w:type="paragraph" w:styleId="NoSpacing">
    <w:name w:val="No Spacing"/>
    <w:link w:val="NoSpacingChar"/>
    <w:uiPriority w:val="1"/>
    <w:qFormat/>
    <w:rsid w:val="000A0087"/>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0A0087"/>
    <w:rPr>
      <w:rFonts w:eastAsiaTheme="minorEastAsia"/>
      <w:lang w:val="en-US"/>
    </w:rPr>
  </w:style>
  <w:style w:type="paragraph" w:customStyle="1" w:styleId="Tables">
    <w:name w:val="Tables"/>
    <w:basedOn w:val="Figures"/>
    <w:qFormat/>
    <w:rsid w:val="000A0087"/>
    <w:pPr>
      <w:spacing w:before="120" w:after="120"/>
      <w:ind w:left="-142"/>
    </w:pPr>
  </w:style>
  <w:style w:type="paragraph" w:styleId="Revision">
    <w:name w:val="Revision"/>
    <w:hidden/>
    <w:uiPriority w:val="99"/>
    <w:semiHidden/>
    <w:rsid w:val="000A0087"/>
    <w:pPr>
      <w:spacing w:after="0" w:line="240" w:lineRule="auto"/>
    </w:pPr>
    <w:rPr>
      <w:color w:val="4D4D4F" w:themeColor="text1"/>
      <w:sz w:val="24"/>
    </w:rPr>
  </w:style>
  <w:style w:type="character" w:styleId="FollowedHyperlink">
    <w:name w:val="FollowedHyperlink"/>
    <w:basedOn w:val="DefaultParagraphFont"/>
    <w:uiPriority w:val="99"/>
    <w:semiHidden/>
    <w:unhideWhenUsed/>
    <w:rsid w:val="000A0087"/>
    <w:rPr>
      <w:color w:val="1C385D" w:themeColor="followedHyperlink"/>
      <w:u w:val="single"/>
    </w:rPr>
  </w:style>
  <w:style w:type="character" w:styleId="Emphasis">
    <w:name w:val="Emphasis"/>
    <w:basedOn w:val="DefaultParagraphFont"/>
    <w:uiPriority w:val="20"/>
    <w:qFormat/>
    <w:rsid w:val="000A0087"/>
    <w:rPr>
      <w:i/>
      <w:iCs/>
    </w:rPr>
  </w:style>
  <w:style w:type="paragraph" w:customStyle="1" w:styleId="epatitle">
    <w:name w:val="epatitle"/>
    <w:basedOn w:val="Normal"/>
    <w:rsid w:val="000A0087"/>
    <w:pPr>
      <w:keepNext/>
      <w:overflowPunct w:val="0"/>
      <w:autoSpaceDE w:val="0"/>
      <w:autoSpaceDN w:val="0"/>
      <w:spacing w:before="1200" w:after="120" w:line="420" w:lineRule="atLeast"/>
      <w:ind w:left="709"/>
      <w:jc w:val="right"/>
    </w:pPr>
    <w:rPr>
      <w:rFonts w:ascii="Helvetica" w:eastAsia="Times New Roman" w:hAnsi="Helvetica" w:cs="Times New Roman"/>
      <w:color w:val="0000FF"/>
      <w:sz w:val="36"/>
      <w:szCs w:val="36"/>
      <w:lang w:eastAsia="en-AU"/>
    </w:rPr>
  </w:style>
  <w:style w:type="paragraph" w:styleId="Bibliography">
    <w:name w:val="Bibliography"/>
    <w:basedOn w:val="Normal"/>
    <w:next w:val="Normal"/>
    <w:uiPriority w:val="37"/>
    <w:semiHidden/>
    <w:unhideWhenUsed/>
    <w:rsid w:val="000A0087"/>
    <w:pPr>
      <w:spacing w:before="200" w:after="0"/>
    </w:pPr>
  </w:style>
  <w:style w:type="paragraph" w:styleId="BlockText">
    <w:name w:val="Block Text"/>
    <w:basedOn w:val="Normal"/>
    <w:uiPriority w:val="99"/>
    <w:semiHidden/>
    <w:unhideWhenUsed/>
    <w:rsid w:val="000A0087"/>
    <w:pPr>
      <w:pBdr>
        <w:top w:val="single" w:sz="2" w:space="10" w:color="2F5E9D" w:themeColor="accent1" w:frame="1"/>
        <w:left w:val="single" w:sz="2" w:space="10" w:color="2F5E9D" w:themeColor="accent1" w:frame="1"/>
        <w:bottom w:val="single" w:sz="2" w:space="10" w:color="2F5E9D" w:themeColor="accent1" w:frame="1"/>
        <w:right w:val="single" w:sz="2" w:space="10" w:color="2F5E9D" w:themeColor="accent1" w:frame="1"/>
      </w:pBdr>
      <w:spacing w:before="200" w:after="0"/>
      <w:ind w:left="1152" w:right="1152"/>
    </w:pPr>
    <w:rPr>
      <w:rFonts w:eastAsiaTheme="minorEastAsia"/>
      <w:i/>
      <w:iCs/>
      <w:color w:val="2F5E9D" w:themeColor="accent1"/>
    </w:rPr>
  </w:style>
  <w:style w:type="paragraph" w:styleId="BodyText">
    <w:name w:val="Body Text"/>
    <w:basedOn w:val="Normal"/>
    <w:link w:val="BodyTextChar"/>
    <w:uiPriority w:val="99"/>
    <w:semiHidden/>
    <w:unhideWhenUsed/>
    <w:rsid w:val="000A0087"/>
    <w:pPr>
      <w:spacing w:before="200" w:after="120"/>
    </w:pPr>
  </w:style>
  <w:style w:type="character" w:customStyle="1" w:styleId="BodyTextChar">
    <w:name w:val="Body Text Char"/>
    <w:basedOn w:val="DefaultParagraphFont"/>
    <w:link w:val="BodyText"/>
    <w:uiPriority w:val="99"/>
    <w:semiHidden/>
    <w:rsid w:val="000A0087"/>
    <w:rPr>
      <w:color w:val="4D4D4F" w:themeColor="text1"/>
      <w:sz w:val="24"/>
    </w:rPr>
  </w:style>
  <w:style w:type="paragraph" w:styleId="BodyText2">
    <w:name w:val="Body Text 2"/>
    <w:basedOn w:val="Normal"/>
    <w:link w:val="BodyText2Char"/>
    <w:uiPriority w:val="99"/>
    <w:semiHidden/>
    <w:unhideWhenUsed/>
    <w:rsid w:val="000A0087"/>
    <w:pPr>
      <w:spacing w:before="200" w:after="120" w:line="480" w:lineRule="auto"/>
    </w:pPr>
  </w:style>
  <w:style w:type="character" w:customStyle="1" w:styleId="BodyText2Char">
    <w:name w:val="Body Text 2 Char"/>
    <w:basedOn w:val="DefaultParagraphFont"/>
    <w:link w:val="BodyText2"/>
    <w:uiPriority w:val="99"/>
    <w:semiHidden/>
    <w:rsid w:val="000A0087"/>
    <w:rPr>
      <w:color w:val="4D4D4F" w:themeColor="text1"/>
      <w:sz w:val="24"/>
    </w:rPr>
  </w:style>
  <w:style w:type="paragraph" w:styleId="BodyText3">
    <w:name w:val="Body Text 3"/>
    <w:basedOn w:val="Normal"/>
    <w:link w:val="BodyText3Char"/>
    <w:uiPriority w:val="99"/>
    <w:semiHidden/>
    <w:unhideWhenUsed/>
    <w:rsid w:val="000A0087"/>
    <w:pPr>
      <w:spacing w:before="200" w:after="120"/>
    </w:pPr>
    <w:rPr>
      <w:sz w:val="16"/>
      <w:szCs w:val="16"/>
    </w:rPr>
  </w:style>
  <w:style w:type="character" w:customStyle="1" w:styleId="BodyText3Char">
    <w:name w:val="Body Text 3 Char"/>
    <w:basedOn w:val="DefaultParagraphFont"/>
    <w:link w:val="BodyText3"/>
    <w:uiPriority w:val="99"/>
    <w:semiHidden/>
    <w:rsid w:val="000A0087"/>
    <w:rPr>
      <w:color w:val="4D4D4F" w:themeColor="text1"/>
      <w:sz w:val="16"/>
      <w:szCs w:val="16"/>
    </w:rPr>
  </w:style>
  <w:style w:type="paragraph" w:styleId="BodyTextFirstIndent">
    <w:name w:val="Body Text First Indent"/>
    <w:basedOn w:val="BodyText"/>
    <w:link w:val="BodyTextFirstIndentChar"/>
    <w:uiPriority w:val="99"/>
    <w:semiHidden/>
    <w:unhideWhenUsed/>
    <w:rsid w:val="000A0087"/>
    <w:pPr>
      <w:spacing w:after="0"/>
      <w:ind w:firstLine="360"/>
    </w:pPr>
  </w:style>
  <w:style w:type="character" w:customStyle="1" w:styleId="BodyTextFirstIndentChar">
    <w:name w:val="Body Text First Indent Char"/>
    <w:basedOn w:val="BodyTextChar"/>
    <w:link w:val="BodyTextFirstIndent"/>
    <w:uiPriority w:val="99"/>
    <w:semiHidden/>
    <w:rsid w:val="000A0087"/>
    <w:rPr>
      <w:color w:val="4D4D4F" w:themeColor="text1"/>
      <w:sz w:val="24"/>
    </w:rPr>
  </w:style>
  <w:style w:type="paragraph" w:styleId="BodyTextIndent">
    <w:name w:val="Body Text Indent"/>
    <w:basedOn w:val="Normal"/>
    <w:link w:val="BodyTextIndentChar"/>
    <w:uiPriority w:val="99"/>
    <w:semiHidden/>
    <w:unhideWhenUsed/>
    <w:rsid w:val="000A0087"/>
    <w:pPr>
      <w:spacing w:before="200" w:after="120"/>
      <w:ind w:left="283"/>
    </w:pPr>
  </w:style>
  <w:style w:type="character" w:customStyle="1" w:styleId="BodyTextIndentChar">
    <w:name w:val="Body Text Indent Char"/>
    <w:basedOn w:val="DefaultParagraphFont"/>
    <w:link w:val="BodyTextIndent"/>
    <w:uiPriority w:val="99"/>
    <w:semiHidden/>
    <w:rsid w:val="000A0087"/>
    <w:rPr>
      <w:color w:val="4D4D4F" w:themeColor="text1"/>
      <w:sz w:val="24"/>
    </w:rPr>
  </w:style>
  <w:style w:type="paragraph" w:styleId="BodyTextFirstIndent2">
    <w:name w:val="Body Text First Indent 2"/>
    <w:basedOn w:val="BodyTextIndent"/>
    <w:link w:val="BodyTextFirstIndent2Char"/>
    <w:uiPriority w:val="99"/>
    <w:semiHidden/>
    <w:unhideWhenUsed/>
    <w:rsid w:val="000A0087"/>
    <w:pPr>
      <w:spacing w:after="0"/>
      <w:ind w:left="360" w:firstLine="360"/>
    </w:pPr>
  </w:style>
  <w:style w:type="character" w:customStyle="1" w:styleId="BodyTextFirstIndent2Char">
    <w:name w:val="Body Text First Indent 2 Char"/>
    <w:basedOn w:val="BodyTextIndentChar"/>
    <w:link w:val="BodyTextFirstIndent2"/>
    <w:uiPriority w:val="99"/>
    <w:semiHidden/>
    <w:rsid w:val="000A0087"/>
    <w:rPr>
      <w:color w:val="4D4D4F" w:themeColor="text1"/>
      <w:sz w:val="24"/>
    </w:rPr>
  </w:style>
  <w:style w:type="paragraph" w:styleId="BodyTextIndent2">
    <w:name w:val="Body Text Indent 2"/>
    <w:basedOn w:val="Normal"/>
    <w:link w:val="BodyTextIndent2Char"/>
    <w:uiPriority w:val="99"/>
    <w:semiHidden/>
    <w:unhideWhenUsed/>
    <w:rsid w:val="000A0087"/>
    <w:pPr>
      <w:spacing w:before="200" w:after="120" w:line="480" w:lineRule="auto"/>
      <w:ind w:left="283"/>
    </w:pPr>
  </w:style>
  <w:style w:type="character" w:customStyle="1" w:styleId="BodyTextIndent2Char">
    <w:name w:val="Body Text Indent 2 Char"/>
    <w:basedOn w:val="DefaultParagraphFont"/>
    <w:link w:val="BodyTextIndent2"/>
    <w:uiPriority w:val="99"/>
    <w:semiHidden/>
    <w:rsid w:val="000A0087"/>
    <w:rPr>
      <w:color w:val="4D4D4F" w:themeColor="text1"/>
      <w:sz w:val="24"/>
    </w:rPr>
  </w:style>
  <w:style w:type="paragraph" w:styleId="BodyTextIndent3">
    <w:name w:val="Body Text Indent 3"/>
    <w:basedOn w:val="Normal"/>
    <w:link w:val="BodyTextIndent3Char"/>
    <w:uiPriority w:val="99"/>
    <w:semiHidden/>
    <w:unhideWhenUsed/>
    <w:rsid w:val="000A0087"/>
    <w:pPr>
      <w:spacing w:before="200" w:after="120"/>
      <w:ind w:left="283"/>
    </w:pPr>
    <w:rPr>
      <w:sz w:val="16"/>
      <w:szCs w:val="16"/>
    </w:rPr>
  </w:style>
  <w:style w:type="character" w:customStyle="1" w:styleId="BodyTextIndent3Char">
    <w:name w:val="Body Text Indent 3 Char"/>
    <w:basedOn w:val="DefaultParagraphFont"/>
    <w:link w:val="BodyTextIndent3"/>
    <w:uiPriority w:val="99"/>
    <w:semiHidden/>
    <w:rsid w:val="000A0087"/>
    <w:rPr>
      <w:color w:val="4D4D4F" w:themeColor="text1"/>
      <w:sz w:val="16"/>
      <w:szCs w:val="16"/>
    </w:rPr>
  </w:style>
  <w:style w:type="paragraph" w:styleId="Caption">
    <w:name w:val="caption"/>
    <w:basedOn w:val="Normal"/>
    <w:next w:val="Normal"/>
    <w:uiPriority w:val="35"/>
    <w:semiHidden/>
    <w:unhideWhenUsed/>
    <w:qFormat/>
    <w:rsid w:val="000A0087"/>
    <w:pPr>
      <w:spacing w:line="240" w:lineRule="auto"/>
    </w:pPr>
    <w:rPr>
      <w:b/>
      <w:bCs/>
      <w:color w:val="2F5E9D" w:themeColor="accent1"/>
      <w:sz w:val="18"/>
      <w:szCs w:val="18"/>
    </w:rPr>
  </w:style>
  <w:style w:type="paragraph" w:styleId="Closing">
    <w:name w:val="Closing"/>
    <w:basedOn w:val="Normal"/>
    <w:link w:val="ClosingChar"/>
    <w:uiPriority w:val="99"/>
    <w:semiHidden/>
    <w:unhideWhenUsed/>
    <w:rsid w:val="000A0087"/>
    <w:pPr>
      <w:spacing w:after="0" w:line="240" w:lineRule="auto"/>
      <w:ind w:left="4252"/>
    </w:pPr>
  </w:style>
  <w:style w:type="character" w:customStyle="1" w:styleId="ClosingChar">
    <w:name w:val="Closing Char"/>
    <w:basedOn w:val="DefaultParagraphFont"/>
    <w:link w:val="Closing"/>
    <w:uiPriority w:val="99"/>
    <w:semiHidden/>
    <w:rsid w:val="000A0087"/>
    <w:rPr>
      <w:color w:val="4D4D4F" w:themeColor="text1"/>
      <w:sz w:val="24"/>
    </w:rPr>
  </w:style>
  <w:style w:type="paragraph" w:styleId="Date">
    <w:name w:val="Date"/>
    <w:basedOn w:val="Normal"/>
    <w:next w:val="Normal"/>
    <w:link w:val="DateChar"/>
    <w:uiPriority w:val="99"/>
    <w:semiHidden/>
    <w:unhideWhenUsed/>
    <w:rsid w:val="000A0087"/>
    <w:pPr>
      <w:spacing w:before="200" w:after="0"/>
    </w:pPr>
  </w:style>
  <w:style w:type="character" w:customStyle="1" w:styleId="DateChar">
    <w:name w:val="Date Char"/>
    <w:basedOn w:val="DefaultParagraphFont"/>
    <w:link w:val="Date"/>
    <w:uiPriority w:val="99"/>
    <w:semiHidden/>
    <w:rsid w:val="000A0087"/>
    <w:rPr>
      <w:color w:val="4D4D4F" w:themeColor="text1"/>
      <w:sz w:val="24"/>
    </w:rPr>
  </w:style>
  <w:style w:type="paragraph" w:styleId="DocumentMap">
    <w:name w:val="Document Map"/>
    <w:basedOn w:val="Normal"/>
    <w:link w:val="DocumentMapChar"/>
    <w:uiPriority w:val="99"/>
    <w:semiHidden/>
    <w:unhideWhenUsed/>
    <w:rsid w:val="000A0087"/>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0A0087"/>
    <w:rPr>
      <w:rFonts w:ascii="Tahoma" w:hAnsi="Tahoma" w:cs="Tahoma"/>
      <w:color w:val="4D4D4F" w:themeColor="text1"/>
      <w:sz w:val="16"/>
      <w:szCs w:val="16"/>
    </w:rPr>
  </w:style>
  <w:style w:type="paragraph" w:styleId="E-mailSignature">
    <w:name w:val="E-mail Signature"/>
    <w:basedOn w:val="Normal"/>
    <w:link w:val="E-mailSignatureChar"/>
    <w:uiPriority w:val="99"/>
    <w:semiHidden/>
    <w:unhideWhenUsed/>
    <w:rsid w:val="000A0087"/>
    <w:pPr>
      <w:spacing w:after="0" w:line="240" w:lineRule="auto"/>
    </w:pPr>
  </w:style>
  <w:style w:type="character" w:customStyle="1" w:styleId="E-mailSignatureChar">
    <w:name w:val="E-mail Signature Char"/>
    <w:basedOn w:val="DefaultParagraphFont"/>
    <w:link w:val="E-mailSignature"/>
    <w:uiPriority w:val="99"/>
    <w:semiHidden/>
    <w:rsid w:val="000A0087"/>
    <w:rPr>
      <w:color w:val="4D4D4F" w:themeColor="text1"/>
      <w:sz w:val="24"/>
    </w:rPr>
  </w:style>
  <w:style w:type="paragraph" w:styleId="EndnoteText">
    <w:name w:val="endnote text"/>
    <w:basedOn w:val="Normal"/>
    <w:link w:val="EndnoteTextChar"/>
    <w:uiPriority w:val="99"/>
    <w:semiHidden/>
    <w:unhideWhenUsed/>
    <w:rsid w:val="000A008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A0087"/>
    <w:rPr>
      <w:color w:val="4D4D4F" w:themeColor="text1"/>
      <w:sz w:val="20"/>
      <w:szCs w:val="20"/>
    </w:rPr>
  </w:style>
  <w:style w:type="paragraph" w:styleId="EnvelopeAddress">
    <w:name w:val="envelope address"/>
    <w:basedOn w:val="Normal"/>
    <w:uiPriority w:val="99"/>
    <w:semiHidden/>
    <w:unhideWhenUsed/>
    <w:rsid w:val="000A0087"/>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0A0087"/>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0A008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A0087"/>
    <w:rPr>
      <w:color w:val="4D4D4F" w:themeColor="text1"/>
      <w:sz w:val="20"/>
      <w:szCs w:val="20"/>
    </w:rPr>
  </w:style>
  <w:style w:type="paragraph" w:styleId="HTMLAddress">
    <w:name w:val="HTML Address"/>
    <w:basedOn w:val="Normal"/>
    <w:link w:val="HTMLAddressChar"/>
    <w:uiPriority w:val="99"/>
    <w:semiHidden/>
    <w:unhideWhenUsed/>
    <w:rsid w:val="000A0087"/>
    <w:pPr>
      <w:spacing w:after="0" w:line="240" w:lineRule="auto"/>
    </w:pPr>
    <w:rPr>
      <w:i/>
      <w:iCs/>
    </w:rPr>
  </w:style>
  <w:style w:type="character" w:customStyle="1" w:styleId="HTMLAddressChar">
    <w:name w:val="HTML Address Char"/>
    <w:basedOn w:val="DefaultParagraphFont"/>
    <w:link w:val="HTMLAddress"/>
    <w:uiPriority w:val="99"/>
    <w:semiHidden/>
    <w:rsid w:val="000A0087"/>
    <w:rPr>
      <w:i/>
      <w:iCs/>
      <w:color w:val="4D4D4F" w:themeColor="text1"/>
      <w:sz w:val="24"/>
    </w:rPr>
  </w:style>
  <w:style w:type="paragraph" w:styleId="HTMLPreformatted">
    <w:name w:val="HTML Preformatted"/>
    <w:basedOn w:val="Normal"/>
    <w:link w:val="HTMLPreformattedChar"/>
    <w:uiPriority w:val="99"/>
    <w:semiHidden/>
    <w:unhideWhenUsed/>
    <w:rsid w:val="000A0087"/>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0A0087"/>
    <w:rPr>
      <w:rFonts w:ascii="Consolas" w:hAnsi="Consolas" w:cs="Consolas"/>
      <w:color w:val="4D4D4F" w:themeColor="text1"/>
      <w:sz w:val="20"/>
      <w:szCs w:val="20"/>
    </w:rPr>
  </w:style>
  <w:style w:type="paragraph" w:styleId="Index1">
    <w:name w:val="index 1"/>
    <w:basedOn w:val="Normal"/>
    <w:next w:val="Normal"/>
    <w:autoRedefine/>
    <w:uiPriority w:val="99"/>
    <w:semiHidden/>
    <w:unhideWhenUsed/>
    <w:rsid w:val="000A0087"/>
    <w:pPr>
      <w:spacing w:after="0" w:line="240" w:lineRule="auto"/>
      <w:ind w:left="240" w:hanging="240"/>
    </w:pPr>
  </w:style>
  <w:style w:type="paragraph" w:styleId="Index2">
    <w:name w:val="index 2"/>
    <w:basedOn w:val="Normal"/>
    <w:next w:val="Normal"/>
    <w:autoRedefine/>
    <w:uiPriority w:val="99"/>
    <w:semiHidden/>
    <w:unhideWhenUsed/>
    <w:rsid w:val="000A0087"/>
    <w:pPr>
      <w:spacing w:after="0" w:line="240" w:lineRule="auto"/>
      <w:ind w:left="480" w:hanging="240"/>
    </w:pPr>
  </w:style>
  <w:style w:type="paragraph" w:styleId="Index3">
    <w:name w:val="index 3"/>
    <w:basedOn w:val="Normal"/>
    <w:next w:val="Normal"/>
    <w:autoRedefine/>
    <w:uiPriority w:val="99"/>
    <w:semiHidden/>
    <w:unhideWhenUsed/>
    <w:rsid w:val="000A0087"/>
    <w:pPr>
      <w:spacing w:after="0" w:line="240" w:lineRule="auto"/>
      <w:ind w:left="720" w:hanging="240"/>
    </w:pPr>
  </w:style>
  <w:style w:type="paragraph" w:styleId="Index4">
    <w:name w:val="index 4"/>
    <w:basedOn w:val="Normal"/>
    <w:next w:val="Normal"/>
    <w:autoRedefine/>
    <w:uiPriority w:val="99"/>
    <w:semiHidden/>
    <w:unhideWhenUsed/>
    <w:rsid w:val="000A0087"/>
    <w:pPr>
      <w:spacing w:after="0" w:line="240" w:lineRule="auto"/>
      <w:ind w:left="960" w:hanging="240"/>
    </w:pPr>
  </w:style>
  <w:style w:type="paragraph" w:styleId="Index5">
    <w:name w:val="index 5"/>
    <w:basedOn w:val="Normal"/>
    <w:next w:val="Normal"/>
    <w:autoRedefine/>
    <w:uiPriority w:val="99"/>
    <w:semiHidden/>
    <w:unhideWhenUsed/>
    <w:rsid w:val="000A0087"/>
    <w:pPr>
      <w:spacing w:after="0" w:line="240" w:lineRule="auto"/>
      <w:ind w:left="1200" w:hanging="240"/>
    </w:pPr>
  </w:style>
  <w:style w:type="paragraph" w:styleId="Index6">
    <w:name w:val="index 6"/>
    <w:basedOn w:val="Normal"/>
    <w:next w:val="Normal"/>
    <w:autoRedefine/>
    <w:uiPriority w:val="99"/>
    <w:semiHidden/>
    <w:unhideWhenUsed/>
    <w:rsid w:val="000A0087"/>
    <w:pPr>
      <w:spacing w:after="0" w:line="240" w:lineRule="auto"/>
      <w:ind w:left="1440" w:hanging="240"/>
    </w:pPr>
  </w:style>
  <w:style w:type="paragraph" w:styleId="Index7">
    <w:name w:val="index 7"/>
    <w:basedOn w:val="Normal"/>
    <w:next w:val="Normal"/>
    <w:autoRedefine/>
    <w:uiPriority w:val="99"/>
    <w:semiHidden/>
    <w:unhideWhenUsed/>
    <w:rsid w:val="000A0087"/>
    <w:pPr>
      <w:spacing w:after="0" w:line="240" w:lineRule="auto"/>
      <w:ind w:left="1680" w:hanging="240"/>
    </w:pPr>
  </w:style>
  <w:style w:type="paragraph" w:styleId="Index8">
    <w:name w:val="index 8"/>
    <w:basedOn w:val="Normal"/>
    <w:next w:val="Normal"/>
    <w:autoRedefine/>
    <w:uiPriority w:val="99"/>
    <w:semiHidden/>
    <w:unhideWhenUsed/>
    <w:rsid w:val="000A0087"/>
    <w:pPr>
      <w:spacing w:after="0" w:line="240" w:lineRule="auto"/>
      <w:ind w:left="1920" w:hanging="240"/>
    </w:pPr>
  </w:style>
  <w:style w:type="paragraph" w:styleId="Index9">
    <w:name w:val="index 9"/>
    <w:basedOn w:val="Normal"/>
    <w:next w:val="Normal"/>
    <w:autoRedefine/>
    <w:uiPriority w:val="99"/>
    <w:semiHidden/>
    <w:unhideWhenUsed/>
    <w:rsid w:val="000A0087"/>
    <w:pPr>
      <w:spacing w:after="0" w:line="240" w:lineRule="auto"/>
      <w:ind w:left="2160" w:hanging="240"/>
    </w:pPr>
  </w:style>
  <w:style w:type="paragraph" w:styleId="IndexHeading">
    <w:name w:val="index heading"/>
    <w:basedOn w:val="Normal"/>
    <w:next w:val="Index1"/>
    <w:uiPriority w:val="99"/>
    <w:semiHidden/>
    <w:unhideWhenUsed/>
    <w:rsid w:val="000A0087"/>
    <w:pPr>
      <w:spacing w:before="200" w:after="0"/>
    </w:pPr>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A0087"/>
    <w:pPr>
      <w:pBdr>
        <w:bottom w:val="single" w:sz="4" w:space="4" w:color="2F5E9D" w:themeColor="accent1"/>
      </w:pBdr>
      <w:spacing w:before="200" w:after="280"/>
      <w:ind w:left="936" w:right="936"/>
    </w:pPr>
    <w:rPr>
      <w:b/>
      <w:bCs/>
      <w:i/>
      <w:iCs/>
      <w:color w:val="2F5E9D" w:themeColor="accent1"/>
    </w:rPr>
  </w:style>
  <w:style w:type="character" w:customStyle="1" w:styleId="IntenseQuoteChar">
    <w:name w:val="Intense Quote Char"/>
    <w:basedOn w:val="DefaultParagraphFont"/>
    <w:link w:val="IntenseQuote"/>
    <w:uiPriority w:val="30"/>
    <w:rsid w:val="000A0087"/>
    <w:rPr>
      <w:b/>
      <w:bCs/>
      <w:i/>
      <w:iCs/>
      <w:color w:val="2F5E9D" w:themeColor="accent1"/>
      <w:sz w:val="24"/>
    </w:rPr>
  </w:style>
  <w:style w:type="paragraph" w:styleId="List">
    <w:name w:val="List"/>
    <w:basedOn w:val="Normal"/>
    <w:uiPriority w:val="99"/>
    <w:semiHidden/>
    <w:unhideWhenUsed/>
    <w:rsid w:val="000A0087"/>
    <w:pPr>
      <w:spacing w:before="200" w:after="0"/>
      <w:ind w:left="283" w:hanging="283"/>
      <w:contextualSpacing/>
    </w:pPr>
  </w:style>
  <w:style w:type="paragraph" w:styleId="List2">
    <w:name w:val="List 2"/>
    <w:basedOn w:val="Normal"/>
    <w:uiPriority w:val="99"/>
    <w:semiHidden/>
    <w:unhideWhenUsed/>
    <w:rsid w:val="000A0087"/>
    <w:pPr>
      <w:spacing w:before="200" w:after="0"/>
      <w:ind w:left="566" w:hanging="283"/>
      <w:contextualSpacing/>
    </w:pPr>
  </w:style>
  <w:style w:type="paragraph" w:styleId="List3">
    <w:name w:val="List 3"/>
    <w:basedOn w:val="Normal"/>
    <w:uiPriority w:val="99"/>
    <w:semiHidden/>
    <w:unhideWhenUsed/>
    <w:rsid w:val="000A0087"/>
    <w:pPr>
      <w:spacing w:before="200" w:after="0"/>
      <w:ind w:left="849" w:hanging="283"/>
      <w:contextualSpacing/>
    </w:pPr>
  </w:style>
  <w:style w:type="paragraph" w:styleId="List4">
    <w:name w:val="List 4"/>
    <w:basedOn w:val="Normal"/>
    <w:uiPriority w:val="99"/>
    <w:semiHidden/>
    <w:unhideWhenUsed/>
    <w:rsid w:val="000A0087"/>
    <w:pPr>
      <w:spacing w:before="200" w:after="0"/>
      <w:ind w:left="1132" w:hanging="283"/>
      <w:contextualSpacing/>
    </w:pPr>
  </w:style>
  <w:style w:type="paragraph" w:styleId="List5">
    <w:name w:val="List 5"/>
    <w:basedOn w:val="Normal"/>
    <w:uiPriority w:val="99"/>
    <w:semiHidden/>
    <w:unhideWhenUsed/>
    <w:rsid w:val="000A0087"/>
    <w:pPr>
      <w:spacing w:before="200" w:after="0"/>
      <w:ind w:left="1415" w:hanging="283"/>
      <w:contextualSpacing/>
    </w:pPr>
  </w:style>
  <w:style w:type="paragraph" w:styleId="ListBullet">
    <w:name w:val="List Bullet"/>
    <w:basedOn w:val="Normal"/>
    <w:uiPriority w:val="99"/>
    <w:semiHidden/>
    <w:unhideWhenUsed/>
    <w:rsid w:val="000A0087"/>
    <w:pPr>
      <w:numPr>
        <w:numId w:val="16"/>
      </w:numPr>
      <w:spacing w:before="200" w:after="0"/>
      <w:contextualSpacing/>
    </w:pPr>
  </w:style>
  <w:style w:type="paragraph" w:styleId="ListBullet2">
    <w:name w:val="List Bullet 2"/>
    <w:basedOn w:val="Normal"/>
    <w:uiPriority w:val="99"/>
    <w:semiHidden/>
    <w:unhideWhenUsed/>
    <w:rsid w:val="000A0087"/>
    <w:pPr>
      <w:numPr>
        <w:numId w:val="17"/>
      </w:numPr>
      <w:spacing w:before="200" w:after="0"/>
      <w:contextualSpacing/>
    </w:pPr>
  </w:style>
  <w:style w:type="paragraph" w:styleId="ListBullet3">
    <w:name w:val="List Bullet 3"/>
    <w:basedOn w:val="Normal"/>
    <w:uiPriority w:val="99"/>
    <w:semiHidden/>
    <w:unhideWhenUsed/>
    <w:rsid w:val="000A0087"/>
    <w:pPr>
      <w:numPr>
        <w:numId w:val="18"/>
      </w:numPr>
      <w:spacing w:before="200" w:after="0"/>
      <w:contextualSpacing/>
    </w:pPr>
  </w:style>
  <w:style w:type="paragraph" w:styleId="ListBullet4">
    <w:name w:val="List Bullet 4"/>
    <w:basedOn w:val="Normal"/>
    <w:uiPriority w:val="99"/>
    <w:semiHidden/>
    <w:unhideWhenUsed/>
    <w:rsid w:val="000A0087"/>
    <w:pPr>
      <w:numPr>
        <w:numId w:val="19"/>
      </w:numPr>
      <w:spacing w:before="200" w:after="0"/>
      <w:contextualSpacing/>
    </w:pPr>
  </w:style>
  <w:style w:type="paragraph" w:styleId="ListBullet5">
    <w:name w:val="List Bullet 5"/>
    <w:basedOn w:val="Normal"/>
    <w:uiPriority w:val="99"/>
    <w:semiHidden/>
    <w:unhideWhenUsed/>
    <w:rsid w:val="000A0087"/>
    <w:pPr>
      <w:numPr>
        <w:numId w:val="20"/>
      </w:numPr>
      <w:spacing w:before="200" w:after="0"/>
      <w:contextualSpacing/>
    </w:pPr>
  </w:style>
  <w:style w:type="paragraph" w:styleId="ListContinue">
    <w:name w:val="List Continue"/>
    <w:basedOn w:val="Normal"/>
    <w:uiPriority w:val="99"/>
    <w:semiHidden/>
    <w:unhideWhenUsed/>
    <w:rsid w:val="000A0087"/>
    <w:pPr>
      <w:spacing w:before="200" w:after="120"/>
      <w:ind w:left="283"/>
      <w:contextualSpacing/>
    </w:pPr>
  </w:style>
  <w:style w:type="paragraph" w:styleId="ListContinue2">
    <w:name w:val="List Continue 2"/>
    <w:basedOn w:val="Normal"/>
    <w:uiPriority w:val="99"/>
    <w:semiHidden/>
    <w:unhideWhenUsed/>
    <w:rsid w:val="000A0087"/>
    <w:pPr>
      <w:spacing w:before="200" w:after="120"/>
      <w:ind w:left="566"/>
      <w:contextualSpacing/>
    </w:pPr>
  </w:style>
  <w:style w:type="paragraph" w:styleId="ListContinue3">
    <w:name w:val="List Continue 3"/>
    <w:basedOn w:val="Normal"/>
    <w:uiPriority w:val="99"/>
    <w:semiHidden/>
    <w:unhideWhenUsed/>
    <w:rsid w:val="000A0087"/>
    <w:pPr>
      <w:spacing w:before="200" w:after="120"/>
      <w:ind w:left="849"/>
      <w:contextualSpacing/>
    </w:pPr>
  </w:style>
  <w:style w:type="paragraph" w:styleId="ListContinue4">
    <w:name w:val="List Continue 4"/>
    <w:basedOn w:val="Normal"/>
    <w:uiPriority w:val="99"/>
    <w:semiHidden/>
    <w:unhideWhenUsed/>
    <w:rsid w:val="000A0087"/>
    <w:pPr>
      <w:spacing w:before="200" w:after="120"/>
      <w:ind w:left="1132"/>
      <w:contextualSpacing/>
    </w:pPr>
  </w:style>
  <w:style w:type="paragraph" w:styleId="ListContinue5">
    <w:name w:val="List Continue 5"/>
    <w:basedOn w:val="Normal"/>
    <w:uiPriority w:val="99"/>
    <w:semiHidden/>
    <w:unhideWhenUsed/>
    <w:rsid w:val="000A0087"/>
    <w:pPr>
      <w:spacing w:before="200" w:after="120"/>
      <w:ind w:left="1415"/>
      <w:contextualSpacing/>
    </w:pPr>
  </w:style>
  <w:style w:type="paragraph" w:styleId="ListNumber">
    <w:name w:val="List Number"/>
    <w:basedOn w:val="Normal"/>
    <w:uiPriority w:val="99"/>
    <w:semiHidden/>
    <w:unhideWhenUsed/>
    <w:rsid w:val="000A0087"/>
    <w:pPr>
      <w:numPr>
        <w:numId w:val="21"/>
      </w:numPr>
      <w:spacing w:before="200" w:after="0"/>
      <w:contextualSpacing/>
    </w:pPr>
  </w:style>
  <w:style w:type="paragraph" w:styleId="ListNumber2">
    <w:name w:val="List Number 2"/>
    <w:basedOn w:val="Normal"/>
    <w:uiPriority w:val="99"/>
    <w:semiHidden/>
    <w:unhideWhenUsed/>
    <w:rsid w:val="000A0087"/>
    <w:pPr>
      <w:numPr>
        <w:numId w:val="22"/>
      </w:numPr>
      <w:spacing w:before="200" w:after="0"/>
      <w:contextualSpacing/>
    </w:pPr>
  </w:style>
  <w:style w:type="paragraph" w:styleId="ListNumber3">
    <w:name w:val="List Number 3"/>
    <w:basedOn w:val="Normal"/>
    <w:uiPriority w:val="99"/>
    <w:semiHidden/>
    <w:unhideWhenUsed/>
    <w:rsid w:val="000A0087"/>
    <w:pPr>
      <w:numPr>
        <w:numId w:val="23"/>
      </w:numPr>
      <w:spacing w:before="200" w:after="0"/>
      <w:contextualSpacing/>
    </w:pPr>
  </w:style>
  <w:style w:type="paragraph" w:styleId="ListNumber4">
    <w:name w:val="List Number 4"/>
    <w:basedOn w:val="Normal"/>
    <w:uiPriority w:val="99"/>
    <w:semiHidden/>
    <w:unhideWhenUsed/>
    <w:rsid w:val="000A0087"/>
    <w:pPr>
      <w:numPr>
        <w:numId w:val="24"/>
      </w:numPr>
      <w:spacing w:before="200" w:after="0"/>
      <w:contextualSpacing/>
    </w:pPr>
  </w:style>
  <w:style w:type="paragraph" w:styleId="ListNumber5">
    <w:name w:val="List Number 5"/>
    <w:basedOn w:val="Normal"/>
    <w:uiPriority w:val="99"/>
    <w:semiHidden/>
    <w:unhideWhenUsed/>
    <w:rsid w:val="000A0087"/>
    <w:pPr>
      <w:numPr>
        <w:numId w:val="25"/>
      </w:numPr>
      <w:spacing w:before="200" w:after="0"/>
      <w:contextualSpacing/>
    </w:pPr>
  </w:style>
  <w:style w:type="paragraph" w:styleId="MacroText">
    <w:name w:val="macro"/>
    <w:link w:val="MacroTextChar"/>
    <w:uiPriority w:val="99"/>
    <w:semiHidden/>
    <w:unhideWhenUsed/>
    <w:rsid w:val="000A0087"/>
    <w:pPr>
      <w:tabs>
        <w:tab w:val="left" w:pos="480"/>
        <w:tab w:val="left" w:pos="960"/>
        <w:tab w:val="left" w:pos="1440"/>
        <w:tab w:val="left" w:pos="1920"/>
        <w:tab w:val="left" w:pos="2400"/>
        <w:tab w:val="left" w:pos="2880"/>
        <w:tab w:val="left" w:pos="3360"/>
        <w:tab w:val="left" w:pos="3840"/>
        <w:tab w:val="left" w:pos="4320"/>
      </w:tabs>
      <w:spacing w:before="200" w:after="0"/>
    </w:pPr>
    <w:rPr>
      <w:rFonts w:ascii="Consolas" w:hAnsi="Consolas" w:cs="Consolas"/>
      <w:color w:val="4D4D4F" w:themeColor="text1"/>
      <w:sz w:val="20"/>
      <w:szCs w:val="20"/>
    </w:rPr>
  </w:style>
  <w:style w:type="character" w:customStyle="1" w:styleId="MacroTextChar">
    <w:name w:val="Macro Text Char"/>
    <w:basedOn w:val="DefaultParagraphFont"/>
    <w:link w:val="MacroText"/>
    <w:uiPriority w:val="99"/>
    <w:semiHidden/>
    <w:rsid w:val="000A0087"/>
    <w:rPr>
      <w:rFonts w:ascii="Consolas" w:hAnsi="Consolas" w:cs="Consolas"/>
      <w:color w:val="4D4D4F" w:themeColor="text1"/>
      <w:sz w:val="20"/>
      <w:szCs w:val="20"/>
    </w:rPr>
  </w:style>
  <w:style w:type="paragraph" w:styleId="MessageHeader">
    <w:name w:val="Message Header"/>
    <w:basedOn w:val="Normal"/>
    <w:link w:val="MessageHeaderChar"/>
    <w:uiPriority w:val="99"/>
    <w:semiHidden/>
    <w:unhideWhenUsed/>
    <w:rsid w:val="000A008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0A0087"/>
    <w:rPr>
      <w:rFonts w:asciiTheme="majorHAnsi" w:eastAsiaTheme="majorEastAsia" w:hAnsiTheme="majorHAnsi" w:cstheme="majorBidi"/>
      <w:color w:val="4D4D4F" w:themeColor="text1"/>
      <w:sz w:val="24"/>
      <w:szCs w:val="24"/>
      <w:shd w:val="pct20" w:color="auto" w:fill="auto"/>
    </w:rPr>
  </w:style>
  <w:style w:type="paragraph" w:styleId="NormalIndent">
    <w:name w:val="Normal Indent"/>
    <w:basedOn w:val="Normal"/>
    <w:uiPriority w:val="99"/>
    <w:semiHidden/>
    <w:unhideWhenUsed/>
    <w:rsid w:val="000A0087"/>
    <w:pPr>
      <w:spacing w:before="200" w:after="0"/>
      <w:ind w:left="720"/>
    </w:pPr>
  </w:style>
  <w:style w:type="paragraph" w:styleId="NoteHeading">
    <w:name w:val="Note Heading"/>
    <w:basedOn w:val="Normal"/>
    <w:next w:val="Normal"/>
    <w:link w:val="NoteHeadingChar"/>
    <w:uiPriority w:val="99"/>
    <w:semiHidden/>
    <w:unhideWhenUsed/>
    <w:rsid w:val="000A0087"/>
    <w:pPr>
      <w:spacing w:after="0" w:line="240" w:lineRule="auto"/>
    </w:pPr>
  </w:style>
  <w:style w:type="character" w:customStyle="1" w:styleId="NoteHeadingChar">
    <w:name w:val="Note Heading Char"/>
    <w:basedOn w:val="DefaultParagraphFont"/>
    <w:link w:val="NoteHeading"/>
    <w:uiPriority w:val="99"/>
    <w:semiHidden/>
    <w:rsid w:val="000A0087"/>
    <w:rPr>
      <w:color w:val="4D4D4F" w:themeColor="text1"/>
      <w:sz w:val="24"/>
    </w:rPr>
  </w:style>
  <w:style w:type="paragraph" w:styleId="PlainText">
    <w:name w:val="Plain Text"/>
    <w:basedOn w:val="Normal"/>
    <w:link w:val="PlainTextChar"/>
    <w:uiPriority w:val="99"/>
    <w:semiHidden/>
    <w:unhideWhenUsed/>
    <w:rsid w:val="000A0087"/>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0A0087"/>
    <w:rPr>
      <w:rFonts w:ascii="Consolas" w:hAnsi="Consolas" w:cs="Consolas"/>
      <w:color w:val="4D4D4F" w:themeColor="text1"/>
      <w:sz w:val="21"/>
      <w:szCs w:val="21"/>
    </w:rPr>
  </w:style>
  <w:style w:type="paragraph" w:styleId="Salutation">
    <w:name w:val="Salutation"/>
    <w:basedOn w:val="Normal"/>
    <w:next w:val="Normal"/>
    <w:link w:val="SalutationChar"/>
    <w:uiPriority w:val="99"/>
    <w:semiHidden/>
    <w:unhideWhenUsed/>
    <w:rsid w:val="000A0087"/>
    <w:pPr>
      <w:spacing w:before="200" w:after="0"/>
    </w:pPr>
  </w:style>
  <w:style w:type="character" w:customStyle="1" w:styleId="SalutationChar">
    <w:name w:val="Salutation Char"/>
    <w:basedOn w:val="DefaultParagraphFont"/>
    <w:link w:val="Salutation"/>
    <w:uiPriority w:val="99"/>
    <w:semiHidden/>
    <w:rsid w:val="000A0087"/>
    <w:rPr>
      <w:color w:val="4D4D4F" w:themeColor="text1"/>
      <w:sz w:val="24"/>
    </w:rPr>
  </w:style>
  <w:style w:type="paragraph" w:styleId="Signature">
    <w:name w:val="Signature"/>
    <w:basedOn w:val="Normal"/>
    <w:link w:val="SignatureChar"/>
    <w:uiPriority w:val="99"/>
    <w:semiHidden/>
    <w:unhideWhenUsed/>
    <w:rsid w:val="000A0087"/>
    <w:pPr>
      <w:spacing w:after="0" w:line="240" w:lineRule="auto"/>
      <w:ind w:left="4252"/>
    </w:pPr>
  </w:style>
  <w:style w:type="character" w:customStyle="1" w:styleId="SignatureChar">
    <w:name w:val="Signature Char"/>
    <w:basedOn w:val="DefaultParagraphFont"/>
    <w:link w:val="Signature"/>
    <w:uiPriority w:val="99"/>
    <w:semiHidden/>
    <w:rsid w:val="000A0087"/>
    <w:rPr>
      <w:color w:val="4D4D4F" w:themeColor="text1"/>
      <w:sz w:val="24"/>
    </w:rPr>
  </w:style>
  <w:style w:type="paragraph" w:styleId="Subtitle">
    <w:name w:val="Subtitle"/>
    <w:basedOn w:val="Normal"/>
    <w:next w:val="Normal"/>
    <w:link w:val="SubtitleChar"/>
    <w:uiPriority w:val="11"/>
    <w:qFormat/>
    <w:rsid w:val="000A0087"/>
    <w:pPr>
      <w:numPr>
        <w:ilvl w:val="1"/>
      </w:numPr>
      <w:spacing w:before="200" w:after="0"/>
    </w:pPr>
    <w:rPr>
      <w:rFonts w:asciiTheme="majorHAnsi" w:eastAsiaTheme="majorEastAsia" w:hAnsiTheme="majorHAnsi" w:cstheme="majorBidi"/>
      <w:i/>
      <w:iCs/>
      <w:color w:val="2F5E9D" w:themeColor="accent1"/>
      <w:spacing w:val="15"/>
      <w:szCs w:val="24"/>
    </w:rPr>
  </w:style>
  <w:style w:type="character" w:customStyle="1" w:styleId="SubtitleChar">
    <w:name w:val="Subtitle Char"/>
    <w:basedOn w:val="DefaultParagraphFont"/>
    <w:link w:val="Subtitle"/>
    <w:uiPriority w:val="11"/>
    <w:rsid w:val="000A0087"/>
    <w:rPr>
      <w:rFonts w:asciiTheme="majorHAnsi" w:eastAsiaTheme="majorEastAsia" w:hAnsiTheme="majorHAnsi" w:cstheme="majorBidi"/>
      <w:i/>
      <w:iCs/>
      <w:color w:val="2F5E9D" w:themeColor="accent1"/>
      <w:spacing w:val="15"/>
      <w:sz w:val="24"/>
      <w:szCs w:val="24"/>
    </w:rPr>
  </w:style>
  <w:style w:type="paragraph" w:styleId="TableofAuthorities">
    <w:name w:val="table of authorities"/>
    <w:basedOn w:val="Normal"/>
    <w:next w:val="Normal"/>
    <w:uiPriority w:val="99"/>
    <w:semiHidden/>
    <w:unhideWhenUsed/>
    <w:rsid w:val="000A0087"/>
    <w:pPr>
      <w:spacing w:before="200" w:after="0"/>
      <w:ind w:left="240" w:hanging="240"/>
    </w:pPr>
  </w:style>
  <w:style w:type="paragraph" w:styleId="TableofFigures">
    <w:name w:val="table of figures"/>
    <w:basedOn w:val="Normal"/>
    <w:next w:val="Normal"/>
    <w:uiPriority w:val="99"/>
    <w:semiHidden/>
    <w:unhideWhenUsed/>
    <w:rsid w:val="000A0087"/>
    <w:pPr>
      <w:spacing w:before="200" w:after="0"/>
    </w:pPr>
  </w:style>
  <w:style w:type="paragraph" w:styleId="Title">
    <w:name w:val="Title"/>
    <w:basedOn w:val="Normal"/>
    <w:next w:val="Normal"/>
    <w:link w:val="TitleChar"/>
    <w:uiPriority w:val="10"/>
    <w:qFormat/>
    <w:rsid w:val="000A0087"/>
    <w:pPr>
      <w:pBdr>
        <w:bottom w:val="single" w:sz="8" w:space="4" w:color="2F5E9D" w:themeColor="accent1"/>
      </w:pBdr>
      <w:spacing w:after="300" w:line="240" w:lineRule="auto"/>
      <w:contextualSpacing/>
    </w:pPr>
    <w:rPr>
      <w:rFonts w:asciiTheme="majorHAnsi" w:eastAsiaTheme="majorEastAsia" w:hAnsiTheme="majorHAnsi" w:cstheme="majorBidi"/>
      <w:color w:val="152945" w:themeColor="text2" w:themeShade="BF"/>
      <w:spacing w:val="5"/>
      <w:kern w:val="28"/>
      <w:sz w:val="52"/>
      <w:szCs w:val="52"/>
    </w:rPr>
  </w:style>
  <w:style w:type="character" w:customStyle="1" w:styleId="TitleChar">
    <w:name w:val="Title Char"/>
    <w:basedOn w:val="DefaultParagraphFont"/>
    <w:link w:val="Title"/>
    <w:uiPriority w:val="10"/>
    <w:rsid w:val="000A0087"/>
    <w:rPr>
      <w:rFonts w:asciiTheme="majorHAnsi" w:eastAsiaTheme="majorEastAsia" w:hAnsiTheme="majorHAnsi" w:cstheme="majorBidi"/>
      <w:color w:val="152945" w:themeColor="text2" w:themeShade="BF"/>
      <w:spacing w:val="5"/>
      <w:kern w:val="28"/>
      <w:sz w:val="52"/>
      <w:szCs w:val="52"/>
    </w:rPr>
  </w:style>
  <w:style w:type="paragraph" w:styleId="TOAHeading">
    <w:name w:val="toa heading"/>
    <w:basedOn w:val="Normal"/>
    <w:next w:val="Normal"/>
    <w:uiPriority w:val="99"/>
    <w:semiHidden/>
    <w:unhideWhenUsed/>
    <w:rsid w:val="000A0087"/>
    <w:pPr>
      <w:spacing w:before="120" w:after="0"/>
    </w:pPr>
    <w:rPr>
      <w:rFonts w:asciiTheme="majorHAnsi" w:eastAsiaTheme="majorEastAsia" w:hAnsiTheme="majorHAnsi" w:cstheme="majorBidi"/>
      <w:b/>
      <w:bCs/>
      <w:szCs w:val="24"/>
    </w:rPr>
  </w:style>
  <w:style w:type="paragraph" w:styleId="TOCHeading">
    <w:name w:val="TOC Heading"/>
    <w:basedOn w:val="Heading1"/>
    <w:next w:val="Normal"/>
    <w:uiPriority w:val="39"/>
    <w:semiHidden/>
    <w:unhideWhenUsed/>
    <w:qFormat/>
    <w:rsid w:val="000A0087"/>
    <w:pPr>
      <w:spacing w:before="480" w:after="0"/>
      <w:outlineLvl w:val="9"/>
    </w:pPr>
    <w:rPr>
      <w:rFonts w:asciiTheme="majorHAnsi" w:hAnsiTheme="majorHAnsi"/>
      <w:sz w:val="28"/>
    </w:rPr>
  </w:style>
  <w:style w:type="numbering" w:customStyle="1" w:styleId="NoList1">
    <w:name w:val="No List1"/>
    <w:next w:val="NoList"/>
    <w:uiPriority w:val="99"/>
    <w:semiHidden/>
    <w:unhideWhenUsed/>
    <w:rsid w:val="000A0087"/>
  </w:style>
  <w:style w:type="paragraph" w:customStyle="1" w:styleId="Bodyfigures">
    <w:name w:val="Body figures"/>
    <w:basedOn w:val="Figures"/>
    <w:qFormat/>
    <w:rsid w:val="00981BE9"/>
    <w:pPr>
      <w:ind w:left="1134"/>
    </w:pPr>
  </w:style>
  <w:style w:type="paragraph" w:customStyle="1" w:styleId="Bodytables">
    <w:name w:val="Body tables"/>
    <w:basedOn w:val="Tables"/>
    <w:qFormat/>
    <w:rsid w:val="00E96D47"/>
    <w:pPr>
      <w:ind w:left="1134"/>
    </w:pPr>
  </w:style>
  <w:style w:type="paragraph" w:customStyle="1" w:styleId="Financialfooter">
    <w:name w:val="Financial footer"/>
    <w:basedOn w:val="ListParagraph"/>
    <w:qFormat/>
    <w:rsid w:val="00693C8F"/>
    <w:pPr>
      <w:numPr>
        <w:numId w:val="29"/>
      </w:numPr>
    </w:pPr>
    <w:rPr>
      <w:sz w:val="20"/>
    </w:rPr>
  </w:style>
  <w:style w:type="paragraph" w:customStyle="1" w:styleId="KPIheading2">
    <w:name w:val="KPI heading 2"/>
    <w:basedOn w:val="Heading3"/>
    <w:qFormat/>
    <w:rsid w:val="00547DC7"/>
    <w:rPr>
      <w:lang w:eastAsia="en-AU"/>
    </w:rPr>
  </w:style>
  <w:style w:type="paragraph" w:customStyle="1" w:styleId="KPIsubheading">
    <w:name w:val="KPI subheading"/>
    <w:basedOn w:val="Normal"/>
    <w:qFormat/>
    <w:rsid w:val="00547DC7"/>
    <w:pPr>
      <w:numPr>
        <w:numId w:val="42"/>
      </w:numPr>
      <w:spacing w:after="240"/>
    </w:pPr>
    <w:rPr>
      <w:b/>
      <w:color w:val="2F5E9D" w:themeColor="accent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A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Balloo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5000"/>
    <w:rPr>
      <w:color w:val="4D4D4F" w:themeColor="text1"/>
      <w:sz w:val="24"/>
    </w:rPr>
  </w:style>
  <w:style w:type="paragraph" w:styleId="Heading1">
    <w:name w:val="heading 1"/>
    <w:basedOn w:val="Normal"/>
    <w:next w:val="Normal"/>
    <w:link w:val="Heading1Char"/>
    <w:uiPriority w:val="9"/>
    <w:qFormat/>
    <w:rsid w:val="009657AC"/>
    <w:pPr>
      <w:keepNext/>
      <w:keepLines/>
      <w:spacing w:after="120" w:line="240" w:lineRule="auto"/>
      <w:outlineLvl w:val="0"/>
    </w:pPr>
    <w:rPr>
      <w:rFonts w:ascii="Calibri" w:eastAsiaTheme="majorEastAsia" w:hAnsi="Calibri" w:cstheme="majorBidi"/>
      <w:b/>
      <w:bCs/>
      <w:color w:val="234675" w:themeColor="accent1" w:themeShade="BF"/>
      <w:sz w:val="36"/>
      <w:szCs w:val="28"/>
    </w:rPr>
  </w:style>
  <w:style w:type="paragraph" w:styleId="Heading2">
    <w:name w:val="heading 2"/>
    <w:basedOn w:val="Normal"/>
    <w:next w:val="Normal"/>
    <w:link w:val="Heading2Char"/>
    <w:uiPriority w:val="9"/>
    <w:unhideWhenUsed/>
    <w:qFormat/>
    <w:rsid w:val="004B1E30"/>
    <w:pPr>
      <w:keepNext/>
      <w:keepLines/>
      <w:spacing w:after="160" w:line="240" w:lineRule="auto"/>
      <w:ind w:left="1134"/>
      <w:outlineLvl w:val="1"/>
    </w:pPr>
    <w:rPr>
      <w:rFonts w:ascii="Calibri" w:eastAsiaTheme="majorEastAsia" w:hAnsi="Calibri" w:cstheme="majorBidi"/>
      <w:b/>
      <w:bCs/>
      <w:color w:val="B2A97E" w:themeColor="accent4"/>
      <w:sz w:val="32"/>
      <w:szCs w:val="26"/>
    </w:rPr>
  </w:style>
  <w:style w:type="paragraph" w:styleId="Heading3">
    <w:name w:val="heading 3"/>
    <w:basedOn w:val="Normal"/>
    <w:next w:val="Normal"/>
    <w:link w:val="Heading3Char"/>
    <w:uiPriority w:val="9"/>
    <w:unhideWhenUsed/>
    <w:qFormat/>
    <w:rsid w:val="003717E0"/>
    <w:pPr>
      <w:keepNext/>
      <w:keepLines/>
      <w:spacing w:before="200" w:after="120"/>
      <w:ind w:left="1134"/>
      <w:outlineLvl w:val="2"/>
    </w:pPr>
    <w:rPr>
      <w:rFonts w:ascii="Arial" w:eastAsiaTheme="majorEastAsia" w:hAnsi="Arial" w:cs="Arial"/>
      <w:b/>
      <w:bCs/>
      <w:color w:val="2F5E9D" w:themeColor="accent1"/>
    </w:rPr>
  </w:style>
  <w:style w:type="paragraph" w:styleId="Heading4">
    <w:name w:val="heading 4"/>
    <w:basedOn w:val="Normal"/>
    <w:next w:val="Normal"/>
    <w:link w:val="Heading4Char"/>
    <w:uiPriority w:val="9"/>
    <w:unhideWhenUsed/>
    <w:qFormat/>
    <w:rsid w:val="004B1E30"/>
    <w:pPr>
      <w:keepNext/>
      <w:keepLines/>
      <w:spacing w:before="200" w:after="0"/>
      <w:ind w:left="1134"/>
      <w:outlineLvl w:val="3"/>
    </w:pPr>
    <w:rPr>
      <w:rFonts w:eastAsia="Times New Roman" w:cstheme="minorHAnsi"/>
      <w:b/>
      <w:bCs/>
      <w:i/>
      <w:iCs/>
    </w:rPr>
  </w:style>
  <w:style w:type="paragraph" w:styleId="Heading5">
    <w:name w:val="heading 5"/>
    <w:basedOn w:val="Normal"/>
    <w:next w:val="Normal"/>
    <w:link w:val="Heading5Char"/>
    <w:uiPriority w:val="9"/>
    <w:unhideWhenUsed/>
    <w:qFormat/>
    <w:rsid w:val="00087037"/>
    <w:pPr>
      <w:keepNext/>
      <w:keepLines/>
      <w:spacing w:before="200" w:after="0"/>
      <w:outlineLvl w:val="4"/>
    </w:pPr>
    <w:rPr>
      <w:rFonts w:asciiTheme="majorHAnsi" w:eastAsiaTheme="majorEastAsia" w:hAnsiTheme="majorHAnsi" w:cstheme="majorBidi"/>
      <w:color w:val="172E4D" w:themeColor="accent1" w:themeShade="7F"/>
    </w:rPr>
  </w:style>
  <w:style w:type="paragraph" w:styleId="Heading6">
    <w:name w:val="heading 6"/>
    <w:basedOn w:val="Normal"/>
    <w:next w:val="Normal"/>
    <w:link w:val="Heading6Char"/>
    <w:qFormat/>
    <w:rsid w:val="000A0087"/>
    <w:pPr>
      <w:keepNext/>
      <w:widowControl w:val="0"/>
      <w:spacing w:after="60" w:line="240" w:lineRule="auto"/>
      <w:outlineLvl w:val="5"/>
    </w:pPr>
    <w:rPr>
      <w:rFonts w:ascii="Arial" w:eastAsia="Times New Roman" w:hAnsi="Arial" w:cs="Times New Roman"/>
      <w:b/>
      <w:i/>
      <w:snapToGrid w:val="0"/>
      <w:color w:val="auto"/>
      <w:sz w:val="22"/>
      <w:szCs w:val="20"/>
    </w:rPr>
  </w:style>
  <w:style w:type="paragraph" w:styleId="Heading7">
    <w:name w:val="heading 7"/>
    <w:basedOn w:val="Normal"/>
    <w:next w:val="Normal"/>
    <w:link w:val="Heading7Char"/>
    <w:uiPriority w:val="9"/>
    <w:semiHidden/>
    <w:unhideWhenUsed/>
    <w:qFormat/>
    <w:rsid w:val="000A0087"/>
    <w:pPr>
      <w:keepNext/>
      <w:keepLines/>
      <w:spacing w:before="200" w:after="0"/>
      <w:outlineLvl w:val="6"/>
    </w:pPr>
    <w:rPr>
      <w:rFonts w:asciiTheme="majorHAnsi" w:eastAsiaTheme="majorEastAsia" w:hAnsiTheme="majorHAnsi" w:cstheme="majorBidi"/>
      <w:i/>
      <w:iCs/>
      <w:color w:val="78787B" w:themeColor="text1" w:themeTint="BF"/>
    </w:rPr>
  </w:style>
  <w:style w:type="paragraph" w:styleId="Heading8">
    <w:name w:val="heading 8"/>
    <w:basedOn w:val="Normal"/>
    <w:next w:val="Normal"/>
    <w:link w:val="Heading8Char"/>
    <w:uiPriority w:val="9"/>
    <w:semiHidden/>
    <w:unhideWhenUsed/>
    <w:qFormat/>
    <w:rsid w:val="000A0087"/>
    <w:pPr>
      <w:keepNext/>
      <w:keepLines/>
      <w:spacing w:before="200" w:after="0"/>
      <w:outlineLvl w:val="7"/>
    </w:pPr>
    <w:rPr>
      <w:rFonts w:asciiTheme="majorHAnsi" w:eastAsiaTheme="majorEastAsia" w:hAnsiTheme="majorHAnsi" w:cstheme="majorBidi"/>
      <w:color w:val="78787B" w:themeColor="text1" w:themeTint="BF"/>
      <w:sz w:val="20"/>
      <w:szCs w:val="20"/>
    </w:rPr>
  </w:style>
  <w:style w:type="paragraph" w:styleId="Heading9">
    <w:name w:val="heading 9"/>
    <w:basedOn w:val="Normal"/>
    <w:next w:val="Normal"/>
    <w:link w:val="Heading9Char"/>
    <w:uiPriority w:val="9"/>
    <w:semiHidden/>
    <w:unhideWhenUsed/>
    <w:qFormat/>
    <w:rsid w:val="000A0087"/>
    <w:pPr>
      <w:keepNext/>
      <w:keepLines/>
      <w:spacing w:before="200" w:after="0"/>
      <w:outlineLvl w:val="8"/>
    </w:pPr>
    <w:rPr>
      <w:rFonts w:asciiTheme="majorHAnsi" w:eastAsiaTheme="majorEastAsia" w:hAnsiTheme="majorHAnsi" w:cstheme="majorBidi"/>
      <w:i/>
      <w:iCs/>
      <w:color w:val="78787B"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oreword">
    <w:name w:val="Foreword"/>
    <w:basedOn w:val="Heading1"/>
    <w:next w:val="Normal"/>
    <w:autoRedefine/>
    <w:qFormat/>
    <w:rsid w:val="006848C4"/>
    <w:pPr>
      <w:jc w:val="both"/>
    </w:pPr>
    <w:rPr>
      <w:rFonts w:ascii="Arial" w:eastAsiaTheme="minorHAnsi" w:hAnsi="Arial" w:cs="Arial"/>
      <w:color w:val="auto"/>
    </w:rPr>
  </w:style>
  <w:style w:type="character" w:customStyle="1" w:styleId="Heading1Char">
    <w:name w:val="Heading 1 Char"/>
    <w:basedOn w:val="DefaultParagraphFont"/>
    <w:link w:val="Heading1"/>
    <w:uiPriority w:val="9"/>
    <w:rsid w:val="009657AC"/>
    <w:rPr>
      <w:rFonts w:ascii="Calibri" w:eastAsiaTheme="majorEastAsia" w:hAnsi="Calibri" w:cstheme="majorBidi"/>
      <w:b/>
      <w:bCs/>
      <w:color w:val="234675" w:themeColor="accent1" w:themeShade="BF"/>
      <w:sz w:val="36"/>
      <w:szCs w:val="28"/>
    </w:rPr>
  </w:style>
  <w:style w:type="numbering" w:customStyle="1" w:styleId="Bulletpoint">
    <w:name w:val="Bullet point"/>
    <w:basedOn w:val="NoList"/>
    <w:rsid w:val="006848C4"/>
    <w:pPr>
      <w:numPr>
        <w:numId w:val="1"/>
      </w:numPr>
    </w:pPr>
  </w:style>
  <w:style w:type="paragraph" w:styleId="ListParagraph">
    <w:name w:val="List Paragraph"/>
    <w:basedOn w:val="Normal"/>
    <w:autoRedefine/>
    <w:uiPriority w:val="34"/>
    <w:qFormat/>
    <w:rsid w:val="00067EE9"/>
    <w:pPr>
      <w:numPr>
        <w:numId w:val="31"/>
      </w:numPr>
      <w:spacing w:after="0"/>
      <w:ind w:left="1560"/>
      <w:contextualSpacing/>
    </w:pPr>
    <w:rPr>
      <w:rFonts w:ascii="Arial" w:eastAsia="Times New Roman" w:hAnsi="Arial" w:cs="Times New Roman"/>
      <w:szCs w:val="20"/>
      <w:lang w:eastAsia="en-AU"/>
    </w:rPr>
  </w:style>
  <w:style w:type="paragraph" w:customStyle="1" w:styleId="Figures">
    <w:name w:val="Figures"/>
    <w:basedOn w:val="Normal"/>
    <w:autoRedefine/>
    <w:rsid w:val="00981BE9"/>
    <w:pPr>
      <w:tabs>
        <w:tab w:val="left" w:pos="0"/>
      </w:tabs>
      <w:spacing w:after="0" w:line="240" w:lineRule="auto"/>
    </w:pPr>
    <w:rPr>
      <w:rFonts w:ascii="Arial" w:eastAsia="Times New Roman" w:hAnsi="Arial" w:cs="Times New Roman"/>
      <w:b/>
      <w:bCs/>
      <w:iCs/>
      <w:color w:val="1C385D" w:themeColor="text2"/>
      <w:sz w:val="22"/>
      <w:szCs w:val="24"/>
    </w:rPr>
  </w:style>
  <w:style w:type="paragraph" w:customStyle="1" w:styleId="Financials">
    <w:name w:val="Financials"/>
    <w:basedOn w:val="Normal"/>
    <w:qFormat/>
    <w:rsid w:val="00371245"/>
    <w:pPr>
      <w:spacing w:after="0" w:line="240" w:lineRule="auto"/>
    </w:pPr>
    <w:rPr>
      <w:sz w:val="22"/>
    </w:rPr>
  </w:style>
  <w:style w:type="character" w:customStyle="1" w:styleId="Heading2Char">
    <w:name w:val="Heading 2 Char"/>
    <w:basedOn w:val="DefaultParagraphFont"/>
    <w:link w:val="Heading2"/>
    <w:uiPriority w:val="9"/>
    <w:rsid w:val="004B1E30"/>
    <w:rPr>
      <w:rFonts w:ascii="Calibri" w:eastAsiaTheme="majorEastAsia" w:hAnsi="Calibri" w:cstheme="majorBidi"/>
      <w:b/>
      <w:bCs/>
      <w:color w:val="B2A97E" w:themeColor="accent4"/>
      <w:sz w:val="32"/>
      <w:szCs w:val="26"/>
    </w:rPr>
  </w:style>
  <w:style w:type="paragraph" w:styleId="Quote">
    <w:name w:val="Quote"/>
    <w:basedOn w:val="Normal"/>
    <w:next w:val="Normal"/>
    <w:link w:val="QuoteChar"/>
    <w:uiPriority w:val="29"/>
    <w:qFormat/>
    <w:rsid w:val="00B675C3"/>
    <w:rPr>
      <w:rFonts w:ascii="Arial Bold" w:hAnsi="Arial Bold"/>
      <w:b/>
      <w:iCs/>
      <w:color w:val="B2A97E" w:themeColor="accent4"/>
      <w:sz w:val="32"/>
      <w14:ligatures w14:val="standard"/>
    </w:rPr>
  </w:style>
  <w:style w:type="character" w:customStyle="1" w:styleId="QuoteChar">
    <w:name w:val="Quote Char"/>
    <w:basedOn w:val="DefaultParagraphFont"/>
    <w:link w:val="Quote"/>
    <w:uiPriority w:val="29"/>
    <w:rsid w:val="00B675C3"/>
    <w:rPr>
      <w:rFonts w:ascii="Arial Bold" w:hAnsi="Arial Bold"/>
      <w:b/>
      <w:iCs/>
      <w:color w:val="B2A97E" w:themeColor="accent4"/>
      <w:sz w:val="32"/>
      <w14:ligatures w14:val="standard"/>
    </w:rPr>
  </w:style>
  <w:style w:type="paragraph" w:styleId="Header">
    <w:name w:val="header"/>
    <w:basedOn w:val="Normal"/>
    <w:link w:val="HeaderChar"/>
    <w:uiPriority w:val="99"/>
    <w:unhideWhenUsed/>
    <w:rsid w:val="00D63D8B"/>
    <w:pPr>
      <w:tabs>
        <w:tab w:val="center" w:pos="4513"/>
        <w:tab w:val="right" w:pos="9026"/>
      </w:tabs>
      <w:spacing w:before="120" w:after="0" w:line="240" w:lineRule="auto"/>
    </w:pPr>
  </w:style>
  <w:style w:type="character" w:customStyle="1" w:styleId="HeaderChar">
    <w:name w:val="Header Char"/>
    <w:basedOn w:val="DefaultParagraphFont"/>
    <w:link w:val="Header"/>
    <w:uiPriority w:val="99"/>
    <w:rsid w:val="00D63D8B"/>
    <w:rPr>
      <w:color w:val="4D4D4F" w:themeColor="text1"/>
      <w:sz w:val="24"/>
    </w:rPr>
  </w:style>
  <w:style w:type="paragraph" w:styleId="Footer">
    <w:name w:val="footer"/>
    <w:basedOn w:val="Normal"/>
    <w:link w:val="FooterChar"/>
    <w:uiPriority w:val="99"/>
    <w:unhideWhenUsed/>
    <w:rsid w:val="00D63D8B"/>
    <w:pPr>
      <w:tabs>
        <w:tab w:val="center" w:pos="4513"/>
        <w:tab w:val="right" w:pos="9026"/>
      </w:tabs>
      <w:spacing w:before="120" w:after="0" w:line="240" w:lineRule="auto"/>
    </w:pPr>
    <w:rPr>
      <w:sz w:val="20"/>
    </w:rPr>
  </w:style>
  <w:style w:type="character" w:customStyle="1" w:styleId="FooterChar">
    <w:name w:val="Footer Char"/>
    <w:basedOn w:val="DefaultParagraphFont"/>
    <w:link w:val="Footer"/>
    <w:uiPriority w:val="99"/>
    <w:rsid w:val="00D63D8B"/>
    <w:rPr>
      <w:color w:val="4D4D4F" w:themeColor="text1"/>
      <w:sz w:val="20"/>
    </w:rPr>
  </w:style>
  <w:style w:type="paragraph" w:styleId="BalloonText">
    <w:name w:val="Balloon Text"/>
    <w:basedOn w:val="Normal"/>
    <w:link w:val="BalloonTextChar"/>
    <w:semiHidden/>
    <w:unhideWhenUsed/>
    <w:rsid w:val="00795041"/>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semiHidden/>
    <w:rsid w:val="00795041"/>
    <w:rPr>
      <w:rFonts w:ascii="Tahoma" w:hAnsi="Tahoma" w:cs="Tahoma"/>
      <w:color w:val="4D4D4F" w:themeColor="text1"/>
      <w:sz w:val="16"/>
      <w:szCs w:val="16"/>
    </w:rPr>
  </w:style>
  <w:style w:type="character" w:styleId="PlaceholderText">
    <w:name w:val="Placeholder Text"/>
    <w:basedOn w:val="DefaultParagraphFont"/>
    <w:uiPriority w:val="99"/>
    <w:semiHidden/>
    <w:rsid w:val="00AF047E"/>
    <w:rPr>
      <w:color w:val="808080"/>
    </w:rPr>
  </w:style>
  <w:style w:type="paragraph" w:customStyle="1" w:styleId="Sectionheading">
    <w:name w:val="Section heading"/>
    <w:basedOn w:val="Heading1"/>
    <w:next w:val="Normal"/>
    <w:qFormat/>
    <w:rsid w:val="00B46443"/>
    <w:rPr>
      <w:color w:val="B2A97E" w:themeColor="accent4"/>
      <w:sz w:val="40"/>
    </w:rPr>
  </w:style>
  <w:style w:type="character" w:customStyle="1" w:styleId="Heading3Char">
    <w:name w:val="Heading 3 Char"/>
    <w:basedOn w:val="DefaultParagraphFont"/>
    <w:link w:val="Heading3"/>
    <w:uiPriority w:val="9"/>
    <w:rsid w:val="003717E0"/>
    <w:rPr>
      <w:rFonts w:ascii="Arial" w:eastAsiaTheme="majorEastAsia" w:hAnsi="Arial" w:cs="Arial"/>
      <w:b/>
      <w:bCs/>
      <w:color w:val="2F5E9D" w:themeColor="accent1"/>
      <w:sz w:val="24"/>
    </w:rPr>
  </w:style>
  <w:style w:type="character" w:customStyle="1" w:styleId="Heading4Char">
    <w:name w:val="Heading 4 Char"/>
    <w:basedOn w:val="DefaultParagraphFont"/>
    <w:link w:val="Heading4"/>
    <w:uiPriority w:val="9"/>
    <w:rsid w:val="004B1E30"/>
    <w:rPr>
      <w:rFonts w:eastAsia="Times New Roman" w:cstheme="minorHAnsi"/>
      <w:b/>
      <w:bCs/>
      <w:i/>
      <w:iCs/>
      <w:color w:val="4D4D4F" w:themeColor="text1"/>
      <w:sz w:val="24"/>
    </w:rPr>
  </w:style>
  <w:style w:type="paragraph" w:customStyle="1" w:styleId="Body">
    <w:name w:val="Body"/>
    <w:basedOn w:val="Normal"/>
    <w:qFormat/>
    <w:rsid w:val="006C6FC5"/>
    <w:pPr>
      <w:ind w:left="1134"/>
    </w:pPr>
  </w:style>
  <w:style w:type="paragraph" w:customStyle="1" w:styleId="Servicedescription">
    <w:name w:val="Service description"/>
    <w:basedOn w:val="Normal"/>
    <w:qFormat/>
    <w:rsid w:val="00B46443"/>
    <w:rPr>
      <w:rFonts w:ascii="Calibri" w:hAnsi="Calibri" w:cs="Arial"/>
      <w:b/>
      <w:color w:val="9A3821" w:themeColor="accent2"/>
      <w:sz w:val="28"/>
      <w:szCs w:val="30"/>
    </w:rPr>
  </w:style>
  <w:style w:type="character" w:styleId="Hyperlink">
    <w:name w:val="Hyperlink"/>
    <w:basedOn w:val="DefaultParagraphFont"/>
    <w:uiPriority w:val="99"/>
    <w:unhideWhenUsed/>
    <w:rsid w:val="00F808CA"/>
    <w:rPr>
      <w:color w:val="9A3821"/>
      <w:u w:val="none"/>
    </w:rPr>
  </w:style>
  <w:style w:type="table" w:styleId="TableGrid">
    <w:name w:val="Table Grid"/>
    <w:basedOn w:val="TableNormal"/>
    <w:uiPriority w:val="59"/>
    <w:rsid w:val="00F808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astbullet">
    <w:name w:val="Last bullet"/>
    <w:basedOn w:val="ListParagraph"/>
    <w:qFormat/>
    <w:rsid w:val="004B1E30"/>
    <w:pPr>
      <w:spacing w:after="120"/>
    </w:pPr>
  </w:style>
  <w:style w:type="paragraph" w:customStyle="1" w:styleId="Calloutbox">
    <w:name w:val="Call out box"/>
    <w:basedOn w:val="Normal"/>
    <w:qFormat/>
    <w:rsid w:val="0083455B"/>
    <w:pPr>
      <w:pBdr>
        <w:left w:val="single" w:sz="4" w:space="4" w:color="auto"/>
      </w:pBdr>
      <w:spacing w:before="200" w:after="80" w:line="240" w:lineRule="auto"/>
    </w:pPr>
    <w:rPr>
      <w:rFonts w:ascii="Calibri" w:hAnsi="Calibri"/>
      <w:color w:val="1C385D" w:themeColor="text2"/>
      <w:sz w:val="36"/>
      <w:szCs w:val="36"/>
    </w:rPr>
  </w:style>
  <w:style w:type="character" w:styleId="CommentReference">
    <w:name w:val="annotation reference"/>
    <w:basedOn w:val="DefaultParagraphFont"/>
    <w:uiPriority w:val="99"/>
    <w:semiHidden/>
    <w:unhideWhenUsed/>
    <w:rsid w:val="001E603E"/>
    <w:rPr>
      <w:sz w:val="16"/>
      <w:szCs w:val="16"/>
    </w:rPr>
  </w:style>
  <w:style w:type="paragraph" w:styleId="CommentText">
    <w:name w:val="annotation text"/>
    <w:basedOn w:val="Normal"/>
    <w:link w:val="CommentTextChar"/>
    <w:uiPriority w:val="99"/>
    <w:semiHidden/>
    <w:unhideWhenUsed/>
    <w:rsid w:val="001E603E"/>
    <w:pPr>
      <w:spacing w:line="240" w:lineRule="auto"/>
    </w:pPr>
    <w:rPr>
      <w:rFonts w:ascii="Arial" w:hAnsi="Arial"/>
      <w:sz w:val="20"/>
      <w:szCs w:val="20"/>
    </w:rPr>
  </w:style>
  <w:style w:type="character" w:customStyle="1" w:styleId="CommentTextChar">
    <w:name w:val="Comment Text Char"/>
    <w:basedOn w:val="DefaultParagraphFont"/>
    <w:link w:val="CommentText"/>
    <w:uiPriority w:val="99"/>
    <w:semiHidden/>
    <w:rsid w:val="001E603E"/>
    <w:rPr>
      <w:rFonts w:ascii="Arial" w:hAnsi="Arial"/>
      <w:color w:val="4D4D4F" w:themeColor="text1"/>
      <w:sz w:val="20"/>
      <w:szCs w:val="20"/>
    </w:rPr>
  </w:style>
  <w:style w:type="paragraph" w:customStyle="1" w:styleId="Pa9">
    <w:name w:val="Pa9"/>
    <w:basedOn w:val="Normal"/>
    <w:next w:val="Normal"/>
    <w:uiPriority w:val="99"/>
    <w:rsid w:val="001E603E"/>
    <w:pPr>
      <w:autoSpaceDE w:val="0"/>
      <w:autoSpaceDN w:val="0"/>
      <w:adjustRightInd w:val="0"/>
      <w:spacing w:after="0" w:line="221" w:lineRule="atLeast"/>
    </w:pPr>
    <w:rPr>
      <w:rFonts w:ascii="DaxOT-MediumItalic" w:eastAsia="Times New Roman" w:hAnsi="DaxOT-MediumItalic" w:cs="Times New Roman"/>
      <w:color w:val="auto"/>
      <w:szCs w:val="24"/>
      <w:lang w:eastAsia="en-AU"/>
    </w:rPr>
  </w:style>
  <w:style w:type="character" w:customStyle="1" w:styleId="Style11ptBoldItalic">
    <w:name w:val="Style 11 pt Bold Italic"/>
    <w:basedOn w:val="DefaultParagraphFont"/>
    <w:rsid w:val="001E603E"/>
    <w:rPr>
      <w:b/>
      <w:bCs/>
      <w:i/>
      <w:iCs/>
      <w:sz w:val="24"/>
    </w:rPr>
  </w:style>
  <w:style w:type="character" w:customStyle="1" w:styleId="contenttitlelink">
    <w:name w:val="contenttitlelink"/>
    <w:basedOn w:val="DefaultParagraphFont"/>
    <w:rsid w:val="001E603E"/>
  </w:style>
  <w:style w:type="paragraph" w:customStyle="1" w:styleId="Default">
    <w:name w:val="Default"/>
    <w:rsid w:val="00004A0E"/>
    <w:pPr>
      <w:autoSpaceDE w:val="0"/>
      <w:autoSpaceDN w:val="0"/>
      <w:adjustRightInd w:val="0"/>
      <w:spacing w:after="0" w:line="240" w:lineRule="auto"/>
    </w:pPr>
    <w:rPr>
      <w:rFonts w:ascii="Arial" w:eastAsia="Times New Roman" w:hAnsi="Arial" w:cs="Arial"/>
      <w:color w:val="000000"/>
      <w:sz w:val="24"/>
      <w:szCs w:val="24"/>
      <w:lang w:eastAsia="en-AU"/>
    </w:rPr>
  </w:style>
  <w:style w:type="character" w:customStyle="1" w:styleId="Heading5Char">
    <w:name w:val="Heading 5 Char"/>
    <w:basedOn w:val="DefaultParagraphFont"/>
    <w:link w:val="Heading5"/>
    <w:uiPriority w:val="9"/>
    <w:rsid w:val="00087037"/>
    <w:rPr>
      <w:rFonts w:asciiTheme="majorHAnsi" w:eastAsiaTheme="majorEastAsia" w:hAnsiTheme="majorHAnsi" w:cstheme="majorBidi"/>
      <w:color w:val="172E4D" w:themeColor="accent1" w:themeShade="7F"/>
      <w:sz w:val="24"/>
    </w:rPr>
  </w:style>
  <w:style w:type="paragraph" w:customStyle="1" w:styleId="Chapterheading">
    <w:name w:val="Chapter heading"/>
    <w:basedOn w:val="Heading1"/>
    <w:qFormat/>
    <w:rsid w:val="000E07E1"/>
    <w:rPr>
      <w:rFonts w:asciiTheme="majorHAnsi" w:hAnsiTheme="majorHAnsi"/>
      <w:b w:val="0"/>
      <w:color w:val="FFFFFF" w:themeColor="background1"/>
      <w:sz w:val="56"/>
      <w:szCs w:val="56"/>
    </w:rPr>
  </w:style>
  <w:style w:type="paragraph" w:styleId="TOC1">
    <w:name w:val="toc 1"/>
    <w:basedOn w:val="Normal"/>
    <w:next w:val="Normal"/>
    <w:autoRedefine/>
    <w:uiPriority w:val="39"/>
    <w:unhideWhenUsed/>
    <w:rsid w:val="00671CBA"/>
    <w:pPr>
      <w:tabs>
        <w:tab w:val="right" w:leader="dot" w:pos="9463"/>
      </w:tabs>
      <w:spacing w:before="120" w:after="120" w:line="240" w:lineRule="auto"/>
    </w:pPr>
    <w:rPr>
      <w:rFonts w:cstheme="minorHAnsi"/>
      <w:b/>
      <w:bCs/>
      <w:noProof/>
      <w:szCs w:val="24"/>
    </w:rPr>
  </w:style>
  <w:style w:type="paragraph" w:styleId="TOC2">
    <w:name w:val="toc 2"/>
    <w:basedOn w:val="Normal"/>
    <w:next w:val="Normal"/>
    <w:autoRedefine/>
    <w:uiPriority w:val="39"/>
    <w:unhideWhenUsed/>
    <w:rsid w:val="00671CBA"/>
    <w:pPr>
      <w:tabs>
        <w:tab w:val="right" w:pos="9463"/>
      </w:tabs>
      <w:spacing w:before="60" w:after="60" w:line="240" w:lineRule="auto"/>
      <w:ind w:left="238"/>
    </w:pPr>
    <w:rPr>
      <w:rFonts w:cstheme="minorHAnsi"/>
      <w:b/>
      <w:iCs/>
      <w:noProof/>
      <w:sz w:val="22"/>
      <w:szCs w:val="20"/>
    </w:rPr>
  </w:style>
  <w:style w:type="paragraph" w:styleId="TOC3">
    <w:name w:val="toc 3"/>
    <w:basedOn w:val="Normal"/>
    <w:next w:val="Normal"/>
    <w:autoRedefine/>
    <w:uiPriority w:val="39"/>
    <w:unhideWhenUsed/>
    <w:rsid w:val="002054CC"/>
    <w:pPr>
      <w:tabs>
        <w:tab w:val="right" w:pos="9463"/>
      </w:tabs>
      <w:spacing w:after="0"/>
      <w:ind w:left="482"/>
    </w:pPr>
    <w:rPr>
      <w:rFonts w:cstheme="minorHAnsi"/>
      <w:sz w:val="22"/>
      <w:szCs w:val="20"/>
    </w:rPr>
  </w:style>
  <w:style w:type="paragraph" w:styleId="TOC4">
    <w:name w:val="toc 4"/>
    <w:basedOn w:val="Normal"/>
    <w:next w:val="Normal"/>
    <w:autoRedefine/>
    <w:uiPriority w:val="39"/>
    <w:unhideWhenUsed/>
    <w:rsid w:val="005E35EB"/>
    <w:pPr>
      <w:spacing w:after="0"/>
      <w:ind w:left="720"/>
    </w:pPr>
    <w:rPr>
      <w:rFonts w:cstheme="minorHAnsi"/>
      <w:sz w:val="20"/>
      <w:szCs w:val="20"/>
    </w:rPr>
  </w:style>
  <w:style w:type="paragraph" w:styleId="TOC5">
    <w:name w:val="toc 5"/>
    <w:basedOn w:val="Normal"/>
    <w:next w:val="Normal"/>
    <w:autoRedefine/>
    <w:uiPriority w:val="39"/>
    <w:unhideWhenUsed/>
    <w:rsid w:val="005E35EB"/>
    <w:pPr>
      <w:spacing w:after="0"/>
      <w:ind w:left="960"/>
    </w:pPr>
    <w:rPr>
      <w:rFonts w:cstheme="minorHAnsi"/>
      <w:sz w:val="20"/>
      <w:szCs w:val="20"/>
    </w:rPr>
  </w:style>
  <w:style w:type="paragraph" w:styleId="TOC6">
    <w:name w:val="toc 6"/>
    <w:basedOn w:val="Normal"/>
    <w:next w:val="Normal"/>
    <w:autoRedefine/>
    <w:uiPriority w:val="39"/>
    <w:unhideWhenUsed/>
    <w:rsid w:val="005E35EB"/>
    <w:pPr>
      <w:spacing w:after="0"/>
      <w:ind w:left="1200"/>
    </w:pPr>
    <w:rPr>
      <w:rFonts w:cstheme="minorHAnsi"/>
      <w:sz w:val="20"/>
      <w:szCs w:val="20"/>
    </w:rPr>
  </w:style>
  <w:style w:type="paragraph" w:styleId="TOC7">
    <w:name w:val="toc 7"/>
    <w:basedOn w:val="Normal"/>
    <w:next w:val="Normal"/>
    <w:autoRedefine/>
    <w:uiPriority w:val="39"/>
    <w:unhideWhenUsed/>
    <w:rsid w:val="005E35EB"/>
    <w:pPr>
      <w:spacing w:after="0"/>
      <w:ind w:left="1440"/>
    </w:pPr>
    <w:rPr>
      <w:rFonts w:cstheme="minorHAnsi"/>
      <w:sz w:val="20"/>
      <w:szCs w:val="20"/>
    </w:rPr>
  </w:style>
  <w:style w:type="paragraph" w:styleId="TOC8">
    <w:name w:val="toc 8"/>
    <w:basedOn w:val="Normal"/>
    <w:next w:val="Normal"/>
    <w:autoRedefine/>
    <w:uiPriority w:val="39"/>
    <w:unhideWhenUsed/>
    <w:rsid w:val="005E35EB"/>
    <w:pPr>
      <w:spacing w:after="0"/>
      <w:ind w:left="1680"/>
    </w:pPr>
    <w:rPr>
      <w:rFonts w:cstheme="minorHAnsi"/>
      <w:sz w:val="20"/>
      <w:szCs w:val="20"/>
    </w:rPr>
  </w:style>
  <w:style w:type="paragraph" w:styleId="TOC9">
    <w:name w:val="toc 9"/>
    <w:basedOn w:val="Normal"/>
    <w:next w:val="Normal"/>
    <w:autoRedefine/>
    <w:uiPriority w:val="39"/>
    <w:unhideWhenUsed/>
    <w:rsid w:val="005E35EB"/>
    <w:pPr>
      <w:spacing w:after="0"/>
      <w:ind w:left="1920"/>
    </w:pPr>
    <w:rPr>
      <w:rFonts w:cstheme="minorHAnsi"/>
      <w:sz w:val="20"/>
      <w:szCs w:val="20"/>
    </w:rPr>
  </w:style>
  <w:style w:type="paragraph" w:customStyle="1" w:styleId="Financialsheading1">
    <w:name w:val="Financials heading 1"/>
    <w:basedOn w:val="Financials"/>
    <w:qFormat/>
    <w:rsid w:val="009B4A17"/>
    <w:pPr>
      <w:spacing w:after="120"/>
    </w:pPr>
    <w:rPr>
      <w:rFonts w:ascii="Calibri" w:hAnsi="Calibri"/>
      <w:b/>
      <w:color w:val="B2A97E" w:themeColor="accent4"/>
      <w:sz w:val="32"/>
      <w:szCs w:val="32"/>
    </w:rPr>
  </w:style>
  <w:style w:type="paragraph" w:customStyle="1" w:styleId="Financialsheading2">
    <w:name w:val="Financials heading 2"/>
    <w:basedOn w:val="Normal"/>
    <w:qFormat/>
    <w:rsid w:val="00682CC1"/>
    <w:rPr>
      <w:b/>
      <w:color w:val="2F5E9D" w:themeColor="accent1"/>
    </w:rPr>
  </w:style>
  <w:style w:type="paragraph" w:customStyle="1" w:styleId="Financialsheading3">
    <w:name w:val="Financials heading 3"/>
    <w:basedOn w:val="Heading3"/>
    <w:qFormat/>
    <w:rsid w:val="00B35945"/>
    <w:pPr>
      <w:spacing w:before="240"/>
    </w:pPr>
    <w:rPr>
      <w:rFonts w:ascii="Calibri" w:eastAsia="Times New Roman" w:hAnsi="Calibri" w:cstheme="majorBidi"/>
      <w:sz w:val="28"/>
      <w:lang w:eastAsia="en-AU"/>
    </w:rPr>
  </w:style>
  <w:style w:type="paragraph" w:customStyle="1" w:styleId="ListParagraph2">
    <w:name w:val="List Paragraph 2"/>
    <w:basedOn w:val="ListParagraph"/>
    <w:qFormat/>
    <w:rsid w:val="00E2543D"/>
    <w:pPr>
      <w:numPr>
        <w:numId w:val="4"/>
      </w:numPr>
      <w:spacing w:after="40"/>
    </w:pPr>
  </w:style>
  <w:style w:type="paragraph" w:customStyle="1" w:styleId="Financialnotes">
    <w:name w:val="Financial notes"/>
    <w:basedOn w:val="Body"/>
    <w:qFormat/>
    <w:rsid w:val="00B43588"/>
    <w:pPr>
      <w:spacing w:after="120"/>
    </w:pPr>
    <w:rPr>
      <w:sz w:val="22"/>
    </w:rPr>
  </w:style>
  <w:style w:type="paragraph" w:customStyle="1" w:styleId="Financialsheading4">
    <w:name w:val="Financials heading 4"/>
    <w:basedOn w:val="Body"/>
    <w:qFormat/>
    <w:rsid w:val="008E0F75"/>
    <w:pPr>
      <w:spacing w:before="120" w:after="60"/>
    </w:pPr>
    <w:rPr>
      <w:b/>
      <w:lang w:eastAsia="en-AU"/>
    </w:rPr>
  </w:style>
  <w:style w:type="paragraph" w:customStyle="1" w:styleId="Financialsheading5">
    <w:name w:val="Financials heading 5"/>
    <w:basedOn w:val="Financialnotes"/>
    <w:qFormat/>
    <w:rsid w:val="00504CC3"/>
    <w:rPr>
      <w:b/>
    </w:rPr>
  </w:style>
  <w:style w:type="paragraph" w:customStyle="1" w:styleId="Financialsheading6">
    <w:name w:val="Financials heading 6"/>
    <w:basedOn w:val="Financialnotes"/>
    <w:qFormat/>
    <w:rsid w:val="008C4BCA"/>
    <w:rPr>
      <w:b/>
      <w:i/>
    </w:rPr>
  </w:style>
  <w:style w:type="character" w:customStyle="1" w:styleId="Heading6Char">
    <w:name w:val="Heading 6 Char"/>
    <w:basedOn w:val="DefaultParagraphFont"/>
    <w:link w:val="Heading6"/>
    <w:rsid w:val="000A0087"/>
    <w:rPr>
      <w:rFonts w:ascii="Arial" w:eastAsia="Times New Roman" w:hAnsi="Arial" w:cs="Times New Roman"/>
      <w:b/>
      <w:i/>
      <w:snapToGrid w:val="0"/>
      <w:szCs w:val="20"/>
    </w:rPr>
  </w:style>
  <w:style w:type="character" w:customStyle="1" w:styleId="Heading7Char">
    <w:name w:val="Heading 7 Char"/>
    <w:basedOn w:val="DefaultParagraphFont"/>
    <w:link w:val="Heading7"/>
    <w:uiPriority w:val="9"/>
    <w:semiHidden/>
    <w:rsid w:val="000A0087"/>
    <w:rPr>
      <w:rFonts w:asciiTheme="majorHAnsi" w:eastAsiaTheme="majorEastAsia" w:hAnsiTheme="majorHAnsi" w:cstheme="majorBidi"/>
      <w:i/>
      <w:iCs/>
      <w:color w:val="78787B" w:themeColor="text1" w:themeTint="BF"/>
      <w:sz w:val="24"/>
    </w:rPr>
  </w:style>
  <w:style w:type="character" w:customStyle="1" w:styleId="Heading8Char">
    <w:name w:val="Heading 8 Char"/>
    <w:basedOn w:val="DefaultParagraphFont"/>
    <w:link w:val="Heading8"/>
    <w:uiPriority w:val="9"/>
    <w:semiHidden/>
    <w:rsid w:val="000A0087"/>
    <w:rPr>
      <w:rFonts w:asciiTheme="majorHAnsi" w:eastAsiaTheme="majorEastAsia" w:hAnsiTheme="majorHAnsi" w:cstheme="majorBidi"/>
      <w:color w:val="78787B" w:themeColor="text1" w:themeTint="BF"/>
      <w:sz w:val="20"/>
      <w:szCs w:val="20"/>
    </w:rPr>
  </w:style>
  <w:style w:type="character" w:customStyle="1" w:styleId="Heading9Char">
    <w:name w:val="Heading 9 Char"/>
    <w:basedOn w:val="DefaultParagraphFont"/>
    <w:link w:val="Heading9"/>
    <w:uiPriority w:val="9"/>
    <w:semiHidden/>
    <w:rsid w:val="000A0087"/>
    <w:rPr>
      <w:rFonts w:asciiTheme="majorHAnsi" w:eastAsiaTheme="majorEastAsia" w:hAnsiTheme="majorHAnsi" w:cstheme="majorBidi"/>
      <w:i/>
      <w:iCs/>
      <w:color w:val="78787B" w:themeColor="text1" w:themeTint="BF"/>
      <w:sz w:val="20"/>
      <w:szCs w:val="20"/>
    </w:rPr>
  </w:style>
  <w:style w:type="table" w:customStyle="1" w:styleId="AnnualReportFinancialTable1">
    <w:name w:val="Annual Report Financial Table 1"/>
    <w:basedOn w:val="TableNormal"/>
    <w:uiPriority w:val="99"/>
    <w:rsid w:val="000A0087"/>
    <w:pPr>
      <w:spacing w:after="0" w:line="240" w:lineRule="auto"/>
    </w:pPr>
    <w:tblPr>
      <w:tblBorders>
        <w:top w:val="single" w:sz="4" w:space="0" w:color="1C385D" w:themeColor="text2"/>
        <w:bottom w:val="single" w:sz="4" w:space="0" w:color="1C385D" w:themeColor="text2"/>
        <w:insideH w:val="single" w:sz="4" w:space="0" w:color="1C385D" w:themeColor="text2"/>
      </w:tblBorders>
    </w:tblPr>
    <w:tblStylePr w:type="firstRow">
      <w:tblPr/>
      <w:tcPr>
        <w:shd w:val="clear" w:color="auto" w:fill="1C385D" w:themeFill="text2"/>
      </w:tcPr>
    </w:tblStylePr>
  </w:style>
  <w:style w:type="paragraph" w:styleId="NormalWeb">
    <w:name w:val="Normal (Web)"/>
    <w:basedOn w:val="Normal"/>
    <w:uiPriority w:val="99"/>
    <w:unhideWhenUsed/>
    <w:rsid w:val="000A0087"/>
    <w:pPr>
      <w:spacing w:before="150" w:after="150" w:line="240" w:lineRule="auto"/>
    </w:pPr>
    <w:rPr>
      <w:rFonts w:ascii="Times New Roman" w:eastAsia="Times New Roman" w:hAnsi="Times New Roman" w:cs="Times New Roman"/>
      <w:color w:val="auto"/>
      <w:szCs w:val="24"/>
      <w:lang w:eastAsia="en-AU"/>
    </w:rPr>
  </w:style>
  <w:style w:type="paragraph" w:customStyle="1" w:styleId="EPAText">
    <w:name w:val="EPA Text"/>
    <w:basedOn w:val="Normal"/>
    <w:link w:val="EPATextChar"/>
    <w:rsid w:val="000A0087"/>
    <w:pPr>
      <w:spacing w:after="0" w:line="240" w:lineRule="auto"/>
      <w:jc w:val="both"/>
    </w:pPr>
    <w:rPr>
      <w:rFonts w:ascii="Arial" w:eastAsia="Times New Roman" w:hAnsi="Arial" w:cs="Times New Roman"/>
      <w:szCs w:val="24"/>
      <w:lang w:val="en-US"/>
    </w:rPr>
  </w:style>
  <w:style w:type="character" w:customStyle="1" w:styleId="EPATextChar">
    <w:name w:val="EPA Text Char"/>
    <w:link w:val="EPAText"/>
    <w:locked/>
    <w:rsid w:val="000A0087"/>
    <w:rPr>
      <w:rFonts w:ascii="Arial" w:eastAsia="Times New Roman" w:hAnsi="Arial" w:cs="Times New Roman"/>
      <w:color w:val="4D4D4F" w:themeColor="text1"/>
      <w:sz w:val="24"/>
      <w:szCs w:val="24"/>
      <w:lang w:val="en-US"/>
    </w:rPr>
  </w:style>
  <w:style w:type="paragraph" w:styleId="CommentSubject">
    <w:name w:val="annotation subject"/>
    <w:basedOn w:val="CommentText"/>
    <w:next w:val="CommentText"/>
    <w:link w:val="CommentSubjectChar"/>
    <w:uiPriority w:val="99"/>
    <w:semiHidden/>
    <w:unhideWhenUsed/>
    <w:rsid w:val="000A0087"/>
    <w:pPr>
      <w:spacing w:before="200" w:after="0"/>
    </w:pPr>
    <w:rPr>
      <w:rFonts w:asciiTheme="minorHAnsi" w:hAnsiTheme="minorHAnsi"/>
      <w:b/>
      <w:bCs/>
    </w:rPr>
  </w:style>
  <w:style w:type="character" w:customStyle="1" w:styleId="CommentSubjectChar">
    <w:name w:val="Comment Subject Char"/>
    <w:basedOn w:val="CommentTextChar"/>
    <w:link w:val="CommentSubject"/>
    <w:uiPriority w:val="99"/>
    <w:semiHidden/>
    <w:rsid w:val="000A0087"/>
    <w:rPr>
      <w:rFonts w:ascii="Arial" w:hAnsi="Arial"/>
      <w:b/>
      <w:bCs/>
      <w:color w:val="4D4D4F" w:themeColor="text1"/>
      <w:sz w:val="20"/>
      <w:szCs w:val="20"/>
    </w:rPr>
  </w:style>
  <w:style w:type="paragraph" w:styleId="NoSpacing">
    <w:name w:val="No Spacing"/>
    <w:link w:val="NoSpacingChar"/>
    <w:uiPriority w:val="1"/>
    <w:qFormat/>
    <w:rsid w:val="000A0087"/>
    <w:pPr>
      <w:spacing w:after="0" w:line="240" w:lineRule="auto"/>
    </w:pPr>
    <w:rPr>
      <w:rFonts w:eastAsiaTheme="minorEastAsia"/>
      <w:lang w:val="en-US"/>
    </w:rPr>
  </w:style>
  <w:style w:type="character" w:customStyle="1" w:styleId="NoSpacingChar">
    <w:name w:val="No Spacing Char"/>
    <w:basedOn w:val="DefaultParagraphFont"/>
    <w:link w:val="NoSpacing"/>
    <w:uiPriority w:val="1"/>
    <w:rsid w:val="000A0087"/>
    <w:rPr>
      <w:rFonts w:eastAsiaTheme="minorEastAsia"/>
      <w:lang w:val="en-US"/>
    </w:rPr>
  </w:style>
  <w:style w:type="paragraph" w:customStyle="1" w:styleId="Tables">
    <w:name w:val="Tables"/>
    <w:basedOn w:val="Figures"/>
    <w:qFormat/>
    <w:rsid w:val="000A0087"/>
    <w:pPr>
      <w:spacing w:before="120" w:after="120"/>
      <w:ind w:left="-142"/>
    </w:pPr>
  </w:style>
  <w:style w:type="paragraph" w:styleId="Revision">
    <w:name w:val="Revision"/>
    <w:hidden/>
    <w:uiPriority w:val="99"/>
    <w:semiHidden/>
    <w:rsid w:val="000A0087"/>
    <w:pPr>
      <w:spacing w:after="0" w:line="240" w:lineRule="auto"/>
    </w:pPr>
    <w:rPr>
      <w:color w:val="4D4D4F" w:themeColor="text1"/>
      <w:sz w:val="24"/>
    </w:rPr>
  </w:style>
  <w:style w:type="character" w:styleId="FollowedHyperlink">
    <w:name w:val="FollowedHyperlink"/>
    <w:basedOn w:val="DefaultParagraphFont"/>
    <w:uiPriority w:val="99"/>
    <w:semiHidden/>
    <w:unhideWhenUsed/>
    <w:rsid w:val="000A0087"/>
    <w:rPr>
      <w:color w:val="1C385D" w:themeColor="followedHyperlink"/>
      <w:u w:val="single"/>
    </w:rPr>
  </w:style>
  <w:style w:type="character" w:styleId="Emphasis">
    <w:name w:val="Emphasis"/>
    <w:basedOn w:val="DefaultParagraphFont"/>
    <w:uiPriority w:val="20"/>
    <w:qFormat/>
    <w:rsid w:val="000A0087"/>
    <w:rPr>
      <w:i/>
      <w:iCs/>
    </w:rPr>
  </w:style>
  <w:style w:type="paragraph" w:customStyle="1" w:styleId="epatitle">
    <w:name w:val="epatitle"/>
    <w:basedOn w:val="Normal"/>
    <w:rsid w:val="000A0087"/>
    <w:pPr>
      <w:keepNext/>
      <w:overflowPunct w:val="0"/>
      <w:autoSpaceDE w:val="0"/>
      <w:autoSpaceDN w:val="0"/>
      <w:spacing w:before="1200" w:after="120" w:line="420" w:lineRule="atLeast"/>
      <w:ind w:left="709"/>
      <w:jc w:val="right"/>
    </w:pPr>
    <w:rPr>
      <w:rFonts w:ascii="Helvetica" w:eastAsia="Times New Roman" w:hAnsi="Helvetica" w:cs="Times New Roman"/>
      <w:color w:val="0000FF"/>
      <w:sz w:val="36"/>
      <w:szCs w:val="36"/>
      <w:lang w:eastAsia="en-AU"/>
    </w:rPr>
  </w:style>
  <w:style w:type="paragraph" w:styleId="Bibliography">
    <w:name w:val="Bibliography"/>
    <w:basedOn w:val="Normal"/>
    <w:next w:val="Normal"/>
    <w:uiPriority w:val="37"/>
    <w:semiHidden/>
    <w:unhideWhenUsed/>
    <w:rsid w:val="000A0087"/>
    <w:pPr>
      <w:spacing w:before="200" w:after="0"/>
    </w:pPr>
  </w:style>
  <w:style w:type="paragraph" w:styleId="BlockText">
    <w:name w:val="Block Text"/>
    <w:basedOn w:val="Normal"/>
    <w:uiPriority w:val="99"/>
    <w:semiHidden/>
    <w:unhideWhenUsed/>
    <w:rsid w:val="000A0087"/>
    <w:pPr>
      <w:pBdr>
        <w:top w:val="single" w:sz="2" w:space="10" w:color="2F5E9D" w:themeColor="accent1" w:frame="1"/>
        <w:left w:val="single" w:sz="2" w:space="10" w:color="2F5E9D" w:themeColor="accent1" w:frame="1"/>
        <w:bottom w:val="single" w:sz="2" w:space="10" w:color="2F5E9D" w:themeColor="accent1" w:frame="1"/>
        <w:right w:val="single" w:sz="2" w:space="10" w:color="2F5E9D" w:themeColor="accent1" w:frame="1"/>
      </w:pBdr>
      <w:spacing w:before="200" w:after="0"/>
      <w:ind w:left="1152" w:right="1152"/>
    </w:pPr>
    <w:rPr>
      <w:rFonts w:eastAsiaTheme="minorEastAsia"/>
      <w:i/>
      <w:iCs/>
      <w:color w:val="2F5E9D" w:themeColor="accent1"/>
    </w:rPr>
  </w:style>
  <w:style w:type="paragraph" w:styleId="BodyText">
    <w:name w:val="Body Text"/>
    <w:basedOn w:val="Normal"/>
    <w:link w:val="BodyTextChar"/>
    <w:uiPriority w:val="99"/>
    <w:semiHidden/>
    <w:unhideWhenUsed/>
    <w:rsid w:val="000A0087"/>
    <w:pPr>
      <w:spacing w:before="200" w:after="120"/>
    </w:pPr>
  </w:style>
  <w:style w:type="character" w:customStyle="1" w:styleId="BodyTextChar">
    <w:name w:val="Body Text Char"/>
    <w:basedOn w:val="DefaultParagraphFont"/>
    <w:link w:val="BodyText"/>
    <w:uiPriority w:val="99"/>
    <w:semiHidden/>
    <w:rsid w:val="000A0087"/>
    <w:rPr>
      <w:color w:val="4D4D4F" w:themeColor="text1"/>
      <w:sz w:val="24"/>
    </w:rPr>
  </w:style>
  <w:style w:type="paragraph" w:styleId="BodyText2">
    <w:name w:val="Body Text 2"/>
    <w:basedOn w:val="Normal"/>
    <w:link w:val="BodyText2Char"/>
    <w:uiPriority w:val="99"/>
    <w:semiHidden/>
    <w:unhideWhenUsed/>
    <w:rsid w:val="000A0087"/>
    <w:pPr>
      <w:spacing w:before="200" w:after="120" w:line="480" w:lineRule="auto"/>
    </w:pPr>
  </w:style>
  <w:style w:type="character" w:customStyle="1" w:styleId="BodyText2Char">
    <w:name w:val="Body Text 2 Char"/>
    <w:basedOn w:val="DefaultParagraphFont"/>
    <w:link w:val="BodyText2"/>
    <w:uiPriority w:val="99"/>
    <w:semiHidden/>
    <w:rsid w:val="000A0087"/>
    <w:rPr>
      <w:color w:val="4D4D4F" w:themeColor="text1"/>
      <w:sz w:val="24"/>
    </w:rPr>
  </w:style>
  <w:style w:type="paragraph" w:styleId="BodyText3">
    <w:name w:val="Body Text 3"/>
    <w:basedOn w:val="Normal"/>
    <w:link w:val="BodyText3Char"/>
    <w:uiPriority w:val="99"/>
    <w:semiHidden/>
    <w:unhideWhenUsed/>
    <w:rsid w:val="000A0087"/>
    <w:pPr>
      <w:spacing w:before="200" w:after="120"/>
    </w:pPr>
    <w:rPr>
      <w:sz w:val="16"/>
      <w:szCs w:val="16"/>
    </w:rPr>
  </w:style>
  <w:style w:type="character" w:customStyle="1" w:styleId="BodyText3Char">
    <w:name w:val="Body Text 3 Char"/>
    <w:basedOn w:val="DefaultParagraphFont"/>
    <w:link w:val="BodyText3"/>
    <w:uiPriority w:val="99"/>
    <w:semiHidden/>
    <w:rsid w:val="000A0087"/>
    <w:rPr>
      <w:color w:val="4D4D4F" w:themeColor="text1"/>
      <w:sz w:val="16"/>
      <w:szCs w:val="16"/>
    </w:rPr>
  </w:style>
  <w:style w:type="paragraph" w:styleId="BodyTextFirstIndent">
    <w:name w:val="Body Text First Indent"/>
    <w:basedOn w:val="BodyText"/>
    <w:link w:val="BodyTextFirstIndentChar"/>
    <w:uiPriority w:val="99"/>
    <w:semiHidden/>
    <w:unhideWhenUsed/>
    <w:rsid w:val="000A0087"/>
    <w:pPr>
      <w:spacing w:after="0"/>
      <w:ind w:firstLine="360"/>
    </w:pPr>
  </w:style>
  <w:style w:type="character" w:customStyle="1" w:styleId="BodyTextFirstIndentChar">
    <w:name w:val="Body Text First Indent Char"/>
    <w:basedOn w:val="BodyTextChar"/>
    <w:link w:val="BodyTextFirstIndent"/>
    <w:uiPriority w:val="99"/>
    <w:semiHidden/>
    <w:rsid w:val="000A0087"/>
    <w:rPr>
      <w:color w:val="4D4D4F" w:themeColor="text1"/>
      <w:sz w:val="24"/>
    </w:rPr>
  </w:style>
  <w:style w:type="paragraph" w:styleId="BodyTextIndent">
    <w:name w:val="Body Text Indent"/>
    <w:basedOn w:val="Normal"/>
    <w:link w:val="BodyTextIndentChar"/>
    <w:uiPriority w:val="99"/>
    <w:semiHidden/>
    <w:unhideWhenUsed/>
    <w:rsid w:val="000A0087"/>
    <w:pPr>
      <w:spacing w:before="200" w:after="120"/>
      <w:ind w:left="283"/>
    </w:pPr>
  </w:style>
  <w:style w:type="character" w:customStyle="1" w:styleId="BodyTextIndentChar">
    <w:name w:val="Body Text Indent Char"/>
    <w:basedOn w:val="DefaultParagraphFont"/>
    <w:link w:val="BodyTextIndent"/>
    <w:uiPriority w:val="99"/>
    <w:semiHidden/>
    <w:rsid w:val="000A0087"/>
    <w:rPr>
      <w:color w:val="4D4D4F" w:themeColor="text1"/>
      <w:sz w:val="24"/>
    </w:rPr>
  </w:style>
  <w:style w:type="paragraph" w:styleId="BodyTextFirstIndent2">
    <w:name w:val="Body Text First Indent 2"/>
    <w:basedOn w:val="BodyTextIndent"/>
    <w:link w:val="BodyTextFirstIndent2Char"/>
    <w:uiPriority w:val="99"/>
    <w:semiHidden/>
    <w:unhideWhenUsed/>
    <w:rsid w:val="000A0087"/>
    <w:pPr>
      <w:spacing w:after="0"/>
      <w:ind w:left="360" w:firstLine="360"/>
    </w:pPr>
  </w:style>
  <w:style w:type="character" w:customStyle="1" w:styleId="BodyTextFirstIndent2Char">
    <w:name w:val="Body Text First Indent 2 Char"/>
    <w:basedOn w:val="BodyTextIndentChar"/>
    <w:link w:val="BodyTextFirstIndent2"/>
    <w:uiPriority w:val="99"/>
    <w:semiHidden/>
    <w:rsid w:val="000A0087"/>
    <w:rPr>
      <w:color w:val="4D4D4F" w:themeColor="text1"/>
      <w:sz w:val="24"/>
    </w:rPr>
  </w:style>
  <w:style w:type="paragraph" w:styleId="BodyTextIndent2">
    <w:name w:val="Body Text Indent 2"/>
    <w:basedOn w:val="Normal"/>
    <w:link w:val="BodyTextIndent2Char"/>
    <w:uiPriority w:val="99"/>
    <w:semiHidden/>
    <w:unhideWhenUsed/>
    <w:rsid w:val="000A0087"/>
    <w:pPr>
      <w:spacing w:before="200" w:after="120" w:line="480" w:lineRule="auto"/>
      <w:ind w:left="283"/>
    </w:pPr>
  </w:style>
  <w:style w:type="character" w:customStyle="1" w:styleId="BodyTextIndent2Char">
    <w:name w:val="Body Text Indent 2 Char"/>
    <w:basedOn w:val="DefaultParagraphFont"/>
    <w:link w:val="BodyTextIndent2"/>
    <w:uiPriority w:val="99"/>
    <w:semiHidden/>
    <w:rsid w:val="000A0087"/>
    <w:rPr>
      <w:color w:val="4D4D4F" w:themeColor="text1"/>
      <w:sz w:val="24"/>
    </w:rPr>
  </w:style>
  <w:style w:type="paragraph" w:styleId="BodyTextIndent3">
    <w:name w:val="Body Text Indent 3"/>
    <w:basedOn w:val="Normal"/>
    <w:link w:val="BodyTextIndent3Char"/>
    <w:uiPriority w:val="99"/>
    <w:semiHidden/>
    <w:unhideWhenUsed/>
    <w:rsid w:val="000A0087"/>
    <w:pPr>
      <w:spacing w:before="200" w:after="120"/>
      <w:ind w:left="283"/>
    </w:pPr>
    <w:rPr>
      <w:sz w:val="16"/>
      <w:szCs w:val="16"/>
    </w:rPr>
  </w:style>
  <w:style w:type="character" w:customStyle="1" w:styleId="BodyTextIndent3Char">
    <w:name w:val="Body Text Indent 3 Char"/>
    <w:basedOn w:val="DefaultParagraphFont"/>
    <w:link w:val="BodyTextIndent3"/>
    <w:uiPriority w:val="99"/>
    <w:semiHidden/>
    <w:rsid w:val="000A0087"/>
    <w:rPr>
      <w:color w:val="4D4D4F" w:themeColor="text1"/>
      <w:sz w:val="16"/>
      <w:szCs w:val="16"/>
    </w:rPr>
  </w:style>
  <w:style w:type="paragraph" w:styleId="Caption">
    <w:name w:val="caption"/>
    <w:basedOn w:val="Normal"/>
    <w:next w:val="Normal"/>
    <w:uiPriority w:val="35"/>
    <w:semiHidden/>
    <w:unhideWhenUsed/>
    <w:qFormat/>
    <w:rsid w:val="000A0087"/>
    <w:pPr>
      <w:spacing w:line="240" w:lineRule="auto"/>
    </w:pPr>
    <w:rPr>
      <w:b/>
      <w:bCs/>
      <w:color w:val="2F5E9D" w:themeColor="accent1"/>
      <w:sz w:val="18"/>
      <w:szCs w:val="18"/>
    </w:rPr>
  </w:style>
  <w:style w:type="paragraph" w:styleId="Closing">
    <w:name w:val="Closing"/>
    <w:basedOn w:val="Normal"/>
    <w:link w:val="ClosingChar"/>
    <w:uiPriority w:val="99"/>
    <w:semiHidden/>
    <w:unhideWhenUsed/>
    <w:rsid w:val="000A0087"/>
    <w:pPr>
      <w:spacing w:after="0" w:line="240" w:lineRule="auto"/>
      <w:ind w:left="4252"/>
    </w:pPr>
  </w:style>
  <w:style w:type="character" w:customStyle="1" w:styleId="ClosingChar">
    <w:name w:val="Closing Char"/>
    <w:basedOn w:val="DefaultParagraphFont"/>
    <w:link w:val="Closing"/>
    <w:uiPriority w:val="99"/>
    <w:semiHidden/>
    <w:rsid w:val="000A0087"/>
    <w:rPr>
      <w:color w:val="4D4D4F" w:themeColor="text1"/>
      <w:sz w:val="24"/>
    </w:rPr>
  </w:style>
  <w:style w:type="paragraph" w:styleId="Date">
    <w:name w:val="Date"/>
    <w:basedOn w:val="Normal"/>
    <w:next w:val="Normal"/>
    <w:link w:val="DateChar"/>
    <w:uiPriority w:val="99"/>
    <w:semiHidden/>
    <w:unhideWhenUsed/>
    <w:rsid w:val="000A0087"/>
    <w:pPr>
      <w:spacing w:before="200" w:after="0"/>
    </w:pPr>
  </w:style>
  <w:style w:type="character" w:customStyle="1" w:styleId="DateChar">
    <w:name w:val="Date Char"/>
    <w:basedOn w:val="DefaultParagraphFont"/>
    <w:link w:val="Date"/>
    <w:uiPriority w:val="99"/>
    <w:semiHidden/>
    <w:rsid w:val="000A0087"/>
    <w:rPr>
      <w:color w:val="4D4D4F" w:themeColor="text1"/>
      <w:sz w:val="24"/>
    </w:rPr>
  </w:style>
  <w:style w:type="paragraph" w:styleId="DocumentMap">
    <w:name w:val="Document Map"/>
    <w:basedOn w:val="Normal"/>
    <w:link w:val="DocumentMapChar"/>
    <w:uiPriority w:val="99"/>
    <w:semiHidden/>
    <w:unhideWhenUsed/>
    <w:rsid w:val="000A0087"/>
    <w:pPr>
      <w:spacing w:after="0" w:line="240" w:lineRule="auto"/>
    </w:pPr>
    <w:rPr>
      <w:rFonts w:ascii="Tahoma" w:hAnsi="Tahoma" w:cs="Tahoma"/>
      <w:sz w:val="16"/>
      <w:szCs w:val="16"/>
    </w:rPr>
  </w:style>
  <w:style w:type="character" w:customStyle="1" w:styleId="DocumentMapChar">
    <w:name w:val="Document Map Char"/>
    <w:basedOn w:val="DefaultParagraphFont"/>
    <w:link w:val="DocumentMap"/>
    <w:uiPriority w:val="99"/>
    <w:semiHidden/>
    <w:rsid w:val="000A0087"/>
    <w:rPr>
      <w:rFonts w:ascii="Tahoma" w:hAnsi="Tahoma" w:cs="Tahoma"/>
      <w:color w:val="4D4D4F" w:themeColor="text1"/>
      <w:sz w:val="16"/>
      <w:szCs w:val="16"/>
    </w:rPr>
  </w:style>
  <w:style w:type="paragraph" w:styleId="E-mailSignature">
    <w:name w:val="E-mail Signature"/>
    <w:basedOn w:val="Normal"/>
    <w:link w:val="E-mailSignatureChar"/>
    <w:uiPriority w:val="99"/>
    <w:semiHidden/>
    <w:unhideWhenUsed/>
    <w:rsid w:val="000A0087"/>
    <w:pPr>
      <w:spacing w:after="0" w:line="240" w:lineRule="auto"/>
    </w:pPr>
  </w:style>
  <w:style w:type="character" w:customStyle="1" w:styleId="E-mailSignatureChar">
    <w:name w:val="E-mail Signature Char"/>
    <w:basedOn w:val="DefaultParagraphFont"/>
    <w:link w:val="E-mailSignature"/>
    <w:uiPriority w:val="99"/>
    <w:semiHidden/>
    <w:rsid w:val="000A0087"/>
    <w:rPr>
      <w:color w:val="4D4D4F" w:themeColor="text1"/>
      <w:sz w:val="24"/>
    </w:rPr>
  </w:style>
  <w:style w:type="paragraph" w:styleId="EndnoteText">
    <w:name w:val="endnote text"/>
    <w:basedOn w:val="Normal"/>
    <w:link w:val="EndnoteTextChar"/>
    <w:uiPriority w:val="99"/>
    <w:semiHidden/>
    <w:unhideWhenUsed/>
    <w:rsid w:val="000A0087"/>
    <w:pPr>
      <w:spacing w:after="0" w:line="240" w:lineRule="auto"/>
    </w:pPr>
    <w:rPr>
      <w:sz w:val="20"/>
      <w:szCs w:val="20"/>
    </w:rPr>
  </w:style>
  <w:style w:type="character" w:customStyle="1" w:styleId="EndnoteTextChar">
    <w:name w:val="Endnote Text Char"/>
    <w:basedOn w:val="DefaultParagraphFont"/>
    <w:link w:val="EndnoteText"/>
    <w:uiPriority w:val="99"/>
    <w:semiHidden/>
    <w:rsid w:val="000A0087"/>
    <w:rPr>
      <w:color w:val="4D4D4F" w:themeColor="text1"/>
      <w:sz w:val="20"/>
      <w:szCs w:val="20"/>
    </w:rPr>
  </w:style>
  <w:style w:type="paragraph" w:styleId="EnvelopeAddress">
    <w:name w:val="envelope address"/>
    <w:basedOn w:val="Normal"/>
    <w:uiPriority w:val="99"/>
    <w:semiHidden/>
    <w:unhideWhenUsed/>
    <w:rsid w:val="000A0087"/>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0A0087"/>
    <w:pPr>
      <w:spacing w:after="0" w:line="240" w:lineRule="auto"/>
    </w:pPr>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0A0087"/>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0A0087"/>
    <w:rPr>
      <w:color w:val="4D4D4F" w:themeColor="text1"/>
      <w:sz w:val="20"/>
      <w:szCs w:val="20"/>
    </w:rPr>
  </w:style>
  <w:style w:type="paragraph" w:styleId="HTMLAddress">
    <w:name w:val="HTML Address"/>
    <w:basedOn w:val="Normal"/>
    <w:link w:val="HTMLAddressChar"/>
    <w:uiPriority w:val="99"/>
    <w:semiHidden/>
    <w:unhideWhenUsed/>
    <w:rsid w:val="000A0087"/>
    <w:pPr>
      <w:spacing w:after="0" w:line="240" w:lineRule="auto"/>
    </w:pPr>
    <w:rPr>
      <w:i/>
      <w:iCs/>
    </w:rPr>
  </w:style>
  <w:style w:type="character" w:customStyle="1" w:styleId="HTMLAddressChar">
    <w:name w:val="HTML Address Char"/>
    <w:basedOn w:val="DefaultParagraphFont"/>
    <w:link w:val="HTMLAddress"/>
    <w:uiPriority w:val="99"/>
    <w:semiHidden/>
    <w:rsid w:val="000A0087"/>
    <w:rPr>
      <w:i/>
      <w:iCs/>
      <w:color w:val="4D4D4F" w:themeColor="text1"/>
      <w:sz w:val="24"/>
    </w:rPr>
  </w:style>
  <w:style w:type="paragraph" w:styleId="HTMLPreformatted">
    <w:name w:val="HTML Preformatted"/>
    <w:basedOn w:val="Normal"/>
    <w:link w:val="HTMLPreformattedChar"/>
    <w:uiPriority w:val="99"/>
    <w:semiHidden/>
    <w:unhideWhenUsed/>
    <w:rsid w:val="000A0087"/>
    <w:pPr>
      <w:spacing w:after="0" w:line="240" w:lineRule="auto"/>
    </w:pPr>
    <w:rPr>
      <w:rFonts w:ascii="Consolas" w:hAnsi="Consolas" w:cs="Consolas"/>
      <w:sz w:val="20"/>
      <w:szCs w:val="20"/>
    </w:rPr>
  </w:style>
  <w:style w:type="character" w:customStyle="1" w:styleId="HTMLPreformattedChar">
    <w:name w:val="HTML Preformatted Char"/>
    <w:basedOn w:val="DefaultParagraphFont"/>
    <w:link w:val="HTMLPreformatted"/>
    <w:uiPriority w:val="99"/>
    <w:semiHidden/>
    <w:rsid w:val="000A0087"/>
    <w:rPr>
      <w:rFonts w:ascii="Consolas" w:hAnsi="Consolas" w:cs="Consolas"/>
      <w:color w:val="4D4D4F" w:themeColor="text1"/>
      <w:sz w:val="20"/>
      <w:szCs w:val="20"/>
    </w:rPr>
  </w:style>
  <w:style w:type="paragraph" w:styleId="Index1">
    <w:name w:val="index 1"/>
    <w:basedOn w:val="Normal"/>
    <w:next w:val="Normal"/>
    <w:autoRedefine/>
    <w:uiPriority w:val="99"/>
    <w:semiHidden/>
    <w:unhideWhenUsed/>
    <w:rsid w:val="000A0087"/>
    <w:pPr>
      <w:spacing w:after="0" w:line="240" w:lineRule="auto"/>
      <w:ind w:left="240" w:hanging="240"/>
    </w:pPr>
  </w:style>
  <w:style w:type="paragraph" w:styleId="Index2">
    <w:name w:val="index 2"/>
    <w:basedOn w:val="Normal"/>
    <w:next w:val="Normal"/>
    <w:autoRedefine/>
    <w:uiPriority w:val="99"/>
    <w:semiHidden/>
    <w:unhideWhenUsed/>
    <w:rsid w:val="000A0087"/>
    <w:pPr>
      <w:spacing w:after="0" w:line="240" w:lineRule="auto"/>
      <w:ind w:left="480" w:hanging="240"/>
    </w:pPr>
  </w:style>
  <w:style w:type="paragraph" w:styleId="Index3">
    <w:name w:val="index 3"/>
    <w:basedOn w:val="Normal"/>
    <w:next w:val="Normal"/>
    <w:autoRedefine/>
    <w:uiPriority w:val="99"/>
    <w:semiHidden/>
    <w:unhideWhenUsed/>
    <w:rsid w:val="000A0087"/>
    <w:pPr>
      <w:spacing w:after="0" w:line="240" w:lineRule="auto"/>
      <w:ind w:left="720" w:hanging="240"/>
    </w:pPr>
  </w:style>
  <w:style w:type="paragraph" w:styleId="Index4">
    <w:name w:val="index 4"/>
    <w:basedOn w:val="Normal"/>
    <w:next w:val="Normal"/>
    <w:autoRedefine/>
    <w:uiPriority w:val="99"/>
    <w:semiHidden/>
    <w:unhideWhenUsed/>
    <w:rsid w:val="000A0087"/>
    <w:pPr>
      <w:spacing w:after="0" w:line="240" w:lineRule="auto"/>
      <w:ind w:left="960" w:hanging="240"/>
    </w:pPr>
  </w:style>
  <w:style w:type="paragraph" w:styleId="Index5">
    <w:name w:val="index 5"/>
    <w:basedOn w:val="Normal"/>
    <w:next w:val="Normal"/>
    <w:autoRedefine/>
    <w:uiPriority w:val="99"/>
    <w:semiHidden/>
    <w:unhideWhenUsed/>
    <w:rsid w:val="000A0087"/>
    <w:pPr>
      <w:spacing w:after="0" w:line="240" w:lineRule="auto"/>
      <w:ind w:left="1200" w:hanging="240"/>
    </w:pPr>
  </w:style>
  <w:style w:type="paragraph" w:styleId="Index6">
    <w:name w:val="index 6"/>
    <w:basedOn w:val="Normal"/>
    <w:next w:val="Normal"/>
    <w:autoRedefine/>
    <w:uiPriority w:val="99"/>
    <w:semiHidden/>
    <w:unhideWhenUsed/>
    <w:rsid w:val="000A0087"/>
    <w:pPr>
      <w:spacing w:after="0" w:line="240" w:lineRule="auto"/>
      <w:ind w:left="1440" w:hanging="240"/>
    </w:pPr>
  </w:style>
  <w:style w:type="paragraph" w:styleId="Index7">
    <w:name w:val="index 7"/>
    <w:basedOn w:val="Normal"/>
    <w:next w:val="Normal"/>
    <w:autoRedefine/>
    <w:uiPriority w:val="99"/>
    <w:semiHidden/>
    <w:unhideWhenUsed/>
    <w:rsid w:val="000A0087"/>
    <w:pPr>
      <w:spacing w:after="0" w:line="240" w:lineRule="auto"/>
      <w:ind w:left="1680" w:hanging="240"/>
    </w:pPr>
  </w:style>
  <w:style w:type="paragraph" w:styleId="Index8">
    <w:name w:val="index 8"/>
    <w:basedOn w:val="Normal"/>
    <w:next w:val="Normal"/>
    <w:autoRedefine/>
    <w:uiPriority w:val="99"/>
    <w:semiHidden/>
    <w:unhideWhenUsed/>
    <w:rsid w:val="000A0087"/>
    <w:pPr>
      <w:spacing w:after="0" w:line="240" w:lineRule="auto"/>
      <w:ind w:left="1920" w:hanging="240"/>
    </w:pPr>
  </w:style>
  <w:style w:type="paragraph" w:styleId="Index9">
    <w:name w:val="index 9"/>
    <w:basedOn w:val="Normal"/>
    <w:next w:val="Normal"/>
    <w:autoRedefine/>
    <w:uiPriority w:val="99"/>
    <w:semiHidden/>
    <w:unhideWhenUsed/>
    <w:rsid w:val="000A0087"/>
    <w:pPr>
      <w:spacing w:after="0" w:line="240" w:lineRule="auto"/>
      <w:ind w:left="2160" w:hanging="240"/>
    </w:pPr>
  </w:style>
  <w:style w:type="paragraph" w:styleId="IndexHeading">
    <w:name w:val="index heading"/>
    <w:basedOn w:val="Normal"/>
    <w:next w:val="Index1"/>
    <w:uiPriority w:val="99"/>
    <w:semiHidden/>
    <w:unhideWhenUsed/>
    <w:rsid w:val="000A0087"/>
    <w:pPr>
      <w:spacing w:before="200" w:after="0"/>
    </w:pPr>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A0087"/>
    <w:pPr>
      <w:pBdr>
        <w:bottom w:val="single" w:sz="4" w:space="4" w:color="2F5E9D" w:themeColor="accent1"/>
      </w:pBdr>
      <w:spacing w:before="200" w:after="280"/>
      <w:ind w:left="936" w:right="936"/>
    </w:pPr>
    <w:rPr>
      <w:b/>
      <w:bCs/>
      <w:i/>
      <w:iCs/>
      <w:color w:val="2F5E9D" w:themeColor="accent1"/>
    </w:rPr>
  </w:style>
  <w:style w:type="character" w:customStyle="1" w:styleId="IntenseQuoteChar">
    <w:name w:val="Intense Quote Char"/>
    <w:basedOn w:val="DefaultParagraphFont"/>
    <w:link w:val="IntenseQuote"/>
    <w:uiPriority w:val="30"/>
    <w:rsid w:val="000A0087"/>
    <w:rPr>
      <w:b/>
      <w:bCs/>
      <w:i/>
      <w:iCs/>
      <w:color w:val="2F5E9D" w:themeColor="accent1"/>
      <w:sz w:val="24"/>
    </w:rPr>
  </w:style>
  <w:style w:type="paragraph" w:styleId="List">
    <w:name w:val="List"/>
    <w:basedOn w:val="Normal"/>
    <w:uiPriority w:val="99"/>
    <w:semiHidden/>
    <w:unhideWhenUsed/>
    <w:rsid w:val="000A0087"/>
    <w:pPr>
      <w:spacing w:before="200" w:after="0"/>
      <w:ind w:left="283" w:hanging="283"/>
      <w:contextualSpacing/>
    </w:pPr>
  </w:style>
  <w:style w:type="paragraph" w:styleId="List2">
    <w:name w:val="List 2"/>
    <w:basedOn w:val="Normal"/>
    <w:uiPriority w:val="99"/>
    <w:semiHidden/>
    <w:unhideWhenUsed/>
    <w:rsid w:val="000A0087"/>
    <w:pPr>
      <w:spacing w:before="200" w:after="0"/>
      <w:ind w:left="566" w:hanging="283"/>
      <w:contextualSpacing/>
    </w:pPr>
  </w:style>
  <w:style w:type="paragraph" w:styleId="List3">
    <w:name w:val="List 3"/>
    <w:basedOn w:val="Normal"/>
    <w:uiPriority w:val="99"/>
    <w:semiHidden/>
    <w:unhideWhenUsed/>
    <w:rsid w:val="000A0087"/>
    <w:pPr>
      <w:spacing w:before="200" w:after="0"/>
      <w:ind w:left="849" w:hanging="283"/>
      <w:contextualSpacing/>
    </w:pPr>
  </w:style>
  <w:style w:type="paragraph" w:styleId="List4">
    <w:name w:val="List 4"/>
    <w:basedOn w:val="Normal"/>
    <w:uiPriority w:val="99"/>
    <w:semiHidden/>
    <w:unhideWhenUsed/>
    <w:rsid w:val="000A0087"/>
    <w:pPr>
      <w:spacing w:before="200" w:after="0"/>
      <w:ind w:left="1132" w:hanging="283"/>
      <w:contextualSpacing/>
    </w:pPr>
  </w:style>
  <w:style w:type="paragraph" w:styleId="List5">
    <w:name w:val="List 5"/>
    <w:basedOn w:val="Normal"/>
    <w:uiPriority w:val="99"/>
    <w:semiHidden/>
    <w:unhideWhenUsed/>
    <w:rsid w:val="000A0087"/>
    <w:pPr>
      <w:spacing w:before="200" w:after="0"/>
      <w:ind w:left="1415" w:hanging="283"/>
      <w:contextualSpacing/>
    </w:pPr>
  </w:style>
  <w:style w:type="paragraph" w:styleId="ListBullet">
    <w:name w:val="List Bullet"/>
    <w:basedOn w:val="Normal"/>
    <w:uiPriority w:val="99"/>
    <w:semiHidden/>
    <w:unhideWhenUsed/>
    <w:rsid w:val="000A0087"/>
    <w:pPr>
      <w:numPr>
        <w:numId w:val="16"/>
      </w:numPr>
      <w:spacing w:before="200" w:after="0"/>
      <w:contextualSpacing/>
    </w:pPr>
  </w:style>
  <w:style w:type="paragraph" w:styleId="ListBullet2">
    <w:name w:val="List Bullet 2"/>
    <w:basedOn w:val="Normal"/>
    <w:uiPriority w:val="99"/>
    <w:semiHidden/>
    <w:unhideWhenUsed/>
    <w:rsid w:val="000A0087"/>
    <w:pPr>
      <w:numPr>
        <w:numId w:val="17"/>
      </w:numPr>
      <w:spacing w:before="200" w:after="0"/>
      <w:contextualSpacing/>
    </w:pPr>
  </w:style>
  <w:style w:type="paragraph" w:styleId="ListBullet3">
    <w:name w:val="List Bullet 3"/>
    <w:basedOn w:val="Normal"/>
    <w:uiPriority w:val="99"/>
    <w:semiHidden/>
    <w:unhideWhenUsed/>
    <w:rsid w:val="000A0087"/>
    <w:pPr>
      <w:numPr>
        <w:numId w:val="18"/>
      </w:numPr>
      <w:spacing w:before="200" w:after="0"/>
      <w:contextualSpacing/>
    </w:pPr>
  </w:style>
  <w:style w:type="paragraph" w:styleId="ListBullet4">
    <w:name w:val="List Bullet 4"/>
    <w:basedOn w:val="Normal"/>
    <w:uiPriority w:val="99"/>
    <w:semiHidden/>
    <w:unhideWhenUsed/>
    <w:rsid w:val="000A0087"/>
    <w:pPr>
      <w:numPr>
        <w:numId w:val="19"/>
      </w:numPr>
      <w:spacing w:before="200" w:after="0"/>
      <w:contextualSpacing/>
    </w:pPr>
  </w:style>
  <w:style w:type="paragraph" w:styleId="ListBullet5">
    <w:name w:val="List Bullet 5"/>
    <w:basedOn w:val="Normal"/>
    <w:uiPriority w:val="99"/>
    <w:semiHidden/>
    <w:unhideWhenUsed/>
    <w:rsid w:val="000A0087"/>
    <w:pPr>
      <w:numPr>
        <w:numId w:val="20"/>
      </w:numPr>
      <w:spacing w:before="200" w:after="0"/>
      <w:contextualSpacing/>
    </w:pPr>
  </w:style>
  <w:style w:type="paragraph" w:styleId="ListContinue">
    <w:name w:val="List Continue"/>
    <w:basedOn w:val="Normal"/>
    <w:uiPriority w:val="99"/>
    <w:semiHidden/>
    <w:unhideWhenUsed/>
    <w:rsid w:val="000A0087"/>
    <w:pPr>
      <w:spacing w:before="200" w:after="120"/>
      <w:ind w:left="283"/>
      <w:contextualSpacing/>
    </w:pPr>
  </w:style>
  <w:style w:type="paragraph" w:styleId="ListContinue2">
    <w:name w:val="List Continue 2"/>
    <w:basedOn w:val="Normal"/>
    <w:uiPriority w:val="99"/>
    <w:semiHidden/>
    <w:unhideWhenUsed/>
    <w:rsid w:val="000A0087"/>
    <w:pPr>
      <w:spacing w:before="200" w:after="120"/>
      <w:ind w:left="566"/>
      <w:contextualSpacing/>
    </w:pPr>
  </w:style>
  <w:style w:type="paragraph" w:styleId="ListContinue3">
    <w:name w:val="List Continue 3"/>
    <w:basedOn w:val="Normal"/>
    <w:uiPriority w:val="99"/>
    <w:semiHidden/>
    <w:unhideWhenUsed/>
    <w:rsid w:val="000A0087"/>
    <w:pPr>
      <w:spacing w:before="200" w:after="120"/>
      <w:ind w:left="849"/>
      <w:contextualSpacing/>
    </w:pPr>
  </w:style>
  <w:style w:type="paragraph" w:styleId="ListContinue4">
    <w:name w:val="List Continue 4"/>
    <w:basedOn w:val="Normal"/>
    <w:uiPriority w:val="99"/>
    <w:semiHidden/>
    <w:unhideWhenUsed/>
    <w:rsid w:val="000A0087"/>
    <w:pPr>
      <w:spacing w:before="200" w:after="120"/>
      <w:ind w:left="1132"/>
      <w:contextualSpacing/>
    </w:pPr>
  </w:style>
  <w:style w:type="paragraph" w:styleId="ListContinue5">
    <w:name w:val="List Continue 5"/>
    <w:basedOn w:val="Normal"/>
    <w:uiPriority w:val="99"/>
    <w:semiHidden/>
    <w:unhideWhenUsed/>
    <w:rsid w:val="000A0087"/>
    <w:pPr>
      <w:spacing w:before="200" w:after="120"/>
      <w:ind w:left="1415"/>
      <w:contextualSpacing/>
    </w:pPr>
  </w:style>
  <w:style w:type="paragraph" w:styleId="ListNumber">
    <w:name w:val="List Number"/>
    <w:basedOn w:val="Normal"/>
    <w:uiPriority w:val="99"/>
    <w:semiHidden/>
    <w:unhideWhenUsed/>
    <w:rsid w:val="000A0087"/>
    <w:pPr>
      <w:numPr>
        <w:numId w:val="21"/>
      </w:numPr>
      <w:spacing w:before="200" w:after="0"/>
      <w:contextualSpacing/>
    </w:pPr>
  </w:style>
  <w:style w:type="paragraph" w:styleId="ListNumber2">
    <w:name w:val="List Number 2"/>
    <w:basedOn w:val="Normal"/>
    <w:uiPriority w:val="99"/>
    <w:semiHidden/>
    <w:unhideWhenUsed/>
    <w:rsid w:val="000A0087"/>
    <w:pPr>
      <w:numPr>
        <w:numId w:val="22"/>
      </w:numPr>
      <w:spacing w:before="200" w:after="0"/>
      <w:contextualSpacing/>
    </w:pPr>
  </w:style>
  <w:style w:type="paragraph" w:styleId="ListNumber3">
    <w:name w:val="List Number 3"/>
    <w:basedOn w:val="Normal"/>
    <w:uiPriority w:val="99"/>
    <w:semiHidden/>
    <w:unhideWhenUsed/>
    <w:rsid w:val="000A0087"/>
    <w:pPr>
      <w:numPr>
        <w:numId w:val="23"/>
      </w:numPr>
      <w:spacing w:before="200" w:after="0"/>
      <w:contextualSpacing/>
    </w:pPr>
  </w:style>
  <w:style w:type="paragraph" w:styleId="ListNumber4">
    <w:name w:val="List Number 4"/>
    <w:basedOn w:val="Normal"/>
    <w:uiPriority w:val="99"/>
    <w:semiHidden/>
    <w:unhideWhenUsed/>
    <w:rsid w:val="000A0087"/>
    <w:pPr>
      <w:numPr>
        <w:numId w:val="24"/>
      </w:numPr>
      <w:spacing w:before="200" w:after="0"/>
      <w:contextualSpacing/>
    </w:pPr>
  </w:style>
  <w:style w:type="paragraph" w:styleId="ListNumber5">
    <w:name w:val="List Number 5"/>
    <w:basedOn w:val="Normal"/>
    <w:uiPriority w:val="99"/>
    <w:semiHidden/>
    <w:unhideWhenUsed/>
    <w:rsid w:val="000A0087"/>
    <w:pPr>
      <w:numPr>
        <w:numId w:val="25"/>
      </w:numPr>
      <w:spacing w:before="200" w:after="0"/>
      <w:contextualSpacing/>
    </w:pPr>
  </w:style>
  <w:style w:type="paragraph" w:styleId="MacroText">
    <w:name w:val="macro"/>
    <w:link w:val="MacroTextChar"/>
    <w:uiPriority w:val="99"/>
    <w:semiHidden/>
    <w:unhideWhenUsed/>
    <w:rsid w:val="000A0087"/>
    <w:pPr>
      <w:tabs>
        <w:tab w:val="left" w:pos="480"/>
        <w:tab w:val="left" w:pos="960"/>
        <w:tab w:val="left" w:pos="1440"/>
        <w:tab w:val="left" w:pos="1920"/>
        <w:tab w:val="left" w:pos="2400"/>
        <w:tab w:val="left" w:pos="2880"/>
        <w:tab w:val="left" w:pos="3360"/>
        <w:tab w:val="left" w:pos="3840"/>
        <w:tab w:val="left" w:pos="4320"/>
      </w:tabs>
      <w:spacing w:before="200" w:after="0"/>
    </w:pPr>
    <w:rPr>
      <w:rFonts w:ascii="Consolas" w:hAnsi="Consolas" w:cs="Consolas"/>
      <w:color w:val="4D4D4F" w:themeColor="text1"/>
      <w:sz w:val="20"/>
      <w:szCs w:val="20"/>
    </w:rPr>
  </w:style>
  <w:style w:type="character" w:customStyle="1" w:styleId="MacroTextChar">
    <w:name w:val="Macro Text Char"/>
    <w:basedOn w:val="DefaultParagraphFont"/>
    <w:link w:val="MacroText"/>
    <w:uiPriority w:val="99"/>
    <w:semiHidden/>
    <w:rsid w:val="000A0087"/>
    <w:rPr>
      <w:rFonts w:ascii="Consolas" w:hAnsi="Consolas" w:cs="Consolas"/>
      <w:color w:val="4D4D4F" w:themeColor="text1"/>
      <w:sz w:val="20"/>
      <w:szCs w:val="20"/>
    </w:rPr>
  </w:style>
  <w:style w:type="paragraph" w:styleId="MessageHeader">
    <w:name w:val="Message Header"/>
    <w:basedOn w:val="Normal"/>
    <w:link w:val="MessageHeaderChar"/>
    <w:uiPriority w:val="99"/>
    <w:semiHidden/>
    <w:unhideWhenUsed/>
    <w:rsid w:val="000A0087"/>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0A0087"/>
    <w:rPr>
      <w:rFonts w:asciiTheme="majorHAnsi" w:eastAsiaTheme="majorEastAsia" w:hAnsiTheme="majorHAnsi" w:cstheme="majorBidi"/>
      <w:color w:val="4D4D4F" w:themeColor="text1"/>
      <w:sz w:val="24"/>
      <w:szCs w:val="24"/>
      <w:shd w:val="pct20" w:color="auto" w:fill="auto"/>
    </w:rPr>
  </w:style>
  <w:style w:type="paragraph" w:styleId="NormalIndent">
    <w:name w:val="Normal Indent"/>
    <w:basedOn w:val="Normal"/>
    <w:uiPriority w:val="99"/>
    <w:semiHidden/>
    <w:unhideWhenUsed/>
    <w:rsid w:val="000A0087"/>
    <w:pPr>
      <w:spacing w:before="200" w:after="0"/>
      <w:ind w:left="720"/>
    </w:pPr>
  </w:style>
  <w:style w:type="paragraph" w:styleId="NoteHeading">
    <w:name w:val="Note Heading"/>
    <w:basedOn w:val="Normal"/>
    <w:next w:val="Normal"/>
    <w:link w:val="NoteHeadingChar"/>
    <w:uiPriority w:val="99"/>
    <w:semiHidden/>
    <w:unhideWhenUsed/>
    <w:rsid w:val="000A0087"/>
    <w:pPr>
      <w:spacing w:after="0" w:line="240" w:lineRule="auto"/>
    </w:pPr>
  </w:style>
  <w:style w:type="character" w:customStyle="1" w:styleId="NoteHeadingChar">
    <w:name w:val="Note Heading Char"/>
    <w:basedOn w:val="DefaultParagraphFont"/>
    <w:link w:val="NoteHeading"/>
    <w:uiPriority w:val="99"/>
    <w:semiHidden/>
    <w:rsid w:val="000A0087"/>
    <w:rPr>
      <w:color w:val="4D4D4F" w:themeColor="text1"/>
      <w:sz w:val="24"/>
    </w:rPr>
  </w:style>
  <w:style w:type="paragraph" w:styleId="PlainText">
    <w:name w:val="Plain Text"/>
    <w:basedOn w:val="Normal"/>
    <w:link w:val="PlainTextChar"/>
    <w:uiPriority w:val="99"/>
    <w:semiHidden/>
    <w:unhideWhenUsed/>
    <w:rsid w:val="000A0087"/>
    <w:pPr>
      <w:spacing w:after="0" w:line="240" w:lineRule="auto"/>
    </w:pPr>
    <w:rPr>
      <w:rFonts w:ascii="Consolas" w:hAnsi="Consolas" w:cs="Consolas"/>
      <w:sz w:val="21"/>
      <w:szCs w:val="21"/>
    </w:rPr>
  </w:style>
  <w:style w:type="character" w:customStyle="1" w:styleId="PlainTextChar">
    <w:name w:val="Plain Text Char"/>
    <w:basedOn w:val="DefaultParagraphFont"/>
    <w:link w:val="PlainText"/>
    <w:uiPriority w:val="99"/>
    <w:semiHidden/>
    <w:rsid w:val="000A0087"/>
    <w:rPr>
      <w:rFonts w:ascii="Consolas" w:hAnsi="Consolas" w:cs="Consolas"/>
      <w:color w:val="4D4D4F" w:themeColor="text1"/>
      <w:sz w:val="21"/>
      <w:szCs w:val="21"/>
    </w:rPr>
  </w:style>
  <w:style w:type="paragraph" w:styleId="Salutation">
    <w:name w:val="Salutation"/>
    <w:basedOn w:val="Normal"/>
    <w:next w:val="Normal"/>
    <w:link w:val="SalutationChar"/>
    <w:uiPriority w:val="99"/>
    <w:semiHidden/>
    <w:unhideWhenUsed/>
    <w:rsid w:val="000A0087"/>
    <w:pPr>
      <w:spacing w:before="200" w:after="0"/>
    </w:pPr>
  </w:style>
  <w:style w:type="character" w:customStyle="1" w:styleId="SalutationChar">
    <w:name w:val="Salutation Char"/>
    <w:basedOn w:val="DefaultParagraphFont"/>
    <w:link w:val="Salutation"/>
    <w:uiPriority w:val="99"/>
    <w:semiHidden/>
    <w:rsid w:val="000A0087"/>
    <w:rPr>
      <w:color w:val="4D4D4F" w:themeColor="text1"/>
      <w:sz w:val="24"/>
    </w:rPr>
  </w:style>
  <w:style w:type="paragraph" w:styleId="Signature">
    <w:name w:val="Signature"/>
    <w:basedOn w:val="Normal"/>
    <w:link w:val="SignatureChar"/>
    <w:uiPriority w:val="99"/>
    <w:semiHidden/>
    <w:unhideWhenUsed/>
    <w:rsid w:val="000A0087"/>
    <w:pPr>
      <w:spacing w:after="0" w:line="240" w:lineRule="auto"/>
      <w:ind w:left="4252"/>
    </w:pPr>
  </w:style>
  <w:style w:type="character" w:customStyle="1" w:styleId="SignatureChar">
    <w:name w:val="Signature Char"/>
    <w:basedOn w:val="DefaultParagraphFont"/>
    <w:link w:val="Signature"/>
    <w:uiPriority w:val="99"/>
    <w:semiHidden/>
    <w:rsid w:val="000A0087"/>
    <w:rPr>
      <w:color w:val="4D4D4F" w:themeColor="text1"/>
      <w:sz w:val="24"/>
    </w:rPr>
  </w:style>
  <w:style w:type="paragraph" w:styleId="Subtitle">
    <w:name w:val="Subtitle"/>
    <w:basedOn w:val="Normal"/>
    <w:next w:val="Normal"/>
    <w:link w:val="SubtitleChar"/>
    <w:uiPriority w:val="11"/>
    <w:qFormat/>
    <w:rsid w:val="000A0087"/>
    <w:pPr>
      <w:numPr>
        <w:ilvl w:val="1"/>
      </w:numPr>
      <w:spacing w:before="200" w:after="0"/>
    </w:pPr>
    <w:rPr>
      <w:rFonts w:asciiTheme="majorHAnsi" w:eastAsiaTheme="majorEastAsia" w:hAnsiTheme="majorHAnsi" w:cstheme="majorBidi"/>
      <w:i/>
      <w:iCs/>
      <w:color w:val="2F5E9D" w:themeColor="accent1"/>
      <w:spacing w:val="15"/>
      <w:szCs w:val="24"/>
    </w:rPr>
  </w:style>
  <w:style w:type="character" w:customStyle="1" w:styleId="SubtitleChar">
    <w:name w:val="Subtitle Char"/>
    <w:basedOn w:val="DefaultParagraphFont"/>
    <w:link w:val="Subtitle"/>
    <w:uiPriority w:val="11"/>
    <w:rsid w:val="000A0087"/>
    <w:rPr>
      <w:rFonts w:asciiTheme="majorHAnsi" w:eastAsiaTheme="majorEastAsia" w:hAnsiTheme="majorHAnsi" w:cstheme="majorBidi"/>
      <w:i/>
      <w:iCs/>
      <w:color w:val="2F5E9D" w:themeColor="accent1"/>
      <w:spacing w:val="15"/>
      <w:sz w:val="24"/>
      <w:szCs w:val="24"/>
    </w:rPr>
  </w:style>
  <w:style w:type="paragraph" w:styleId="TableofAuthorities">
    <w:name w:val="table of authorities"/>
    <w:basedOn w:val="Normal"/>
    <w:next w:val="Normal"/>
    <w:uiPriority w:val="99"/>
    <w:semiHidden/>
    <w:unhideWhenUsed/>
    <w:rsid w:val="000A0087"/>
    <w:pPr>
      <w:spacing w:before="200" w:after="0"/>
      <w:ind w:left="240" w:hanging="240"/>
    </w:pPr>
  </w:style>
  <w:style w:type="paragraph" w:styleId="TableofFigures">
    <w:name w:val="table of figures"/>
    <w:basedOn w:val="Normal"/>
    <w:next w:val="Normal"/>
    <w:uiPriority w:val="99"/>
    <w:semiHidden/>
    <w:unhideWhenUsed/>
    <w:rsid w:val="000A0087"/>
    <w:pPr>
      <w:spacing w:before="200" w:after="0"/>
    </w:pPr>
  </w:style>
  <w:style w:type="paragraph" w:styleId="Title">
    <w:name w:val="Title"/>
    <w:basedOn w:val="Normal"/>
    <w:next w:val="Normal"/>
    <w:link w:val="TitleChar"/>
    <w:uiPriority w:val="10"/>
    <w:qFormat/>
    <w:rsid w:val="000A0087"/>
    <w:pPr>
      <w:pBdr>
        <w:bottom w:val="single" w:sz="8" w:space="4" w:color="2F5E9D" w:themeColor="accent1"/>
      </w:pBdr>
      <w:spacing w:after="300" w:line="240" w:lineRule="auto"/>
      <w:contextualSpacing/>
    </w:pPr>
    <w:rPr>
      <w:rFonts w:asciiTheme="majorHAnsi" w:eastAsiaTheme="majorEastAsia" w:hAnsiTheme="majorHAnsi" w:cstheme="majorBidi"/>
      <w:color w:val="152945" w:themeColor="text2" w:themeShade="BF"/>
      <w:spacing w:val="5"/>
      <w:kern w:val="28"/>
      <w:sz w:val="52"/>
      <w:szCs w:val="52"/>
    </w:rPr>
  </w:style>
  <w:style w:type="character" w:customStyle="1" w:styleId="TitleChar">
    <w:name w:val="Title Char"/>
    <w:basedOn w:val="DefaultParagraphFont"/>
    <w:link w:val="Title"/>
    <w:uiPriority w:val="10"/>
    <w:rsid w:val="000A0087"/>
    <w:rPr>
      <w:rFonts w:asciiTheme="majorHAnsi" w:eastAsiaTheme="majorEastAsia" w:hAnsiTheme="majorHAnsi" w:cstheme="majorBidi"/>
      <w:color w:val="152945" w:themeColor="text2" w:themeShade="BF"/>
      <w:spacing w:val="5"/>
      <w:kern w:val="28"/>
      <w:sz w:val="52"/>
      <w:szCs w:val="52"/>
    </w:rPr>
  </w:style>
  <w:style w:type="paragraph" w:styleId="TOAHeading">
    <w:name w:val="toa heading"/>
    <w:basedOn w:val="Normal"/>
    <w:next w:val="Normal"/>
    <w:uiPriority w:val="99"/>
    <w:semiHidden/>
    <w:unhideWhenUsed/>
    <w:rsid w:val="000A0087"/>
    <w:pPr>
      <w:spacing w:before="120" w:after="0"/>
    </w:pPr>
    <w:rPr>
      <w:rFonts w:asciiTheme="majorHAnsi" w:eastAsiaTheme="majorEastAsia" w:hAnsiTheme="majorHAnsi" w:cstheme="majorBidi"/>
      <w:b/>
      <w:bCs/>
      <w:szCs w:val="24"/>
    </w:rPr>
  </w:style>
  <w:style w:type="paragraph" w:styleId="TOCHeading">
    <w:name w:val="TOC Heading"/>
    <w:basedOn w:val="Heading1"/>
    <w:next w:val="Normal"/>
    <w:uiPriority w:val="39"/>
    <w:semiHidden/>
    <w:unhideWhenUsed/>
    <w:qFormat/>
    <w:rsid w:val="000A0087"/>
    <w:pPr>
      <w:spacing w:before="480" w:after="0"/>
      <w:outlineLvl w:val="9"/>
    </w:pPr>
    <w:rPr>
      <w:rFonts w:asciiTheme="majorHAnsi" w:hAnsiTheme="majorHAnsi"/>
      <w:sz w:val="28"/>
    </w:rPr>
  </w:style>
  <w:style w:type="numbering" w:customStyle="1" w:styleId="NoList1">
    <w:name w:val="No List1"/>
    <w:next w:val="NoList"/>
    <w:uiPriority w:val="99"/>
    <w:semiHidden/>
    <w:unhideWhenUsed/>
    <w:rsid w:val="000A0087"/>
  </w:style>
  <w:style w:type="paragraph" w:customStyle="1" w:styleId="Bodyfigures">
    <w:name w:val="Body figures"/>
    <w:basedOn w:val="Figures"/>
    <w:qFormat/>
    <w:rsid w:val="00981BE9"/>
    <w:pPr>
      <w:ind w:left="1134"/>
    </w:pPr>
  </w:style>
  <w:style w:type="paragraph" w:customStyle="1" w:styleId="Bodytables">
    <w:name w:val="Body tables"/>
    <w:basedOn w:val="Tables"/>
    <w:qFormat/>
    <w:rsid w:val="00E96D47"/>
    <w:pPr>
      <w:ind w:left="1134"/>
    </w:pPr>
  </w:style>
  <w:style w:type="paragraph" w:customStyle="1" w:styleId="Financialfooter">
    <w:name w:val="Financial footer"/>
    <w:basedOn w:val="ListParagraph"/>
    <w:qFormat/>
    <w:rsid w:val="00693C8F"/>
    <w:pPr>
      <w:numPr>
        <w:numId w:val="29"/>
      </w:numPr>
    </w:pPr>
    <w:rPr>
      <w:sz w:val="20"/>
    </w:rPr>
  </w:style>
  <w:style w:type="paragraph" w:customStyle="1" w:styleId="KPIheading2">
    <w:name w:val="KPI heading 2"/>
    <w:basedOn w:val="Heading3"/>
    <w:qFormat/>
    <w:rsid w:val="00547DC7"/>
    <w:rPr>
      <w:lang w:eastAsia="en-AU"/>
    </w:rPr>
  </w:style>
  <w:style w:type="paragraph" w:customStyle="1" w:styleId="KPIsubheading">
    <w:name w:val="KPI subheading"/>
    <w:basedOn w:val="Normal"/>
    <w:qFormat/>
    <w:rsid w:val="00547DC7"/>
    <w:pPr>
      <w:numPr>
        <w:numId w:val="42"/>
      </w:numPr>
      <w:spacing w:after="240"/>
    </w:pPr>
    <w:rPr>
      <w:b/>
      <w:color w:val="2F5E9D" w:themeColor="accent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21" Type="http://schemas.openxmlformats.org/officeDocument/2006/relationships/footer" Target="footer4.xml"/><Relationship Id="rId42" Type="http://schemas.openxmlformats.org/officeDocument/2006/relationships/header" Target="header11.xml"/><Relationship Id="rId47" Type="http://schemas.openxmlformats.org/officeDocument/2006/relationships/image" Target="media/image12.jpeg"/><Relationship Id="rId63" Type="http://schemas.openxmlformats.org/officeDocument/2006/relationships/header" Target="header14.xml"/><Relationship Id="rId68" Type="http://schemas.openxmlformats.org/officeDocument/2006/relationships/image" Target="media/image27.jpeg"/><Relationship Id="rId84" Type="http://schemas.openxmlformats.org/officeDocument/2006/relationships/customXml" Target="../customXml/item4.xml"/><Relationship Id="rId16" Type="http://schemas.openxmlformats.org/officeDocument/2006/relationships/image" Target="media/image2.jpg"/><Relationship Id="rId11" Type="http://schemas.openxmlformats.org/officeDocument/2006/relationships/header" Target="header2.xml"/><Relationship Id="rId32" Type="http://schemas.openxmlformats.org/officeDocument/2006/relationships/hyperlink" Target="file:///\\OEPAPVFLS01\Shared\649-Office%20of%20the%20EPA\Shared%20Data\AACommunications\2015\Pub%20Current%2015\(11)%20OEPA%20Annual%20Report%202014-15\Design\OEPA%20Annual%20Report%202015_August15.docx" TargetMode="External"/><Relationship Id="rId37" Type="http://schemas.openxmlformats.org/officeDocument/2006/relationships/footer" Target="footer8.xml"/><Relationship Id="rId53" Type="http://schemas.openxmlformats.org/officeDocument/2006/relationships/header" Target="header12.xml"/><Relationship Id="rId58" Type="http://schemas.openxmlformats.org/officeDocument/2006/relationships/image" Target="media/image21.jpeg"/><Relationship Id="rId74" Type="http://schemas.openxmlformats.org/officeDocument/2006/relationships/header" Target="header17.xml"/><Relationship Id="rId79" Type="http://schemas.openxmlformats.org/officeDocument/2006/relationships/fontTable" Target="fontTable.xml"/><Relationship Id="rId5" Type="http://schemas.openxmlformats.org/officeDocument/2006/relationships/settings" Target="settings.xml"/><Relationship Id="rId61" Type="http://schemas.openxmlformats.org/officeDocument/2006/relationships/image" Target="media/image24.jpg"/><Relationship Id="rId82" Type="http://schemas.openxmlformats.org/officeDocument/2006/relationships/customXml" Target="../customXml/item2.xml"/><Relationship Id="rId19" Type="http://schemas.openxmlformats.org/officeDocument/2006/relationships/header" Target="header4.xml"/><Relationship Id="rId14" Type="http://schemas.openxmlformats.org/officeDocument/2006/relationships/header" Target="header3.xml"/><Relationship Id="rId22" Type="http://schemas.openxmlformats.org/officeDocument/2006/relationships/footer" Target="footer5.xml"/><Relationship Id="rId27" Type="http://schemas.openxmlformats.org/officeDocument/2006/relationships/footer" Target="footer6.xml"/><Relationship Id="rId30" Type="http://schemas.openxmlformats.org/officeDocument/2006/relationships/hyperlink" Target="file:///\\OEPAPVFLS01\Shared\649-Office%20of%20the%20EPA\Shared%20Data\AACommunications\2015\Pub%20Current%2015\(11)%20OEPA%20Annual%20Report%202014-15\Design\OEPA%20Annual%20Report%202015_August15.docx" TargetMode="External"/><Relationship Id="rId35" Type="http://schemas.openxmlformats.org/officeDocument/2006/relationships/header" Target="header8.xml"/><Relationship Id="rId43" Type="http://schemas.openxmlformats.org/officeDocument/2006/relationships/image" Target="media/image8.jpeg"/><Relationship Id="rId48" Type="http://schemas.openxmlformats.org/officeDocument/2006/relationships/image" Target="media/image13.jpeg"/><Relationship Id="rId56" Type="http://schemas.openxmlformats.org/officeDocument/2006/relationships/image" Target="media/image19.jpeg"/><Relationship Id="rId64" Type="http://schemas.openxmlformats.org/officeDocument/2006/relationships/header" Target="header15.xml"/><Relationship Id="rId69" Type="http://schemas.openxmlformats.org/officeDocument/2006/relationships/image" Target="media/image28.jpeg"/><Relationship Id="rId77" Type="http://schemas.openxmlformats.org/officeDocument/2006/relationships/image" Target="media/image31.jpeg"/><Relationship Id="rId8" Type="http://schemas.openxmlformats.org/officeDocument/2006/relationships/endnotes" Target="endnotes.xml"/><Relationship Id="rId51" Type="http://schemas.openxmlformats.org/officeDocument/2006/relationships/image" Target="media/image16.jpg"/><Relationship Id="rId72" Type="http://schemas.openxmlformats.org/officeDocument/2006/relationships/footer" Target="footer11.xml"/><Relationship Id="rId80" Type="http://schemas.openxmlformats.org/officeDocument/2006/relationships/glossaryDocument" Target="glossary/document.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http://www.epa.wa.gov.au" TargetMode="External"/><Relationship Id="rId25" Type="http://schemas.openxmlformats.org/officeDocument/2006/relationships/header" Target="header6.xml"/><Relationship Id="rId33" Type="http://schemas.openxmlformats.org/officeDocument/2006/relationships/hyperlink" Target="file:///\\OEPAPVFLS01\Shared\649-Office%20of%20the%20EPA\Shared%20Data\AACommunications\2015\Pub%20Current%2015\(11)%20OEPA%20Annual%20Report%202014-15\Design\OEPA%20Annual%20Report%202015_August15.docx" TargetMode="External"/><Relationship Id="rId38" Type="http://schemas.openxmlformats.org/officeDocument/2006/relationships/image" Target="media/image5.jpeg"/><Relationship Id="rId46" Type="http://schemas.openxmlformats.org/officeDocument/2006/relationships/image" Target="media/image11.jpeg"/><Relationship Id="rId59" Type="http://schemas.openxmlformats.org/officeDocument/2006/relationships/image" Target="media/image22.jpeg"/><Relationship Id="rId67" Type="http://schemas.openxmlformats.org/officeDocument/2006/relationships/image" Target="media/image26.jpeg"/><Relationship Id="rId20" Type="http://schemas.openxmlformats.org/officeDocument/2006/relationships/header" Target="header5.xml"/><Relationship Id="rId41" Type="http://schemas.openxmlformats.org/officeDocument/2006/relationships/header" Target="header10.xml"/><Relationship Id="rId54" Type="http://schemas.openxmlformats.org/officeDocument/2006/relationships/header" Target="header13.xml"/><Relationship Id="rId62" Type="http://schemas.openxmlformats.org/officeDocument/2006/relationships/image" Target="media/image25.jpeg"/><Relationship Id="rId70" Type="http://schemas.openxmlformats.org/officeDocument/2006/relationships/image" Target="media/image29.jpeg"/><Relationship Id="rId75" Type="http://schemas.openxmlformats.org/officeDocument/2006/relationships/header" Target="header18.xml"/><Relationship Id="rId83" Type="http://schemas.openxmlformats.org/officeDocument/2006/relationships/customXml" Target="../customXml/item3.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3.jpeg"/><Relationship Id="rId28" Type="http://schemas.openxmlformats.org/officeDocument/2006/relationships/footer" Target="footer7.xml"/><Relationship Id="rId36" Type="http://schemas.openxmlformats.org/officeDocument/2006/relationships/header" Target="header9.xml"/><Relationship Id="rId49" Type="http://schemas.openxmlformats.org/officeDocument/2006/relationships/image" Target="media/image14.jpeg"/><Relationship Id="rId57" Type="http://schemas.openxmlformats.org/officeDocument/2006/relationships/image" Target="media/image20.jpeg"/><Relationship Id="rId10" Type="http://schemas.openxmlformats.org/officeDocument/2006/relationships/header" Target="header1.xml"/><Relationship Id="rId31" Type="http://schemas.openxmlformats.org/officeDocument/2006/relationships/hyperlink" Target="file:///\\OEPAPVFLS01\Shared\649-Office%20of%20the%20EPA\Shared%20Data\AACommunications\2015\Pub%20Current%2015\(11)%20OEPA%20Annual%20Report%202014-15\Design\OEPA%20Annual%20Report%202015_August15.docx" TargetMode="External"/><Relationship Id="rId44" Type="http://schemas.openxmlformats.org/officeDocument/2006/relationships/image" Target="media/image9.jpg"/><Relationship Id="rId52" Type="http://schemas.openxmlformats.org/officeDocument/2006/relationships/image" Target="media/image17.jpeg"/><Relationship Id="rId60" Type="http://schemas.openxmlformats.org/officeDocument/2006/relationships/image" Target="media/image23.jpeg"/><Relationship Id="rId65" Type="http://schemas.openxmlformats.org/officeDocument/2006/relationships/footer" Target="footer9.xml"/><Relationship Id="rId73" Type="http://schemas.openxmlformats.org/officeDocument/2006/relationships/header" Target="header16.xml"/><Relationship Id="rId78" Type="http://schemas.openxmlformats.org/officeDocument/2006/relationships/footer" Target="footer13.xml"/><Relationship Id="rId8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hyperlink" Target="mailto:info@epa.wa.gov.au" TargetMode="External"/><Relationship Id="rId39" Type="http://schemas.openxmlformats.org/officeDocument/2006/relationships/image" Target="media/image6.jpeg"/><Relationship Id="rId34" Type="http://schemas.openxmlformats.org/officeDocument/2006/relationships/hyperlink" Target="file:///\\OEPAPVFLS01\Shared\649-Office%20of%20the%20EPA\Shared%20Data\AACommunications\2015\Pub%20Current%2015\(11)%20OEPA%20Annual%20Report%202014-15\Design\OEPA%20Annual%20Report%202015_August15.docx" TargetMode="External"/><Relationship Id="rId50" Type="http://schemas.openxmlformats.org/officeDocument/2006/relationships/image" Target="media/image15.jpeg"/><Relationship Id="rId55" Type="http://schemas.openxmlformats.org/officeDocument/2006/relationships/image" Target="media/image18.jpeg"/><Relationship Id="rId76" Type="http://schemas.openxmlformats.org/officeDocument/2006/relationships/footer" Target="footer12.xml"/><Relationship Id="rId7" Type="http://schemas.openxmlformats.org/officeDocument/2006/relationships/footnotes" Target="footnotes.xml"/><Relationship Id="rId71" Type="http://schemas.openxmlformats.org/officeDocument/2006/relationships/image" Target="media/image30.jpeg"/><Relationship Id="rId2" Type="http://schemas.openxmlformats.org/officeDocument/2006/relationships/numbering" Target="numbering.xml"/><Relationship Id="rId29" Type="http://schemas.openxmlformats.org/officeDocument/2006/relationships/hyperlink" Target="file:///\\OEPAPVFLS01\Shared\649-Office%20of%20the%20EPA\Shared%20Data\AACommunications\2015\Pub%20Current%2015\(11)%20OEPA%20Annual%20Report%202014-15\Design\OEPA%20Annual%20Report%202015_August15.docx" TargetMode="External"/><Relationship Id="rId24" Type="http://schemas.openxmlformats.org/officeDocument/2006/relationships/image" Target="media/image4.jpeg"/><Relationship Id="rId40" Type="http://schemas.openxmlformats.org/officeDocument/2006/relationships/image" Target="media/image7.jpeg"/><Relationship Id="rId45" Type="http://schemas.openxmlformats.org/officeDocument/2006/relationships/image" Target="media/image10.jpeg"/><Relationship Id="rId66" Type="http://schemas.openxmlformats.org/officeDocument/2006/relationships/footer" Target="footer10.xml"/></Relationships>
</file>

<file path=word/_rels/settings.xml.rels><?xml version="1.0" encoding="UTF-8" standalone="yes"?>
<Relationships xmlns="http://schemas.openxmlformats.org/package/2006/relationships"><Relationship Id="rId1" Type="http://schemas.openxmlformats.org/officeDocument/2006/relationships/attachedTemplate" Target="file:///\\OEPAPVFLS01\Shared\649-Office%20of%20the%20EPA\Shared%20Data\AACommunications\Publication%20Info\2014%20OEPA%20Annual%20Report%20design\Annual%20Report%20template.dotx" TargetMode="Externa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E80B4B9F27394C5F971FCB4FB9238A83"/>
        <w:category>
          <w:name w:val="General"/>
          <w:gallery w:val="placeholder"/>
        </w:category>
        <w:types>
          <w:type w:val="bbPlcHdr"/>
        </w:types>
        <w:behaviors>
          <w:behavior w:val="content"/>
        </w:behaviors>
        <w:guid w:val="{7119B2CF-C8F2-46B5-A195-6E2EBB0DE9A4}"/>
      </w:docPartPr>
      <w:docPartBody>
        <w:p w:rsidR="00A06991" w:rsidRDefault="005E0BB7">
          <w:r w:rsidRPr="00DA497A">
            <w:rPr>
              <w:rStyle w:val="PlaceholderText"/>
            </w:rPr>
            <w:t>[Title]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HelveticaNeueLT Com 65 Md">
    <w:panose1 w:val="020B0604020202020204"/>
    <w:charset w:val="00"/>
    <w:family w:val="swiss"/>
    <w:pitch w:val="variable"/>
    <w:sig w:usb0="800000AF" w:usb1="10002042" w:usb2="00000000" w:usb3="00000000" w:csb0="0000009B" w:csb1="00000000"/>
  </w:font>
  <w:font w:name="Arial Bold">
    <w:panose1 w:val="020B0704020202020204"/>
    <w:charset w:val="00"/>
    <w:family w:val="roman"/>
    <w:notTrueType/>
    <w:pitch w:val="default"/>
  </w:font>
  <w:font w:name="Tahoma">
    <w:panose1 w:val="020B0604030504040204"/>
    <w:charset w:val="00"/>
    <w:family w:val="swiss"/>
    <w:pitch w:val="variable"/>
    <w:sig w:usb0="E1002EFF" w:usb1="C000605B" w:usb2="00000029" w:usb3="00000000" w:csb0="000101FF" w:csb1="00000000"/>
  </w:font>
  <w:font w:name="DaxOT-MediumItalic">
    <w:panose1 w:val="020B0604030101020102"/>
    <w:charset w:val="00"/>
    <w:family w:val="swiss"/>
    <w:notTrueType/>
    <w:pitch w:val="variable"/>
    <w:sig w:usb0="800000AF" w:usb1="4000A4FB"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10002FF" w:usb1="4000FCFF" w:usb2="00000009" w:usb3="00000000" w:csb0="0000019F" w:csb1="00000000"/>
  </w:font>
  <w:font w:name="Arial Narrow">
    <w:panose1 w:val="020B0606020202030204"/>
    <w:charset w:val="00"/>
    <w:family w:val="swiss"/>
    <w:pitch w:val="variable"/>
    <w:sig w:usb0="00000287" w:usb1="00000800" w:usb2="00000000" w:usb3="00000000" w:csb0="0000009F" w:csb1="00000000"/>
  </w:font>
  <w:font w:name="Chalet-NewYorkNineteenSixty">
    <w:panose1 w:val="00000000000000000000"/>
    <w:charset w:val="00"/>
    <w:family w:val="modern"/>
    <w:notTrueType/>
    <w:pitch w:val="variable"/>
    <w:sig w:usb0="800002AF" w:usb1="5000004A" w:usb2="00000000" w:usb3="00000000" w:csb0="0000009F" w:csb1="00000000"/>
  </w:font>
  <w:font w:name="HelveticaNeueLT Std Lt">
    <w:panose1 w:val="020B0403020202020204"/>
    <w:charset w:val="00"/>
    <w:family w:val="swiss"/>
    <w:notTrueType/>
    <w:pitch w:val="variable"/>
    <w:sig w:usb0="00000003" w:usb1="00000000" w:usb2="00000000" w:usb3="00000000" w:csb0="00000001" w:csb1="00000000"/>
  </w:font>
  <w:font w:name="HelveticaNeueLT Com 56 It">
    <w:panose1 w:val="020B0604020202090204"/>
    <w:charset w:val="00"/>
    <w:family w:val="swiss"/>
    <w:pitch w:val="variable"/>
    <w:sig w:usb0="800000AF" w:usb1="10002042" w:usb2="00000000" w:usb3="00000000" w:csb0="0000009B" w:csb1="00000000"/>
  </w:font>
  <w:font w:name="inherit">
    <w:altName w:val="Times New Roman"/>
    <w:panose1 w:val="00000000000000000000"/>
    <w:charset w:val="00"/>
    <w:family w:val="roman"/>
    <w:notTrueType/>
    <w:pitch w:val="default"/>
  </w:font>
  <w:font w:name="FranklinGothic-Book">
    <w:panose1 w:val="00000000000000000000"/>
    <w:charset w:val="00"/>
    <w:family w:val="swiss"/>
    <w:notTrueType/>
    <w:pitch w:val="default"/>
    <w:sig w:usb0="00000003" w:usb1="00000000" w:usb2="00000000" w:usb3="00000000" w:csb0="00000001" w:csb1="00000000"/>
  </w:font>
  <w:font w:name="FranklinGothic-BookItal">
    <w:panose1 w:val="00000000000000000000"/>
    <w:charset w:val="00"/>
    <w:family w:val="swiss"/>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revisionView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E0BB7"/>
    <w:rsid w:val="00302BB9"/>
    <w:rsid w:val="005E0BB7"/>
    <w:rsid w:val="00840CB3"/>
    <w:rsid w:val="008D067B"/>
    <w:rsid w:val="00A06991"/>
    <w:rsid w:val="00EC322A"/>
    <w:rsid w:val="00F500EF"/>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14D501D13A543E5850DE0F6AA285DFE">
    <w:name w:val="614D501D13A543E5850DE0F6AA285DFE"/>
    <w:rsid w:val="005E0BB7"/>
  </w:style>
  <w:style w:type="character" w:styleId="PlaceholderText">
    <w:name w:val="Placeholder Text"/>
    <w:basedOn w:val="DefaultParagraphFont"/>
    <w:uiPriority w:val="99"/>
    <w:semiHidden/>
    <w:rsid w:val="00840CB3"/>
    <w:rPr>
      <w:color w:val="808080"/>
    </w:rPr>
  </w:style>
  <w:style w:type="paragraph" w:customStyle="1" w:styleId="C78A14540D8F43B08283AA41DDCCA1DD">
    <w:name w:val="C78A14540D8F43B08283AA41DDCCA1DD"/>
    <w:rsid w:val="00EC322A"/>
  </w:style>
  <w:style w:type="paragraph" w:customStyle="1" w:styleId="6AF76D4F1A084435A38432483B3CAF09">
    <w:name w:val="6AF76D4F1A084435A38432483B3CAF09"/>
    <w:rsid w:val="00840CB3"/>
  </w:style>
  <w:style w:type="paragraph" w:customStyle="1" w:styleId="27635345FE594ECA9702213BF8803E91">
    <w:name w:val="27635345FE594ECA9702213BF8803E91"/>
    <w:rsid w:val="00840CB3"/>
  </w:style>
  <w:style w:type="paragraph" w:customStyle="1" w:styleId="D88B3A6422B840ED82B1DD92FB633464">
    <w:name w:val="D88B3A6422B840ED82B1DD92FB633464"/>
    <w:rsid w:val="00840CB3"/>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AU" w:eastAsia="en-A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614D501D13A543E5850DE0F6AA285DFE">
    <w:name w:val="614D501D13A543E5850DE0F6AA285DFE"/>
    <w:rsid w:val="005E0BB7"/>
  </w:style>
  <w:style w:type="character" w:styleId="PlaceholderText">
    <w:name w:val="Placeholder Text"/>
    <w:basedOn w:val="DefaultParagraphFont"/>
    <w:uiPriority w:val="99"/>
    <w:semiHidden/>
    <w:rsid w:val="00840CB3"/>
    <w:rPr>
      <w:color w:val="808080"/>
    </w:rPr>
  </w:style>
  <w:style w:type="paragraph" w:customStyle="1" w:styleId="C78A14540D8F43B08283AA41DDCCA1DD">
    <w:name w:val="C78A14540D8F43B08283AA41DDCCA1DD"/>
    <w:rsid w:val="00EC322A"/>
  </w:style>
  <w:style w:type="paragraph" w:customStyle="1" w:styleId="6AF76D4F1A084435A38432483B3CAF09">
    <w:name w:val="6AF76D4F1A084435A38432483B3CAF09"/>
    <w:rsid w:val="00840CB3"/>
  </w:style>
  <w:style w:type="paragraph" w:customStyle="1" w:styleId="27635345FE594ECA9702213BF8803E91">
    <w:name w:val="27635345FE594ECA9702213BF8803E91"/>
    <w:rsid w:val="00840CB3"/>
  </w:style>
  <w:style w:type="paragraph" w:customStyle="1" w:styleId="D88B3A6422B840ED82B1DD92FB633464">
    <w:name w:val="D88B3A6422B840ED82B1DD92FB633464"/>
    <w:rsid w:val="00840CB3"/>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hatch">
  <a:themeElements>
    <a:clrScheme name="OEPA">
      <a:dk1>
        <a:srgbClr val="4D4D4F"/>
      </a:dk1>
      <a:lt1>
        <a:sysClr val="window" lastClr="FFFFFF"/>
      </a:lt1>
      <a:dk2>
        <a:srgbClr val="1C385D"/>
      </a:dk2>
      <a:lt2>
        <a:srgbClr val="EEECE1"/>
      </a:lt2>
      <a:accent1>
        <a:srgbClr val="2F5E9D"/>
      </a:accent1>
      <a:accent2>
        <a:srgbClr val="9A3821"/>
      </a:accent2>
      <a:accent3>
        <a:srgbClr val="CBCC31"/>
      </a:accent3>
      <a:accent4>
        <a:srgbClr val="B2A97E"/>
      </a:accent4>
      <a:accent5>
        <a:srgbClr val="DCD0A4"/>
      </a:accent5>
      <a:accent6>
        <a:srgbClr val="9A3821"/>
      </a:accent6>
      <a:hlink>
        <a:srgbClr val="9A3821"/>
      </a:hlink>
      <a:folHlink>
        <a:srgbClr val="1C385D"/>
      </a:folHlink>
    </a:clrScheme>
    <a:fontScheme name="OEPA">
      <a:majorFont>
        <a:latin typeface="HelveticaNeueLT Com 65 Md"/>
        <a:ea typeface=""/>
        <a:cs typeface=""/>
      </a:majorFont>
      <a:minorFont>
        <a:latin typeface="Arial"/>
        <a:ea typeface=""/>
        <a:cs typeface=""/>
      </a:minorFont>
    </a:fontScheme>
    <a:fmtScheme name="Thatch">
      <a:fillStyleLst>
        <a:solidFill>
          <a:schemeClr val="phClr"/>
        </a:solidFill>
        <a:gradFill rotWithShape="1">
          <a:gsLst>
            <a:gs pos="0">
              <a:schemeClr val="phClr">
                <a:tint val="79000"/>
                <a:satMod val="180000"/>
              </a:schemeClr>
            </a:gs>
            <a:gs pos="65000">
              <a:schemeClr val="phClr">
                <a:tint val="52000"/>
                <a:satMod val="250000"/>
              </a:schemeClr>
            </a:gs>
            <a:gs pos="100000">
              <a:schemeClr val="phClr">
                <a:tint val="29000"/>
                <a:satMod val="300000"/>
              </a:schemeClr>
            </a:gs>
          </a:gsLst>
          <a:lin ang="16200000" scaled="0"/>
        </a:gradFill>
        <a:gradFill rotWithShape="1">
          <a:gsLst>
            <a:gs pos="0">
              <a:schemeClr val="phClr">
                <a:shade val="15000"/>
                <a:satMod val="180000"/>
              </a:schemeClr>
            </a:gs>
            <a:gs pos="50000">
              <a:schemeClr val="phClr">
                <a:shade val="45000"/>
                <a:satMod val="170000"/>
              </a:schemeClr>
            </a:gs>
            <a:gs pos="70000">
              <a:schemeClr val="phClr">
                <a:tint val="99000"/>
                <a:shade val="65000"/>
                <a:satMod val="155000"/>
              </a:schemeClr>
            </a:gs>
            <a:gs pos="100000">
              <a:schemeClr val="phClr">
                <a:tint val="95500"/>
                <a:shade val="100000"/>
                <a:satMod val="155000"/>
              </a:schemeClr>
            </a:gs>
          </a:gsLst>
          <a:lin ang="16200000" scaled="0"/>
        </a:gradFill>
      </a:fillStyleLst>
      <a:lnStyleLst>
        <a:ln w="9525" cap="flat" cmpd="sng" algn="ctr">
          <a:solidFill>
            <a:schemeClr val="phClr"/>
          </a:solidFill>
          <a:prstDash val="solid"/>
        </a:ln>
        <a:ln w="15875" cap="flat" cmpd="sng" algn="ctr">
          <a:solidFill>
            <a:schemeClr val="phClr"/>
          </a:solidFill>
          <a:prstDash val="solid"/>
        </a:ln>
        <a:ln w="38100" cap="flat" cmpd="sng" algn="ctr">
          <a:solidFill>
            <a:schemeClr val="phClr"/>
          </a:solidFill>
          <a:prstDash val="solid"/>
        </a:ln>
      </a:lnStyleLst>
      <a:effectStyleLst>
        <a:effectStyle>
          <a:effectLst>
            <a:outerShdw blurRad="63500" dist="25400" dir="5400000" rotWithShape="0">
              <a:srgbClr val="000000">
                <a:alpha val="43000"/>
              </a:srgbClr>
            </a:outerShdw>
          </a:effectLst>
        </a:effectStyle>
        <a:effectStyle>
          <a:effectLst>
            <a:outerShdw blurRad="63500" dist="25400" dir="5400000" rotWithShape="0">
              <a:srgbClr val="000000">
                <a:alpha val="43000"/>
              </a:srgbClr>
            </a:outerShdw>
          </a:effectLst>
          <a:scene3d>
            <a:camera prst="orthographicFront">
              <a:rot lat="0" lon="0" rev="0"/>
            </a:camera>
            <a:lightRig rig="brightRoom" dir="t">
              <a:rot lat="0" lon="0" rev="8700000"/>
            </a:lightRig>
          </a:scene3d>
          <a:sp3d contourW="12700" prstMaterial="dkEdge">
            <a:bevelT w="0" h="0" prst="relaxedInset"/>
            <a:contourClr>
              <a:schemeClr val="phClr">
                <a:shade val="65000"/>
                <a:satMod val="150000"/>
              </a:schemeClr>
            </a:contourClr>
          </a:sp3d>
        </a:effectStyle>
        <a:effectStyle>
          <a:effectLst>
            <a:outerShdw blurRad="63500" dist="25400" dir="5400000" rotWithShape="0">
              <a:srgbClr val="000000">
                <a:alpha val="43000"/>
              </a:srgbClr>
            </a:outerShdw>
          </a:effectLst>
          <a:scene3d>
            <a:camera prst="orthographicFront">
              <a:rot lat="0" lon="0" rev="0"/>
            </a:camera>
            <a:lightRig rig="glow" dir="t">
              <a:rot lat="0" lon="0" rev="13200000"/>
            </a:lightRig>
          </a:scene3d>
          <a:sp3d prstMaterial="dkEdge">
            <a:bevelT w="63500" h="50800" prst="relaxedInset"/>
          </a:sp3d>
        </a:effectStyle>
      </a:effectStyleLst>
      <a:bgFillStyleLst>
        <a:solidFill>
          <a:schemeClr val="phClr"/>
        </a:solidFill>
        <a:gradFill rotWithShape="1">
          <a:gsLst>
            <a:gs pos="0">
              <a:schemeClr val="phClr">
                <a:tint val="85000"/>
                <a:shade val="95000"/>
                <a:satMod val="200000"/>
              </a:schemeClr>
            </a:gs>
            <a:gs pos="53000">
              <a:schemeClr val="phClr">
                <a:shade val="60000"/>
                <a:satMod val="220000"/>
              </a:schemeClr>
            </a:gs>
            <a:gs pos="100000">
              <a:schemeClr val="phClr">
                <a:shade val="45000"/>
                <a:satMod val="220000"/>
              </a:schemeClr>
            </a:gs>
          </a:gsLst>
          <a:lin ang="16200000" scaled="0"/>
        </a:gradFill>
        <a:gradFill rotWithShape="1">
          <a:gsLst>
            <a:gs pos="0">
              <a:schemeClr val="phClr">
                <a:tint val="83000"/>
                <a:shade val="97000"/>
                <a:satMod val="230000"/>
              </a:schemeClr>
            </a:gs>
            <a:gs pos="100000">
              <a:schemeClr val="phClr">
                <a:shade val="35000"/>
                <a:satMod val="250000"/>
              </a:schemeClr>
            </a:gs>
          </a:gsLst>
          <a:path path="circle">
            <a:fillToRect l="15000" t="50000" r="85000" b="6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2008"/>
</file>

<file path=customXml/item2.xml><?xml version="1.0" encoding="utf-8"?>
<ct:contentTypeSchema xmlns:ct="http://schemas.microsoft.com/office/2006/metadata/contentType" xmlns:ma="http://schemas.microsoft.com/office/2006/metadata/properties/metaAttributes" ct:_="" ma:_="" ma:contentTypeName="Document" ma:contentTypeID="0x0101008DCCE0D797CF3F41AD5CC92102B391C9" ma:contentTypeVersion="1" ma:contentTypeDescription="Create a new document." ma:contentTypeScope="" ma:versionID="ed287840339c191c1e52f9c12409bca2">
  <xsd:schema xmlns:xsd="http://www.w3.org/2001/XMLSchema" xmlns:p="http://schemas.microsoft.com/office/2006/metadata/properties" xmlns:ns1="http://schemas.microsoft.com/sharepoint/v3" targetNamespace="http://schemas.microsoft.com/office/2006/metadata/properties" ma:root="true" ma:fieldsID="ddb0c952b897a810c8a4e377cff6bff8"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dms="http://schemas.microsoft.com/office/2006/documentManagement/types" targetNamespace="http://schemas.microsoft.com/sharepoint/v3" elementFormDefault="qualified">
    <xsd:import namespace="http://schemas.microsoft.com/office/2006/documentManagement/types"/>
    <xsd:element name="PublishingStartDate" ma:index="8" nillable="true" ma:displayName="Scheduling Start Date" ma:description="" ma:hidden="true" ma:internalName="PublishingStartDate">
      <xsd:simpleType>
        <xsd:restriction base="dms:Unknown"/>
      </xsd:simpleType>
    </xsd:element>
    <xsd:element name="PublishingExpirationDate" ma:index="9" nillable="true" ma:displayName="Scheduling End Date"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documentManagement>
    <PublishingExpirationDate xmlns="http://schemas.microsoft.com/sharepoint/v3" xsi:nil="true"/>
    <PublishingStartDate xmlns="http://schemas.microsoft.com/sharepoint/v3" xsi:nil="true"/>
  </documentManagement>
</p:properties>
</file>

<file path=customXml/itemProps1.xml><?xml version="1.0" encoding="utf-8"?>
<ds:datastoreItem xmlns:ds="http://schemas.openxmlformats.org/officeDocument/2006/customXml" ds:itemID="{92E62194-748B-476F-846D-3572E6E85D15}"/>
</file>

<file path=customXml/itemProps2.xml><?xml version="1.0" encoding="utf-8"?>
<ds:datastoreItem xmlns:ds="http://schemas.openxmlformats.org/officeDocument/2006/customXml" ds:itemID="{5202D2F8-3C8C-4156-9C31-3FD92FF115C5}"/>
</file>

<file path=customXml/itemProps3.xml><?xml version="1.0" encoding="utf-8"?>
<ds:datastoreItem xmlns:ds="http://schemas.openxmlformats.org/officeDocument/2006/customXml" ds:itemID="{9361E6F9-6150-45E9-9021-F8F0516605FA}"/>
</file>

<file path=customXml/itemProps4.xml><?xml version="1.0" encoding="utf-8"?>
<ds:datastoreItem xmlns:ds="http://schemas.openxmlformats.org/officeDocument/2006/customXml" ds:itemID="{A2F28BE6-0308-4FE5-AEAF-492B915BA3B9}"/>
</file>

<file path=docProps/app.xml><?xml version="1.0" encoding="utf-8"?>
<Properties xmlns="http://schemas.openxmlformats.org/officeDocument/2006/extended-properties" xmlns:vt="http://schemas.openxmlformats.org/officeDocument/2006/docPropsVTypes">
  <Template>Annual Report template.dotx</Template>
  <TotalTime>7</TotalTime>
  <Pages>112</Pages>
  <Words>27719</Words>
  <Characters>157727</Characters>
  <Application>Microsoft Office Word</Application>
  <DocSecurity>0</DocSecurity>
  <Lines>7169</Lines>
  <Paragraphs>4214</Paragraphs>
  <ScaleCrop>false</ScaleCrop>
  <HeadingPairs>
    <vt:vector size="2" baseType="variant">
      <vt:variant>
        <vt:lpstr>Title</vt:lpstr>
      </vt:variant>
      <vt:variant>
        <vt:i4>1</vt:i4>
      </vt:variant>
    </vt:vector>
  </HeadingPairs>
  <TitlesOfParts>
    <vt:vector size="1" baseType="lpstr">
      <vt:lpstr>OEPA Annual Report 2014-2015</vt:lpstr>
    </vt:vector>
  </TitlesOfParts>
  <Company>Office of the nvironmental Protection Authority</Company>
  <LinksUpToDate>false</LinksUpToDate>
  <CharactersWithSpaces>181232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OEPA Annual Report 2014-2015</dc:title>
  <dc:creator>Donna Weston</dc:creator>
  <cp:lastModifiedBy>Donna Weston</cp:lastModifiedBy>
  <cp:revision>3</cp:revision>
  <cp:lastPrinted>2015-08-28T05:13:00Z</cp:lastPrinted>
  <dcterms:created xsi:type="dcterms:W3CDTF">2015-09-15T05:17:00Z</dcterms:created>
  <dcterms:modified xsi:type="dcterms:W3CDTF">2015-09-15T05:25:00Z</dcterms:modified>
  <cp:contentType>Document</cp:contentTyp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0x0101008DCCE0D797CF3F41AD5CC92102B391C9</vt:lpwstr>
  </property>
</Properties>
</file>